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40" w:lineRule="exact"/>
        <w:rPr>
          <w:rFonts w:eastAsia="黑体"/>
          <w:sz w:val="32"/>
          <w:szCs w:val="32"/>
        </w:rPr>
      </w:pPr>
      <w:r>
        <w:rPr>
          <w:rFonts w:eastAsia="黑体" w:hint="eastAsia"/>
          <w:sz w:val="32"/>
          <w:szCs w:val="32"/>
        </w:rPr>
        <w:t>附件</w:t>
      </w:r>
      <w:r>
        <w:rPr>
          <w:rFonts w:eastAsia="黑体"/>
          <w:sz w:val="32"/>
          <w:szCs w:val="32"/>
        </w:rPr>
        <w:t>3</w:t>
      </w:r>
    </w:p>
    <w:p>
      <w:pPr>
        <w:pStyle w:val="27"/>
        <w:spacing w:line="64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2022</w:t>
      </w:r>
      <w:r>
        <w:rPr>
          <w:rFonts w:ascii="Times New Roman" w:eastAsia="方正小标宋_GBK" w:cs="Times New Roman" w:hAnsi="Times New Roman" w:hint="eastAsia"/>
          <w:sz w:val="44"/>
          <w:szCs w:val="44"/>
        </w:rPr>
        <w:t>年医疗保障宣传项目支出绩效自评报告</w:t>
      </w:r>
    </w:p>
    <w:p>
      <w:pPr>
        <w:pStyle w:val="27"/>
        <w:spacing w:line="640" w:lineRule="exact"/>
        <w:ind w:firstLine="640"/>
        <w:jc w:val="center"/>
        <w:rPr>
          <w:rFonts w:ascii="Times New Roman" w:eastAsia="方正小标宋_GBK" w:cs="Times New Roman" w:hAnsi="Times New Roman"/>
          <w:color w:val="auto"/>
          <w:kern w:val="2"/>
          <w:sz w:val="32"/>
          <w:szCs w:val="32"/>
        </w:rPr>
      </w:pPr>
    </w:p>
    <w:p>
      <w:pPr>
        <w:adjustRightInd w:val="0"/>
        <w:snapToGrid w:val="0"/>
        <w:spacing w:line="560" w:lineRule="exact"/>
        <w:ind w:firstLineChars="200" w:firstLine="64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pPr>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（一）项目资金申报及批复情况。</w:t>
      </w:r>
    </w:p>
    <w:p>
      <w:pPr>
        <w:spacing w:line="560" w:lineRule="exact"/>
        <w:ind w:firstLineChars="200" w:firstLine="640"/>
        <w:rPr>
          <w:rFonts w:eastAsia="仿宋_GB2312"/>
          <w:sz w:val="32"/>
          <w:szCs w:val="32"/>
        </w:rPr>
      </w:pPr>
      <w:r>
        <w:rPr>
          <w:rFonts w:eastAsia="仿宋_GB2312" w:hint="eastAsia"/>
          <w:sz w:val="32"/>
          <w:szCs w:val="32"/>
        </w:rPr>
        <w:t>为全面贯彻《中共中央国务院关于深化医疗保障制度改革的意见》（以下简称中央</w:t>
      </w:r>
      <w:r>
        <w:rPr>
          <w:rFonts w:eastAsia="仿宋_GB2312"/>
          <w:sz w:val="32"/>
          <w:szCs w:val="32"/>
        </w:rPr>
        <w:t>5</w:t>
      </w:r>
      <w:r>
        <w:rPr>
          <w:rFonts w:eastAsia="仿宋_GB2312" w:hint="eastAsia"/>
          <w:sz w:val="32"/>
          <w:szCs w:val="32"/>
        </w:rPr>
        <w:t>号文）精神，促进“阳光康养”“融圈”及“三医联动”战略实施，加大群众对深化医疗保障制度改革的认识。在参保方面要加大宣传力度，提升参保率，实现全民参保。规范医疗服务行为，打击欺诈骗保等违反医疗保障管理的违规违法行为。提高医疗保障公共服务的社会知晓度，提高医疗保障线上线下相结合服务方式的有效性。</w:t>
      </w:r>
    </w:p>
    <w:p>
      <w:pPr>
        <w:spacing w:line="560" w:lineRule="exact"/>
        <w:ind w:firstLineChars="200" w:firstLine="640"/>
        <w:rPr>
          <w:rFonts w:eastAsia="仿宋_GB2312"/>
          <w:sz w:val="32"/>
          <w:szCs w:val="32"/>
        </w:rPr>
      </w:pPr>
      <w:r>
        <w:rPr>
          <w:rFonts w:eastAsia="仿宋_GB2312" w:hint="eastAsia"/>
          <w:sz w:val="32"/>
          <w:szCs w:val="32"/>
        </w:rPr>
        <w:t>项目资金由市级资金构成，</w:t>
      </w:r>
      <w:r>
        <w:rPr>
          <w:rFonts w:eastAsia="仿宋_GB2312"/>
          <w:sz w:val="32"/>
          <w:szCs w:val="32"/>
        </w:rPr>
        <w:t>2022</w:t>
      </w:r>
      <w:r>
        <w:rPr>
          <w:rFonts w:eastAsia="仿宋_GB2312" w:hint="eastAsia"/>
          <w:sz w:val="32"/>
          <w:szCs w:val="32"/>
        </w:rPr>
        <w:t>年项目资金</w:t>
      </w:r>
      <w:r>
        <w:rPr>
          <w:rFonts w:eastAsia="仿宋_GB2312"/>
          <w:sz w:val="32"/>
          <w:szCs w:val="32"/>
        </w:rPr>
        <w:t>18.74</w:t>
      </w:r>
      <w:r>
        <w:rPr>
          <w:rFonts w:eastAsia="仿宋_GB2312" w:hint="eastAsia"/>
          <w:sz w:val="32"/>
          <w:szCs w:val="32"/>
        </w:rPr>
        <w:t>万元，均为调整（追加）预算，项目资金申报机批复均符合资金管理办法等相关规定。</w:t>
      </w:r>
    </w:p>
    <w:p>
      <w:pPr>
        <w:adjustRightInd w:val="0"/>
        <w:snapToGrid w:val="0"/>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（二）项目绩效目标。</w:t>
      </w:r>
    </w:p>
    <w:p>
      <w:pPr>
        <w:spacing w:line="560" w:lineRule="exact"/>
        <w:ind w:firstLineChars="200" w:firstLine="640"/>
        <w:rPr>
          <w:rFonts w:eastAsia="仿宋_GB2312"/>
          <w:sz w:val="32"/>
          <w:szCs w:val="32"/>
        </w:rPr>
      </w:pPr>
      <w:r>
        <w:rPr>
          <w:rFonts w:eastAsia="仿宋_GB2312" w:hint="eastAsia"/>
          <w:sz w:val="32"/>
          <w:szCs w:val="32"/>
        </w:rPr>
        <w:t>用人单位和群众对深化医疗保障制度改革、对医疗保险具体政策规定和待遇享受办法、对医疗保障公共服务体系还存在较多不清楚、不明白的空白区域。同时，</w:t>
      </w:r>
      <w:r>
        <w:rPr>
          <w:rFonts w:eastAsia="仿宋_GB2312"/>
          <w:sz w:val="32"/>
          <w:szCs w:val="32"/>
        </w:rPr>
        <w:t>2021</w:t>
      </w:r>
      <w:r>
        <w:rPr>
          <w:rFonts w:eastAsia="仿宋_GB2312" w:hint="eastAsia"/>
          <w:sz w:val="32"/>
          <w:szCs w:val="32"/>
        </w:rPr>
        <w:t>年又是贯彻落实中央</w:t>
      </w:r>
      <w:r>
        <w:rPr>
          <w:rFonts w:eastAsia="仿宋_GB2312"/>
          <w:sz w:val="32"/>
          <w:szCs w:val="32"/>
        </w:rPr>
        <w:t>5</w:t>
      </w:r>
      <w:r>
        <w:rPr>
          <w:rFonts w:eastAsia="仿宋_GB2312" w:hint="eastAsia"/>
          <w:sz w:val="32"/>
          <w:szCs w:val="32"/>
        </w:rPr>
        <w:t>号文件的关键之年，一系列涉及民生的医疗保障重大改革措施将陆续出台执行，有必要通过加大宣传力度，让尽可能多的用人单位和参保人员知晓、明白具体改革措施，化解改革过程中出现的问题。</w:t>
      </w:r>
    </w:p>
    <w:p>
      <w:pPr>
        <w:spacing w:line="560" w:lineRule="exact"/>
        <w:ind w:firstLineChars="200" w:firstLine="640"/>
        <w:rPr>
          <w:rFonts w:ascii="楷体_GB2312" w:eastAsia="楷体_GB2312"/>
          <w:sz w:val="32"/>
          <w:szCs w:val="32"/>
        </w:rPr>
      </w:pPr>
      <w:r>
        <w:rPr>
          <w:rFonts w:ascii="楷体_GB2312" w:eastAsia="楷体_GB2312" w:hint="eastAsia"/>
          <w:sz w:val="32"/>
          <w:szCs w:val="32"/>
          <w:lang w:val="zh-CN"/>
        </w:rPr>
        <w:t>（三）项目资金申报相符性。</w:t>
      </w:r>
    </w:p>
    <w:p>
      <w:pPr>
        <w:spacing w:line="560" w:lineRule="exact"/>
        <w:ind w:firstLineChars="200" w:firstLine="640"/>
        <w:rPr>
          <w:rFonts w:eastAsia="仿宋_GB2312"/>
          <w:sz w:val="32"/>
          <w:szCs w:val="32"/>
        </w:rPr>
      </w:pPr>
      <w:r>
        <w:rPr>
          <w:rFonts w:eastAsia="仿宋_GB2312" w:hint="eastAsia"/>
          <w:sz w:val="32"/>
          <w:szCs w:val="32"/>
        </w:rPr>
        <w:t>严格按照项目资金批复方案执行，申报内容与实际相符，申报目标合理可行。</w:t>
      </w:r>
    </w:p>
    <w:p>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二、项目实施及管理情况</w:t>
      </w:r>
    </w:p>
    <w:p>
      <w:pPr>
        <w:adjustRightInd w:val="0"/>
        <w:snapToGrid w:val="0"/>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（一）资金计划、到位及使用情况。</w:t>
      </w:r>
    </w:p>
    <w:p>
      <w:pPr>
        <w:adjustRightInd w:val="0"/>
        <w:snapToGrid w:val="0"/>
        <w:spacing w:line="560" w:lineRule="exact"/>
        <w:ind w:firstLineChars="200" w:firstLine="640"/>
        <w:rPr>
          <w:rFonts w:eastAsia="仿宋_GB2312"/>
          <w:sz w:val="32"/>
          <w:szCs w:val="32"/>
          <w:lang w:val="zh-CN"/>
        </w:rPr>
      </w:pPr>
      <w:r>
        <w:rPr>
          <w:rFonts w:eastAsia="仿宋_GB2312"/>
          <w:sz w:val="32"/>
          <w:szCs w:val="32"/>
          <w:lang w:val="zh-CN"/>
        </w:rPr>
        <w:t>1</w:t>
      </w:r>
      <w:r>
        <w:rPr>
          <w:rFonts w:eastAsia="仿宋_GB2312" w:hint="eastAsia"/>
          <w:sz w:val="32"/>
          <w:szCs w:val="32"/>
          <w:lang w:val="zh-CN"/>
        </w:rPr>
        <w:t>．资金计划及到位。</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34"/>
        <w:gridCol w:w="1732"/>
        <w:gridCol w:w="1732"/>
        <w:gridCol w:w="2338"/>
      </w:tblGrid>
      <w:tr>
        <w:trPr>
          <w:trHeight w:val="749"/>
        </w:trPr>
        <w:tc>
          <w:tcPr>
            <w:tcW w:w="2534" w:type="dxa"/>
            <w:shd w:val="clear" w:color="auto" w:fill="auto"/>
            <w:vAlign w:val="center"/>
          </w:tcPr>
          <w:p>
            <w:pPr>
              <w:spacing w:line="578" w:lineRule="exact"/>
              <w:ind w:firstLineChars="200" w:firstLine="420"/>
              <w:jc w:val="center"/>
              <w:rPr>
                <w:rFonts w:eastAsia="黑体"/>
              </w:rPr>
            </w:pPr>
            <w:r>
              <w:rPr>
                <w:rFonts w:eastAsia="黑体" w:hint="eastAsia"/>
              </w:rPr>
              <w:t>资金情况</w:t>
            </w:r>
          </w:p>
        </w:tc>
        <w:tc>
          <w:tcPr>
            <w:tcW w:w="1732" w:type="dxa"/>
            <w:shd w:val="clear" w:color="auto" w:fill="auto"/>
            <w:vAlign w:val="center"/>
          </w:tcPr>
          <w:p>
            <w:pPr>
              <w:spacing w:line="578" w:lineRule="exact"/>
              <w:jc w:val="center"/>
              <w:rPr>
                <w:rFonts w:eastAsia="黑体"/>
              </w:rPr>
            </w:pPr>
            <w:r>
              <w:rPr>
                <w:rFonts w:eastAsia="黑体" w:hint="eastAsia"/>
              </w:rPr>
              <w:t>计划数</w:t>
            </w:r>
          </w:p>
        </w:tc>
        <w:tc>
          <w:tcPr>
            <w:tcW w:w="1732" w:type="dxa"/>
            <w:shd w:val="clear" w:color="auto" w:fill="auto"/>
            <w:vAlign w:val="center"/>
          </w:tcPr>
          <w:p>
            <w:pPr>
              <w:spacing w:line="578" w:lineRule="exact"/>
              <w:jc w:val="center"/>
              <w:rPr>
                <w:rFonts w:eastAsia="黑体"/>
              </w:rPr>
            </w:pPr>
            <w:r>
              <w:rPr>
                <w:rFonts w:eastAsia="黑体" w:hint="eastAsia"/>
              </w:rPr>
              <w:t>到位数</w:t>
            </w:r>
          </w:p>
        </w:tc>
        <w:tc>
          <w:tcPr>
            <w:tcW w:w="2338" w:type="dxa"/>
            <w:shd w:val="clear" w:color="auto" w:fill="auto"/>
            <w:vAlign w:val="center"/>
          </w:tcPr>
          <w:p>
            <w:pPr>
              <w:spacing w:line="578" w:lineRule="exact"/>
              <w:jc w:val="center"/>
              <w:rPr>
                <w:rFonts w:eastAsia="黑体"/>
              </w:rPr>
            </w:pPr>
            <w:r>
              <w:rPr>
                <w:rFonts w:eastAsia="黑体" w:hint="eastAsia"/>
              </w:rPr>
              <w:t>使用数</w:t>
            </w:r>
          </w:p>
        </w:tc>
      </w:tr>
      <w:tr>
        <w:trPr>
          <w:trHeight w:val="561"/>
        </w:trPr>
        <w:tc>
          <w:tcPr>
            <w:tcW w:w="2534" w:type="dxa"/>
            <w:shd w:val="clear" w:color="auto" w:fill="auto"/>
            <w:vAlign w:val="center"/>
          </w:tcPr>
          <w:p>
            <w:pPr>
              <w:spacing w:line="578" w:lineRule="exact"/>
              <w:ind w:firstLineChars="200" w:firstLine="420"/>
              <w:jc w:val="center"/>
            </w:pPr>
            <w:r>
              <w:rPr>
                <w:rFonts w:hint="eastAsia"/>
              </w:rPr>
              <w:t>金额（万元）</w:t>
            </w:r>
          </w:p>
        </w:tc>
        <w:tc>
          <w:tcPr>
            <w:tcW w:w="1732" w:type="dxa"/>
            <w:shd w:val="clear" w:color="auto" w:fill="auto"/>
            <w:vAlign w:val="center"/>
          </w:tcPr>
          <w:p>
            <w:pPr>
              <w:spacing w:line="578" w:lineRule="exact"/>
              <w:ind w:firstLineChars="200" w:firstLine="420"/>
              <w:jc w:val="center"/>
            </w:pPr>
            <w:r>
              <w:t>50</w:t>
            </w:r>
          </w:p>
        </w:tc>
        <w:tc>
          <w:tcPr>
            <w:tcW w:w="1732" w:type="dxa"/>
            <w:shd w:val="clear" w:color="auto" w:fill="auto"/>
            <w:vAlign w:val="center"/>
          </w:tcPr>
          <w:p>
            <w:pPr>
              <w:spacing w:line="578" w:lineRule="exact"/>
              <w:ind w:firstLineChars="200" w:firstLine="420"/>
              <w:jc w:val="center"/>
            </w:pPr>
            <w:r>
              <w:t>18.74</w:t>
            </w:r>
          </w:p>
        </w:tc>
        <w:tc>
          <w:tcPr>
            <w:tcW w:w="2338" w:type="dxa"/>
            <w:shd w:val="clear" w:color="auto" w:fill="auto"/>
            <w:vAlign w:val="center"/>
          </w:tcPr>
          <w:p>
            <w:pPr>
              <w:spacing w:line="578" w:lineRule="exact"/>
              <w:ind w:firstLineChars="200" w:firstLine="420"/>
            </w:pPr>
            <w:r>
              <w:t>18.74</w:t>
            </w:r>
          </w:p>
        </w:tc>
      </w:tr>
    </w:tbl>
    <w:p>
      <w:pPr>
        <w:adjustRightInd w:val="0"/>
        <w:snapToGrid w:val="0"/>
        <w:spacing w:line="560" w:lineRule="exact"/>
        <w:ind w:firstLineChars="200" w:firstLine="640"/>
        <w:rPr>
          <w:rFonts w:eastAsia="仿宋_GB2312"/>
          <w:sz w:val="32"/>
          <w:szCs w:val="32"/>
          <w:lang w:val="zh-CN"/>
        </w:rPr>
      </w:pPr>
      <w:r>
        <w:rPr>
          <w:rFonts w:eastAsia="仿宋_GB2312"/>
          <w:sz w:val="32"/>
          <w:szCs w:val="32"/>
          <w:lang w:val="zh-CN"/>
        </w:rPr>
        <w:t>2</w:t>
      </w:r>
      <w:r>
        <w:rPr>
          <w:rFonts w:eastAsia="仿宋_GB2312" w:hint="eastAsia"/>
          <w:sz w:val="32"/>
          <w:szCs w:val="32"/>
          <w:lang w:val="zh-CN"/>
        </w:rPr>
        <w:t>．资金使用。</w:t>
      </w:r>
    </w:p>
    <w:p>
      <w:pPr>
        <w:adjustRightInd w:val="0"/>
        <w:snapToGrid w:val="0"/>
        <w:spacing w:line="560" w:lineRule="exact"/>
        <w:ind w:firstLineChars="200" w:firstLine="640"/>
        <w:rPr>
          <w:rFonts w:eastAsia="仿宋_GB2312"/>
          <w:sz w:val="32"/>
          <w:szCs w:val="32"/>
          <w:lang w:val="zh-CN"/>
        </w:rPr>
      </w:pPr>
      <w:r>
        <w:rPr>
          <w:rFonts w:eastAsia="仿宋_GB2312" w:hint="eastAsia"/>
          <w:sz w:val="32"/>
          <w:szCs w:val="32"/>
          <w:lang w:val="zh-CN"/>
        </w:rPr>
        <w:t>项目资金的实际支出</w:t>
      </w:r>
      <w:r>
        <w:rPr>
          <w:rFonts w:eastAsia="仿宋_GB2312"/>
          <w:sz w:val="32"/>
          <w:szCs w:val="32"/>
        </w:rPr>
        <w:t>18.74</w:t>
      </w:r>
      <w:r>
        <w:rPr>
          <w:rFonts w:eastAsia="仿宋_GB2312" w:hint="eastAsia"/>
          <w:sz w:val="32"/>
          <w:szCs w:val="32"/>
        </w:rPr>
        <w:t>万元</w:t>
      </w:r>
      <w:r>
        <w:rPr>
          <w:rFonts w:eastAsia="仿宋_GB2312" w:hint="eastAsia"/>
          <w:sz w:val="32"/>
          <w:szCs w:val="32"/>
          <w:lang w:val="zh-CN"/>
        </w:rPr>
        <w:t>，资金支付依据合规合法，与预算相符。</w:t>
      </w:r>
    </w:p>
    <w:p>
      <w:pPr>
        <w:adjustRightInd w:val="0"/>
        <w:snapToGrid w:val="0"/>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（二）项目财务管理情况。</w:t>
      </w:r>
    </w:p>
    <w:p>
      <w:pPr>
        <w:adjustRightInd w:val="0"/>
        <w:snapToGrid w:val="0"/>
        <w:spacing w:line="560" w:lineRule="exact"/>
        <w:ind w:firstLineChars="200" w:firstLine="640"/>
        <w:rPr>
          <w:rFonts w:eastAsia="仿宋_GB2312"/>
          <w:sz w:val="32"/>
          <w:szCs w:val="32"/>
          <w:lang w:val="zh-CN"/>
        </w:rPr>
      </w:pPr>
      <w:r>
        <w:rPr>
          <w:rFonts w:eastAsia="仿宋_GB2312" w:hint="eastAsia"/>
          <w:sz w:val="32"/>
          <w:szCs w:val="32"/>
        </w:rPr>
        <w:t>项目实施财务管理制度健全，严格执行财务管理制度，账务处理及时，会计核算规范等，票据完整。</w:t>
      </w:r>
    </w:p>
    <w:p>
      <w:pPr>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（三）项目组织实施情况。</w:t>
      </w:r>
    </w:p>
    <w:p>
      <w:pPr>
        <w:spacing w:line="560" w:lineRule="exact"/>
        <w:ind w:firstLineChars="200" w:firstLine="640"/>
        <w:rPr>
          <w:rFonts w:eastAsia="仿宋_GB2312"/>
          <w:sz w:val="32"/>
          <w:szCs w:val="32"/>
        </w:rPr>
      </w:pPr>
      <w:r>
        <w:rPr>
          <w:rFonts w:eastAsia="仿宋_GB2312" w:hint="eastAsia"/>
          <w:sz w:val="32"/>
          <w:szCs w:val="32"/>
        </w:rPr>
        <w:t>由攀枝花市医疗保障事务中心根据攀枝花市医疗保障局确定的宣传工作方案，分子项目开展宣传工作。攀枝花市医疗保障事务中心成立领导工作小组，领导小组下设若干转项工作组，抽调部分人员参加专项工作，在专项工作组责任人领导下承担具体工作任务。各小组按照工作职责负责日常具体工作，保障组织管理和运行的可持续性。</w:t>
      </w:r>
    </w:p>
    <w:p>
      <w:pPr>
        <w:adjustRightInd w:val="0"/>
        <w:snapToGrid w:val="0"/>
        <w:spacing w:line="560" w:lineRule="exact"/>
        <w:ind w:firstLineChars="200" w:firstLine="640"/>
        <w:rPr>
          <w:rFonts w:ascii="黑体" w:eastAsia="黑体"/>
          <w:sz w:val="32"/>
          <w:szCs w:val="32"/>
          <w:lang w:val="zh-CN"/>
        </w:rPr>
      </w:pPr>
      <w:r>
        <w:rPr>
          <w:rFonts w:ascii="黑体" w:eastAsia="黑体" w:hint="eastAsia"/>
          <w:sz w:val="32"/>
          <w:szCs w:val="32"/>
        </w:rPr>
        <w:t>三、项目绩效情况</w:t>
      </w:r>
    </w:p>
    <w:p>
      <w:pPr>
        <w:adjustRightInd w:val="0"/>
        <w:snapToGrid w:val="0"/>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（一）项目完成情况。</w:t>
      </w:r>
    </w:p>
    <w:p>
      <w:pPr>
        <w:snapToGrid w:val="0"/>
        <w:spacing w:line="560" w:lineRule="exact"/>
        <w:ind w:firstLineChars="200" w:firstLine="640"/>
        <w:rPr>
          <w:rFonts w:eastAsia="仿宋_GB2312"/>
          <w:sz w:val="32"/>
          <w:szCs w:val="32"/>
        </w:rPr>
      </w:pPr>
      <w:r>
        <w:rPr>
          <w:rFonts w:eastAsia="仿宋_GB2312" w:hint="eastAsia"/>
          <w:sz w:val="32"/>
          <w:szCs w:val="32"/>
        </w:rPr>
        <w:t>按照计划完成全年工作目标，结合项目</w:t>
      </w:r>
      <w:r>
        <w:rPr>
          <w:rFonts w:eastAsia="仿宋_GB2312"/>
          <w:sz w:val="32"/>
          <w:szCs w:val="32"/>
        </w:rPr>
        <w:t>2022</w:t>
      </w:r>
      <w:r>
        <w:rPr>
          <w:rFonts w:eastAsia="仿宋_GB2312" w:hint="eastAsia"/>
          <w:sz w:val="32"/>
          <w:szCs w:val="32"/>
        </w:rPr>
        <w:t>年实际需求、相关费用标准及市场价格水平，按照《攀枝花市医疗保障能力提升行动工作方案》，建立医疗保障经办机构和街道（乡镇）、社区、用人单位的常态化信息沟通机制；充分利用各种媒介，畅通服务对象获取医疗保障信息的渠道，为每名参保人员提供便捷服务；健全信息宣传发布机制，实现医疗保障经办动态及时、准确发布。</w:t>
      </w:r>
    </w:p>
    <w:p>
      <w:pPr>
        <w:spacing w:line="560" w:lineRule="exact"/>
        <w:ind w:firstLineChars="200" w:firstLine="640"/>
        <w:rPr>
          <w:rFonts w:ascii="楷体_GB2312" w:eastAsia="楷体_GB2312"/>
          <w:sz w:val="32"/>
          <w:szCs w:val="32"/>
        </w:rPr>
      </w:pPr>
      <w:r>
        <w:rPr>
          <w:rFonts w:ascii="楷体_GB2312" w:eastAsia="楷体_GB2312" w:hint="eastAsia"/>
          <w:sz w:val="32"/>
          <w:szCs w:val="32"/>
          <w:lang w:val="zh-CN"/>
        </w:rPr>
        <w:t>（二）项目效益情况。</w:t>
      </w:r>
    </w:p>
    <w:p>
      <w:pPr>
        <w:spacing w:line="560" w:lineRule="exact"/>
        <w:ind w:firstLineChars="200" w:firstLine="640"/>
        <w:rPr>
          <w:rFonts w:eastAsia="仿宋_GB2312"/>
          <w:sz w:val="32"/>
          <w:szCs w:val="32"/>
        </w:rPr>
      </w:pPr>
      <w:r>
        <w:rPr>
          <w:rFonts w:eastAsia="仿宋_GB2312" w:hint="eastAsia"/>
          <w:sz w:val="32"/>
          <w:szCs w:val="32"/>
        </w:rPr>
        <w:t>保障全市医保系统稳定运行，构建可持续发展的多层次医疗保障体系，不断提高攀枝花市医疗保障水平，更好</w:t>
      </w:r>
      <w:r>
        <w:rPr>
          <w:rFonts w:eastAsia="仿宋_GB2312"/>
          <w:sz w:val="32"/>
          <w:szCs w:val="32"/>
        </w:rPr>
        <w:t>地</w:t>
      </w:r>
      <w:bookmarkStart w:id="0" w:name="_GoBack"/>
      <w:bookmarkEnd w:id="0"/>
      <w:r>
        <w:rPr>
          <w:rFonts w:eastAsia="仿宋_GB2312" w:hint="eastAsia"/>
          <w:sz w:val="32"/>
          <w:szCs w:val="32"/>
        </w:rPr>
        <w:t>保障参保人员的合法权益，</w:t>
      </w:r>
      <w:r>
        <w:rPr>
          <w:rFonts w:eastAsia="仿宋_GB2312" w:hint="eastAsia"/>
          <w:color w:val="000000"/>
          <w:sz w:val="32"/>
          <w:szCs w:val="32"/>
        </w:rPr>
        <w:t>实现作风建设明显加强、服务方式不断改进、服务质量有效提升，群众满意度得到了提高，促进医保事业高效快速发展。</w:t>
      </w:r>
    </w:p>
    <w:p>
      <w:pPr>
        <w:adjustRightInd w:val="0"/>
        <w:snapToGrid w:val="0"/>
        <w:spacing w:line="560" w:lineRule="exact"/>
        <w:ind w:firstLineChars="200" w:firstLine="640"/>
        <w:rPr>
          <w:rFonts w:ascii="黑体" w:eastAsia="黑体"/>
          <w:sz w:val="32"/>
          <w:szCs w:val="32"/>
        </w:rPr>
      </w:pPr>
      <w:r>
        <w:rPr>
          <w:rFonts w:ascii="黑体" w:eastAsia="黑体" w:hint="eastAsia"/>
          <w:sz w:val="32"/>
          <w:szCs w:val="32"/>
        </w:rPr>
        <w:t>四、问题及建议</w:t>
      </w:r>
    </w:p>
    <w:p>
      <w:pPr>
        <w:adjustRightInd w:val="0"/>
        <w:snapToGrid w:val="0"/>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（一）存在的问题。</w:t>
      </w:r>
    </w:p>
    <w:p>
      <w:pPr>
        <w:adjustRightInd w:val="0"/>
        <w:snapToGrid w:val="0"/>
        <w:spacing w:line="560" w:lineRule="exact"/>
        <w:ind w:firstLineChars="200" w:firstLine="640"/>
        <w:rPr>
          <w:rFonts w:eastAsia="仿宋_GB2312"/>
          <w:sz w:val="32"/>
          <w:szCs w:val="32"/>
        </w:rPr>
      </w:pPr>
      <w:r>
        <w:rPr>
          <w:rFonts w:eastAsia="仿宋_GB2312" w:hint="eastAsia"/>
          <w:sz w:val="32"/>
          <w:szCs w:val="32"/>
        </w:rPr>
        <w:t>无</w:t>
      </w:r>
    </w:p>
    <w:p>
      <w:pPr>
        <w:adjustRightInd w:val="0"/>
        <w:snapToGrid w:val="0"/>
        <w:spacing w:line="560" w:lineRule="exact"/>
        <w:ind w:firstLineChars="200" w:firstLine="640"/>
        <w:rPr>
          <w:rFonts w:ascii="楷体_GB2312" w:eastAsia="楷体_GB2312"/>
          <w:sz w:val="32"/>
          <w:szCs w:val="32"/>
          <w:lang w:val="zh-CN"/>
        </w:rPr>
      </w:pPr>
      <w:r>
        <w:rPr>
          <w:rFonts w:ascii="楷体_GB2312" w:eastAsia="楷体_GB2312" w:hint="eastAsia"/>
          <w:sz w:val="32"/>
          <w:szCs w:val="32"/>
          <w:lang w:val="zh-CN"/>
        </w:rPr>
        <w:t>（二）相关建议。</w:t>
      </w:r>
    </w:p>
    <w:p>
      <w:pPr>
        <w:adjustRightInd w:val="0"/>
        <w:snapToGrid w:val="0"/>
        <w:spacing w:line="560" w:lineRule="exact"/>
        <w:ind w:firstLineChars="200" w:firstLine="640"/>
        <w:rPr>
          <w:rFonts w:eastAsia="仿宋_GB2312"/>
          <w:sz w:val="32"/>
          <w:szCs w:val="32"/>
        </w:rPr>
      </w:pPr>
      <w:r>
        <w:rPr>
          <w:rFonts w:eastAsia="仿宋_GB2312" w:hint="eastAsia"/>
          <w:sz w:val="32"/>
          <w:szCs w:val="32"/>
        </w:rPr>
        <w:t>无</w:t>
      </w:r>
    </w:p>
    <w:p>
      <w:pPr>
        <w:adjustRightInd w:val="0"/>
        <w:snapToGrid w:val="0"/>
        <w:spacing w:line="560" w:lineRule="exact"/>
        <w:ind w:firstLine="720"/>
      </w:pPr>
    </w:p>
    <w:p>
      <w:pPr>
        <w:adjustRightInd w:val="0"/>
        <w:snapToGrid w:val="0"/>
        <w:spacing w:line="560" w:lineRule="exact"/>
        <w:ind w:firstLine="720"/>
      </w:pPr>
    </w:p>
    <w:p>
      <w:pPr>
        <w:adjustRightInd w:val="0"/>
        <w:snapToGrid w:val="0"/>
        <w:spacing w:line="560" w:lineRule="exact"/>
        <w:ind w:firstLine="720"/>
      </w:pPr>
    </w:p>
    <w:sectPr>
      <w:footerReference w:type="default" r:id="rId2"/>
      <w:footerReference w:type="even" r:id="rId3"/>
      <w:footerReference w:type="first" r:id="rId4"/>
      <w:pgSz w:w="11906" w:h="16838"/>
      <w:pgMar w:top="2098" w:right="1474" w:bottom="1985" w:left="1588" w:header="851" w:footer="1418"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9000000000000"/>
    <w:charset w:val="86"/>
    <w:family w:val="script"/>
    <w:pitch w:val="variable"/>
    <w:sig w:usb0="00000001" w:usb1="080E0000" w:usb2="00000010" w:usb3="00000000" w:csb0="00040000" w:csb1="00000000"/>
  </w:font>
  <w:font w:name="楷体_GB2312">
    <w:altName w:val="Arial Unicode MS"/>
    <w:panose1 w:val="00000000000000000000"/>
    <w:charset w:val="86"/>
    <w:family w:val="modern"/>
    <w:pitch w:val="variable"/>
    <w:sig w:usb0="00000000" w:usb1="080E0000" w:usb2="00000010" w:usb3="00000000" w:csb0="00040000" w:csb1="00000000"/>
  </w:font>
  <w:font w:name="仿宋_GB2312">
    <w:altName w:val="Arial Unicode MS"/>
    <w:panose1 w:val="02010609030101010101"/>
    <w:charset w:val="86"/>
    <w:family w:val="modern"/>
    <w:pitch w:val="variable"/>
    <w:sig w:usb0="00000001" w:usb1="080E0000" w:usb2="00000010" w:usb3="00000000" w:csb0="00040000" w:csb1="00000000"/>
  </w:font>
  <w:font w:name="??">
    <w:altName w:val="Times New Roman"/>
    <w:panose1 w:val="00000000000000000000"/>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wordWrap w:val="0"/>
      <w:ind w:right="140"/>
      <w:jc w:val="right"/>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3</w:t>
    </w:r>
    <w:r>
      <w:rPr>
        <w:rFonts w:ascii="宋体" w:eastAsia="宋体"/>
        <w:sz w:val="28"/>
        <w:szCs w:val="28"/>
      </w:rPr>
      <w:fldChar w:fldCharType="end"/>
    </w:r>
    <w:r>
      <w:rPr>
        <w:rFonts w:ascii="宋体" w:eastAsia="宋体" w:hint="eastAsia"/>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50" w:firstLine="140"/>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2</w:t>
    </w:r>
    <w:r>
      <w:rPr>
        <w:rFonts w:ascii="宋体" w:eastAsia="宋体"/>
        <w:sz w:val="28"/>
        <w:szCs w:val="28"/>
      </w:rPr>
      <w:fldChar w:fldCharType="end"/>
    </w:r>
    <w:r>
      <w:rPr>
        <w:rFonts w:ascii="宋体" w:eastAsia="宋体" w:hint="eastAsia"/>
        <w:sz w:val="28"/>
        <w:szCs w:val="28"/>
      </w:rPr>
      <w:t>－</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140"/>
      <w:jc w:val="right"/>
      <w:rPr>
        <w:rFonts w:ascii="宋体" w:eastAsia="宋体"/>
        <w:sz w:val="28"/>
        <w:szCs w:val="28"/>
      </w:rPr>
    </w:pPr>
    <w:r>
      <w:rPr>
        <w:rFonts w:ascii="宋体" w:eastAsia="宋体" w:hint="eastAsia"/>
        <w:sz w:val="28"/>
        <w:szCs w:val="28"/>
      </w:rPr>
      <w:t>－</w:t>
    </w:r>
    <w:r>
      <w:rPr>
        <w:rFonts w:ascii="宋体" w:eastAsia="宋体"/>
        <w:sz w:val="28"/>
        <w:szCs w:val="28"/>
      </w:rPr>
      <w:fldChar w:fldCharType="begin"/>
    </w:r>
    <w:r>
      <w:rPr>
        <w:rFonts w:ascii="宋体" w:eastAsia="宋体"/>
        <w:sz w:val="28"/>
        <w:szCs w:val="28"/>
      </w:rPr>
      <w:instrText xml:space="preserve"> PAGE   \* MERGEFORMAT </w:instrText>
    </w:r>
    <w:r>
      <w:rPr>
        <w:rFonts w:ascii="宋体" w:eastAsia="宋体"/>
        <w:sz w:val="28"/>
        <w:szCs w:val="28"/>
      </w:rPr>
      <w:fldChar w:fldCharType="separate"/>
    </w:r>
    <w:r>
      <w:rPr>
        <w:rFonts w:ascii="宋体" w:eastAsia="宋体"/>
        <w:sz w:val="28"/>
        <w:szCs w:val="28"/>
        <w:lang w:val="zh-CN"/>
      </w:rPr>
      <w:t>1</w:t>
    </w:r>
    <w:r>
      <w:rPr>
        <w:rFonts w:ascii="宋体" w:eastAsia="宋体"/>
        <w:sz w:val="28"/>
        <w:szCs w:val="28"/>
      </w:rPr>
      <w:fldChar w:fldCharType="end"/>
    </w:r>
    <w:r>
      <w:rPr>
        <w:rFonts w:ascii="宋体" w:eastAsia="宋体" w:hint="eastAsia"/>
        <w:sz w:val="28"/>
        <w:szCs w:val="28"/>
      </w:rPr>
      <w:t>－</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2"/>
  </w:compat>
  <w:docVars>
    <w:docVar w:name="KGWebUrl" w:val="http://10.3.1.25:80/seeyon/officeservle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character" w:customStyle="1" w:styleId="17">
    <w:name w:val="公文主题词"/>
    <w:rPr>
      <w:rFonts w:ascii="黑体" w:eastAsia="黑体"/>
      <w:b/>
      <w:bCs/>
      <w:sz w:val="32"/>
    </w:rPr>
  </w:style>
  <w:style w:type="paragraph" w:styleId="18">
    <w:name w:val="Date"/>
    <w:basedOn w:val="0"/>
    <w:next w:val="0"/>
    <w:pPr>
      <w:ind w:leftChars="2500" w:left="2500"/>
    </w:pPr>
  </w:style>
  <w:style w:type="paragraph" w:customStyle="1" w:styleId="19">
    <w:name w:val="发问编号"/>
    <w:basedOn w:val="0"/>
    <w:pPr>
      <w:spacing w:line="600" w:lineRule="exact"/>
      <w:jc w:val="center"/>
    </w:pPr>
    <w:rPr>
      <w:rFonts w:eastAsia="仿宋_GB2312" w:cs="宋体"/>
      <w:sz w:val="32"/>
      <w:szCs w:val="20"/>
    </w:rPr>
  </w:style>
  <w:style w:type="paragraph" w:customStyle="1" w:styleId="20">
    <w:name w:val="发文单位"/>
    <w:basedOn w:val="0"/>
    <w:pPr>
      <w:spacing w:line="600" w:lineRule="exact"/>
      <w:jc w:val="center"/>
    </w:pPr>
    <w:rPr>
      <w:rFonts w:ascii="方正小标宋_GBK" w:eastAsia="方正小标宋_GBK" w:cs="宋体"/>
      <w:sz w:val="44"/>
      <w:szCs w:val="20"/>
    </w:rPr>
  </w:style>
  <w:style w:type="paragraph" w:customStyle="1" w:styleId="21">
    <w:name w:val="主送单位"/>
    <w:basedOn w:val="0"/>
    <w:pPr>
      <w:spacing w:line="600" w:lineRule="exact"/>
    </w:pPr>
    <w:rPr>
      <w:rFonts w:eastAsia="仿宋_GB2312" w:cs="宋体"/>
      <w:sz w:val="32"/>
      <w:szCs w:val="20"/>
    </w:rPr>
  </w:style>
  <w:style w:type="paragraph" w:customStyle="1" w:styleId="22">
    <w:name w:val="公文标题"/>
    <w:basedOn w:val="0"/>
    <w:pPr>
      <w:spacing w:line="600" w:lineRule="exact"/>
      <w:jc w:val="center"/>
    </w:pPr>
    <w:rPr>
      <w:rFonts w:ascii="方正小标宋_GBK" w:eastAsia="方正小标宋_GBK" w:cs="宋体"/>
      <w:sz w:val="44"/>
      <w:szCs w:val="20"/>
    </w:rPr>
  </w:style>
  <w:style w:type="paragraph" w:customStyle="1" w:styleId="23">
    <w:name w:val="公文抄送"/>
    <w:basedOn w:val="0"/>
    <w:pPr>
      <w:spacing w:line="600" w:lineRule="exact"/>
    </w:pPr>
    <w:rPr>
      <w:rFonts w:eastAsia="仿宋_GB2312" w:cs="宋体"/>
      <w:sz w:val="32"/>
      <w:szCs w:val="20"/>
    </w:rPr>
  </w:style>
  <w:style w:type="paragraph" w:customStyle="1" w:styleId="24">
    <w:name w:val="发文时间和印发时间"/>
    <w:basedOn w:val="0"/>
    <w:pPr>
      <w:spacing w:line="600" w:lineRule="exact"/>
      <w:jc w:val="right"/>
    </w:pPr>
    <w:rPr>
      <w:rFonts w:eastAsia="仿宋_GB2312" w:cs="宋体"/>
      <w:sz w:val="32"/>
      <w:szCs w:val="20"/>
    </w:rPr>
  </w:style>
  <w:style w:type="paragraph" w:customStyle="1" w:styleId="25">
    <w:name w:val="发文时间"/>
    <w:basedOn w:val="0"/>
    <w:pPr>
      <w:spacing w:line="600" w:lineRule="exact"/>
      <w:ind w:firstLineChars="1300" w:firstLine="1300"/>
      <w:jc w:val="right"/>
    </w:pPr>
    <w:rPr>
      <w:rFonts w:eastAsia="仿宋_GB2312" w:cs="宋体"/>
      <w:sz w:val="32"/>
      <w:szCs w:val="20"/>
    </w:rPr>
  </w:style>
  <w:style w:type="paragraph" w:customStyle="1" w:styleId="26">
    <w:name w:val="公文正文"/>
    <w:basedOn w:val="0"/>
    <w:pPr>
      <w:spacing w:line="600" w:lineRule="exact"/>
      <w:ind w:firstLineChars="200" w:firstLine="200"/>
    </w:pPr>
    <w:rPr>
      <w:rFonts w:eastAsia="仿宋_GB2312" w:cs="宋体"/>
      <w:sz w:val="32"/>
      <w:szCs w:val="20"/>
    </w:rPr>
  </w:style>
  <w:style w:type="paragraph" w:customStyle="1" w:styleId="27">
    <w:name w:val="四号正文"/>
    <w:basedOn w:val="0"/>
    <w:pPr>
      <w:spacing w:line="360" w:lineRule="auto"/>
    </w:pPr>
    <w:rPr>
      <w:rFonts w:ascii="??" w:cs="宋体" w:hAnsi="??"/>
      <w:color w:val="000000"/>
      <w:kern w:val="0"/>
      <w:sz w:val="28"/>
      <w:szCs w:val="21"/>
    </w:rPr>
  </w:style>
  <w:style w:type="character" w:customStyle="1" w:styleId="28">
    <w:name w:val="fontstyle01"/>
    <w:basedOn w:val="10"/>
    <w:rPr>
      <w:rFonts w:ascii="方正小标宋_GBK" w:eastAsia="方正小标宋_GBK" w:cs="Times New Roman"/>
      <w:color w:val="000000"/>
      <w:sz w:val="44"/>
      <w:szCs w:val="44"/>
    </w:rPr>
  </w:style>
  <w:style w:type="paragraph" w:styleId="29">
    <w:name w:val="List Paragraph"/>
    <w:basedOn w:val="0"/>
    <w:pPr>
      <w:ind w:firstLineChars="200" w:firstLine="200"/>
    </w:pPr>
    <w:rPr>
      <w:rFonts w:ascii="Calibri" w:eastAsia="仿宋_GB2312" w:hAnsi="Calibri"/>
      <w:sz w:val="32"/>
    </w:rPr>
  </w:style>
  <w:style w:type="paragraph" w:styleId="30">
    <w:name w:val="Balloon Text"/>
    <w:basedOn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Yozo_Office27021597764231179</Application>
  <Pages>3</Pages>
  <Words>1153</Words>
  <Characters>1182</Characters>
  <Lines>71</Lines>
  <Paragraphs>37</Paragraphs>
  <CharactersWithSpaces>1182</CharactersWithSpaces>
  <Company>ws</Company>
</Properties>
</file>

<file path=docProps/core.xml><?xml version="1.0" encoding="utf-8"?>
<cp:coreProperties xmlns:cp="http://schemas.openxmlformats.org/package/2006/metadata/core-properties" xmlns:dc="http://purl.org/dc/elements/1.1/" xmlns:dcterms="http://purl.org/dc/terms/" xmlns:xsi="http://www.w3.org/2001/XMLSchema-instance">
  <dc:title>公文模板</dc:title>
  <dc:creator>chenfj</dc:creator>
  <cp:lastModifiedBy>user</cp:lastModifiedBy>
  <cp:revision>4</cp:revision>
  <dcterms:created xsi:type="dcterms:W3CDTF">2023-05-06T06:41:00Z</dcterms:created>
  <dcterms:modified xsi:type="dcterms:W3CDTF">2023-05-06T08:38:33Z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2052-10.1.0.7400</vt:lpwstr>
  </property>
</Properties>
</file>