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60" w:rsidRPr="00FF66DD" w:rsidRDefault="00663960" w:rsidP="00663960">
      <w:pPr>
        <w:pStyle w:val="a3"/>
        <w:spacing w:line="560" w:lineRule="exact"/>
        <w:jc w:val="left"/>
        <w:rPr>
          <w:rFonts w:ascii="Times New Roman" w:eastAsia="黑体" w:hAnsi="Times New Roman" w:hint="eastAsia"/>
          <w:color w:val="000000"/>
          <w:sz w:val="32"/>
          <w:szCs w:val="32"/>
          <w:lang w:eastAsia="zh-CN"/>
        </w:rPr>
      </w:pPr>
      <w:r w:rsidRPr="00FF66DD">
        <w:rPr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  <w:lang w:eastAsia="zh-CN"/>
        </w:rPr>
        <w:t>1</w:t>
      </w:r>
    </w:p>
    <w:p w:rsidR="00663960" w:rsidRPr="00FF66DD" w:rsidRDefault="00663960" w:rsidP="00663960">
      <w:pPr>
        <w:pStyle w:val="a3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proofErr w:type="spellStart"/>
      <w:r w:rsidRPr="00FF66DD">
        <w:rPr>
          <w:rFonts w:ascii="Times New Roman" w:eastAsia="方正小标宋_GBK" w:hAnsi="Times New Roman"/>
          <w:color w:val="000000"/>
          <w:sz w:val="44"/>
          <w:szCs w:val="44"/>
        </w:rPr>
        <w:t>攀枝花市医疗保障局</w:t>
      </w:r>
      <w:proofErr w:type="spellEnd"/>
    </w:p>
    <w:p w:rsidR="00663960" w:rsidRPr="00FF66DD" w:rsidRDefault="00663960" w:rsidP="00663960">
      <w:pPr>
        <w:pStyle w:val="a3"/>
        <w:spacing w:line="56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FF66DD">
        <w:rPr>
          <w:rFonts w:ascii="Times New Roman" w:eastAsia="方正小标宋_GBK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color w:val="000000"/>
          <w:sz w:val="44"/>
          <w:szCs w:val="44"/>
          <w:lang w:eastAsia="zh-CN"/>
        </w:rPr>
        <w:t>1</w:t>
      </w:r>
      <w:r w:rsidRPr="00FF66DD">
        <w:rPr>
          <w:rFonts w:ascii="Times New Roman" w:eastAsia="方正小标宋_GBK" w:hAnsi="Times New Roman"/>
          <w:color w:val="000000"/>
          <w:sz w:val="44"/>
          <w:szCs w:val="44"/>
        </w:rPr>
        <w:t>年度部门预算项目绩效自评报告</w:t>
      </w:r>
    </w:p>
    <w:p w:rsidR="00663960" w:rsidRPr="00FF66DD" w:rsidRDefault="00663960" w:rsidP="00663960">
      <w:pPr>
        <w:pStyle w:val="a3"/>
        <w:spacing w:line="560" w:lineRule="exact"/>
        <w:jc w:val="center"/>
        <w:rPr>
          <w:rFonts w:ascii="Times New Roman" w:eastAsia="楷体_GB2312" w:hAnsi="Times New Roman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sz w:val="32"/>
          <w:szCs w:val="32"/>
        </w:rPr>
        <w:t>（</w:t>
      </w:r>
      <w:proofErr w:type="spellStart"/>
      <w:r w:rsidRPr="00FF66DD">
        <w:rPr>
          <w:rFonts w:ascii="Times New Roman" w:eastAsia="楷体_GB2312" w:hAnsi="Times New Roman"/>
          <w:color w:val="000000"/>
          <w:sz w:val="32"/>
          <w:szCs w:val="32"/>
        </w:rPr>
        <w:t>业务运行费</w:t>
      </w:r>
      <w:proofErr w:type="spellEnd"/>
      <w:r w:rsidRPr="00FF66DD">
        <w:rPr>
          <w:rFonts w:ascii="Times New Roman" w:eastAsia="楷体_GB2312" w:hAnsi="Times New Roman"/>
          <w:color w:val="000000"/>
          <w:sz w:val="32"/>
          <w:szCs w:val="32"/>
        </w:rPr>
        <w:t>）</w:t>
      </w:r>
    </w:p>
    <w:p w:rsidR="00663960" w:rsidRPr="00FF66DD" w:rsidRDefault="00663960" w:rsidP="00663960">
      <w:pPr>
        <w:pStyle w:val="a3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kern w:val="0"/>
          <w:sz w:val="32"/>
          <w:szCs w:val="32"/>
        </w:rPr>
        <w:t>一、项目概况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（一）项目基本情况。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根据《中共攀枝花市委办公室、攀枝花市人民政府办公室关于印发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&lt;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攀枝花市医疗保障局职能配置、内设机构和人员编制规定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&gt;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的通知》（攀委办〔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2019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〕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43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号）要求，</w:t>
      </w:r>
      <w:r>
        <w:rPr>
          <w:rFonts w:ascii="Times New Roman" w:eastAsia="仿宋_GB2312" w:hAnsi="Times New Roman"/>
          <w:color w:val="000000"/>
          <w:sz w:val="32"/>
          <w:szCs w:val="32"/>
        </w:rPr>
        <w:t>攀枝花市医疗保障局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（以下简称“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市</w:t>
      </w:r>
      <w:proofErr w:type="gramStart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保局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”）</w:t>
      </w:r>
      <w:r>
        <w:rPr>
          <w:rFonts w:ascii="Times New Roman" w:eastAsia="仿宋_GB2312" w:hAnsi="Times New Roman"/>
          <w:color w:val="000000"/>
          <w:sz w:val="32"/>
          <w:szCs w:val="32"/>
        </w:rPr>
        <w:t>承担部门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职能职责，保障</w:t>
      </w:r>
      <w:proofErr w:type="gramStart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医保各项</w:t>
      </w:r>
      <w:proofErr w:type="gramEnd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工作的日常运转，推进</w:t>
      </w:r>
      <w:proofErr w:type="gramStart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医保可</w:t>
      </w:r>
      <w:proofErr w:type="gramEnd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持续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高质量的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发展，为全市参保人员提供高效、便捷的服务。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年初安排的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业务</w:t>
      </w:r>
      <w:proofErr w:type="gramStart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运行费保基本</w:t>
      </w:r>
      <w:proofErr w:type="gramEnd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、保运转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该项目由市</w:t>
      </w:r>
      <w:proofErr w:type="gramStart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保局办公室负责，各科室根据资金支付计划，统筹安排使用。</w:t>
      </w:r>
    </w:p>
    <w:p w:rsidR="00663960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 w:hint="eastAsia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（二）项目绩效目标。</w:t>
      </w:r>
    </w:p>
    <w:p w:rsidR="00663960" w:rsidRPr="00FF66DD" w:rsidRDefault="00663960" w:rsidP="0066396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保障全市</w:t>
      </w:r>
      <w:proofErr w:type="gramStart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保系统稳定运行，构建可持续发展的多层次医疗保障体系，不断提高攀枝花市医疗保障水平，更好的保障参保人员的合法权益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为全市参保群体提供优质高效的</w:t>
      </w:r>
      <w:proofErr w:type="gramStart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保经办服务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kern w:val="0"/>
          <w:sz w:val="32"/>
          <w:szCs w:val="32"/>
        </w:rPr>
        <w:t>二、项目资金申报及使用情况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（一）项目资金申报及批复情况。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结合上年业务运行费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预算和支出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情况，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结合在职人数编制本年度业务运行费预算金额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，财政审批后进行资金批复。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lastRenderedPageBreak/>
        <w:t>（二）资金计划、到位及使用情况。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1</w:t>
      </w: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．资金计划。</w:t>
      </w:r>
    </w:p>
    <w:p w:rsidR="00663960" w:rsidRPr="00FF66DD" w:rsidRDefault="00663960" w:rsidP="0066396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纳入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年初财政项目预算编报，落实本级财政经费保障。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2</w:t>
      </w: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．资金到位。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年年</w:t>
      </w:r>
      <w:proofErr w:type="gramStart"/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初安排</w:t>
      </w:r>
      <w:proofErr w:type="gramEnd"/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业务运行费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7.65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月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拨付到位。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3</w:t>
      </w: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．资金使用。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主要用于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保对口帮扶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、固定资产管理服务、</w:t>
      </w:r>
      <w:r>
        <w:rPr>
          <w:rFonts w:ascii="Times New Roman" w:eastAsia="仿宋_GB2312" w:hAnsi="Times New Roman"/>
          <w:color w:val="000000"/>
          <w:sz w:val="32"/>
          <w:szCs w:val="32"/>
        </w:rPr>
        <w:t>办公设备购置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订阅报刊杂志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等</w:t>
      </w:r>
      <w:proofErr w:type="gramStart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医</w:t>
      </w:r>
      <w:proofErr w:type="gramEnd"/>
      <w:r w:rsidRPr="00FF66DD">
        <w:rPr>
          <w:rFonts w:ascii="Times New Roman" w:eastAsia="仿宋_GB2312" w:hAnsi="Times New Roman"/>
          <w:color w:val="000000"/>
          <w:sz w:val="32"/>
          <w:szCs w:val="32"/>
        </w:rPr>
        <w:t>保日常运转支出。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（三）项目财务管理情况。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严格执行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政府会计制度和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财务管理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规定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会计资料真实、完整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，账务处理及时，会计核算规范。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kern w:val="0"/>
          <w:sz w:val="32"/>
          <w:szCs w:val="32"/>
        </w:rPr>
        <w:t>三、项目管理情况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年初根据支出方向设置了绩效目标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科学合理分配资金使用计划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业务运行费实行</w:t>
      </w:r>
      <w:r>
        <w:rPr>
          <w:rFonts w:ascii="Times New Roman" w:eastAsia="仿宋_GB2312" w:hAnsi="Times New Roman"/>
          <w:sz w:val="32"/>
          <w:szCs w:val="32"/>
        </w:rPr>
        <w:t>全过程管理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统一由财政国库管理，专款专用，严格执行</w:t>
      </w:r>
      <w:r>
        <w:rPr>
          <w:rFonts w:ascii="Times New Roman" w:eastAsia="仿宋_GB2312" w:hAnsi="Times New Roman" w:hint="eastAsia"/>
          <w:sz w:val="32"/>
          <w:szCs w:val="32"/>
        </w:rPr>
        <w:t>资金</w:t>
      </w:r>
      <w:r>
        <w:rPr>
          <w:rFonts w:ascii="Times New Roman" w:eastAsia="仿宋_GB2312" w:hAnsi="Times New Roman"/>
          <w:sz w:val="32"/>
          <w:szCs w:val="32"/>
        </w:rPr>
        <w:t>支付审批程序</w:t>
      </w:r>
      <w:r>
        <w:rPr>
          <w:rFonts w:ascii="Times New Roman" w:eastAsia="仿宋_GB2312" w:hAnsi="Times New Roman" w:hint="eastAsia"/>
          <w:sz w:val="32"/>
          <w:szCs w:val="32"/>
        </w:rPr>
        <w:t>，实时监控</w:t>
      </w:r>
      <w:r>
        <w:rPr>
          <w:rFonts w:ascii="Times New Roman" w:eastAsia="仿宋_GB2312" w:hAnsi="Times New Roman"/>
          <w:sz w:val="32"/>
          <w:szCs w:val="32"/>
        </w:rPr>
        <w:t>业务运行费支付进度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 w:rsidRPr="00FF66DD">
        <w:rPr>
          <w:rFonts w:ascii="Times New Roman" w:eastAsia="仿宋_GB2312" w:hAnsi="Times New Roman"/>
          <w:color w:val="000000"/>
          <w:kern w:val="0"/>
          <w:sz w:val="32"/>
          <w:szCs w:val="32"/>
        </w:rPr>
        <w:t>合理安排费用支出，提高资金使用效率，按规定完成预期绩效目标任务。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kern w:val="0"/>
          <w:sz w:val="32"/>
          <w:szCs w:val="32"/>
        </w:rPr>
        <w:t>四、项目绩效情况</w:t>
      </w:r>
    </w:p>
    <w:p w:rsidR="00663960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（一）项目完成情况。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全年绩效目标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7.65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万元，实际支出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7.65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万元，资金执行率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>100%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完成了预设的绩效目标，绩效目标完成质量较高，项目完成时效准确，项目成本控制较好，取得了较好的项目</w:t>
      </w:r>
      <w:r>
        <w:rPr>
          <w:rFonts w:ascii="Times New Roman" w:eastAsia="仿宋_GB2312" w:hAnsi="Times New Roman"/>
          <w:sz w:val="32"/>
          <w:szCs w:val="32"/>
        </w:rPr>
        <w:lastRenderedPageBreak/>
        <w:t>经济效益和社会效益。</w:t>
      </w:r>
    </w:p>
    <w:p w:rsidR="00663960" w:rsidRPr="00FF66DD" w:rsidRDefault="00663960" w:rsidP="0066396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（二）项目效益情况。</w:t>
      </w:r>
    </w:p>
    <w:p w:rsidR="00663960" w:rsidRPr="00FF66DD" w:rsidRDefault="00663960" w:rsidP="0066396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是订阅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保专刊，掌握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医保最新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信息。</w:t>
      </w:r>
      <w:r>
        <w:rPr>
          <w:rFonts w:ascii="Times New Roman" w:eastAsia="仿宋_GB2312" w:hAnsi="Times New Roman"/>
          <w:color w:val="000000"/>
          <w:sz w:val="32"/>
          <w:szCs w:val="32"/>
        </w:rPr>
        <w:t>添置办公座椅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满足日常办公需要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。加强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保政策宣传，提高群众知晓率。</w:t>
      </w:r>
    </w:p>
    <w:p w:rsidR="00663960" w:rsidRPr="00FF66DD" w:rsidRDefault="00663960" w:rsidP="00663960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二是</w:t>
      </w:r>
      <w:bookmarkStart w:id="0" w:name="_GoBack"/>
      <w:bookmarkEnd w:id="0"/>
      <w:r>
        <w:rPr>
          <w:rFonts w:ascii="Times New Roman" w:eastAsia="仿宋_GB2312" w:hAnsi="Times New Roman"/>
          <w:color w:val="000000"/>
          <w:sz w:val="32"/>
          <w:szCs w:val="32"/>
        </w:rPr>
        <w:t>春节慰问联系户和残疾人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，多次对</w:t>
      </w:r>
      <w:r>
        <w:rPr>
          <w:rFonts w:ascii="Times New Roman" w:eastAsia="仿宋_GB2312" w:hAnsi="Times New Roman"/>
          <w:color w:val="000000"/>
          <w:sz w:val="32"/>
          <w:szCs w:val="32"/>
        </w:rPr>
        <w:t>盐边县温泉乡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户困难户进行帮扶，购买化肥、提供物资和慰问金等帮助，解决贫苦户生产、生活上的困难。</w:t>
      </w:r>
      <w:r w:rsidRPr="00FF66DD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663960" w:rsidRDefault="00663960" w:rsidP="00663960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FF66DD">
        <w:rPr>
          <w:rFonts w:ascii="Times New Roman" w:eastAsia="仿宋_GB2312" w:hAnsi="Times New Roman"/>
          <w:color w:val="000000"/>
          <w:sz w:val="32"/>
          <w:szCs w:val="32"/>
        </w:rPr>
        <w:t>三是</w:t>
      </w:r>
      <w:r w:rsidRPr="00BB1050">
        <w:rPr>
          <w:rFonts w:ascii="仿宋_GB2312" w:eastAsia="仿宋_GB2312" w:hAnsi="黑体" w:hint="eastAsia"/>
          <w:sz w:val="32"/>
          <w:szCs w:val="32"/>
        </w:rPr>
        <w:t>委托攀枝花市佳软科技有限公司进行固定资产管理服务，建立了固定资产内控系统</w:t>
      </w:r>
      <w:r>
        <w:rPr>
          <w:rFonts w:ascii="仿宋_GB2312" w:eastAsia="仿宋_GB2312" w:hAnsi="黑体" w:hint="eastAsia"/>
          <w:sz w:val="32"/>
          <w:szCs w:val="32"/>
        </w:rPr>
        <w:t>，提高了固定资产信息化管理水平。</w:t>
      </w:r>
    </w:p>
    <w:p w:rsidR="00663960" w:rsidRPr="00FF66DD" w:rsidRDefault="00663960" w:rsidP="00663960">
      <w:pPr>
        <w:spacing w:line="560" w:lineRule="exact"/>
        <w:ind w:firstLineChars="200" w:firstLine="640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黑体" w:hAnsi="Times New Roman"/>
          <w:color w:val="000000"/>
          <w:kern w:val="0"/>
          <w:sz w:val="32"/>
          <w:szCs w:val="32"/>
        </w:rPr>
        <w:t>五、评价结论及建议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（一）评价结论。</w:t>
      </w:r>
    </w:p>
    <w:p w:rsidR="00663960" w:rsidRPr="00FF66DD" w:rsidRDefault="00663960" w:rsidP="00663960">
      <w:pPr>
        <w:spacing w:line="560" w:lineRule="exact"/>
        <w:ind w:firstLineChars="200" w:firstLine="640"/>
        <w:rPr>
          <w:rFonts w:ascii="Times New Roman" w:eastAsia="楷体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困难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群体得到帮扶</w:t>
      </w:r>
      <w:r w:rsidRPr="00FF66DD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经办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能力有所提</w:t>
      </w: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升，管理</w:t>
      </w:r>
      <w:r w:rsidRPr="00FF66DD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方式不断改进，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获得了困难户的肯定，提高了群众满意度，实现了预算目标</w:t>
      </w:r>
      <w:r w:rsidRPr="00FF66DD"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。</w:t>
      </w:r>
    </w:p>
    <w:p w:rsidR="00663960" w:rsidRPr="00FF66DD" w:rsidRDefault="00663960" w:rsidP="00663960">
      <w:pPr>
        <w:autoSpaceDE w:val="0"/>
        <w:autoSpaceDN w:val="0"/>
        <w:spacing w:line="560" w:lineRule="exact"/>
        <w:ind w:firstLineChars="200" w:firstLine="640"/>
        <w:rPr>
          <w:rFonts w:ascii="Times New Roman" w:eastAsia="楷体_GB2312" w:hAnsi="Times New Roman"/>
          <w:color w:val="000000"/>
          <w:kern w:val="0"/>
          <w:sz w:val="32"/>
          <w:szCs w:val="32"/>
        </w:rPr>
      </w:pPr>
      <w:r w:rsidRPr="00FF66DD">
        <w:rPr>
          <w:rFonts w:ascii="Times New Roman" w:eastAsia="楷体_GB2312" w:hAnsi="Times New Roman"/>
          <w:color w:val="000000"/>
          <w:kern w:val="0"/>
          <w:sz w:val="32"/>
          <w:szCs w:val="32"/>
        </w:rPr>
        <w:t>（二）相关建议。</w:t>
      </w:r>
    </w:p>
    <w:p w:rsidR="00663960" w:rsidRDefault="00663960" w:rsidP="00663960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做好项目绩效目标申报、资金使用和绩效评价工作，提升项目资金的使用效益。</w:t>
      </w:r>
    </w:p>
    <w:p w:rsidR="00663960" w:rsidRPr="007E542C" w:rsidRDefault="00663960" w:rsidP="0066396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Pr="007E542C"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遵循先有预算、后有支出的原则，严禁超预算和无预算安排支出，严格开支范围和标准。</w:t>
      </w:r>
    </w:p>
    <w:p w:rsidR="00663960" w:rsidRDefault="00663960" w:rsidP="00663960"/>
    <w:sectPr w:rsidR="00663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960"/>
    <w:rsid w:val="00382460"/>
    <w:rsid w:val="0066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63960"/>
    <w:rPr>
      <w:rFonts w:ascii="宋体" w:hAnsi="Courier New"/>
      <w:lang/>
    </w:rPr>
  </w:style>
  <w:style w:type="character" w:customStyle="1" w:styleId="Char">
    <w:name w:val="纯文本 Char"/>
    <w:basedOn w:val="a0"/>
    <w:link w:val="a3"/>
    <w:rsid w:val="00663960"/>
    <w:rPr>
      <w:rFonts w:ascii="宋体" w:eastAsia="宋体" w:hAnsi="Courier New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1052</Characters>
  <Application>Microsoft Office Word</Application>
  <DocSecurity>0</DocSecurity>
  <Lines>8</Lines>
  <Paragraphs>2</Paragraphs>
  <ScaleCrop>false</ScaleCrop>
  <Company>微软中国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申聂</dc:creator>
  <cp:lastModifiedBy>申聂</cp:lastModifiedBy>
  <cp:revision>2</cp:revision>
  <dcterms:created xsi:type="dcterms:W3CDTF">2022-04-08T09:55:00Z</dcterms:created>
  <dcterms:modified xsi:type="dcterms:W3CDTF">2022-04-08T09:59:00Z</dcterms:modified>
</cp:coreProperties>
</file>