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10C7B">
      <w:pPr>
        <w:pStyle w:val="30"/>
        <w:rPr>
          <w:rFonts w:hint="eastAsia"/>
          <w:color w:val="000000" w:themeColor="text1"/>
          <w14:textFill>
            <w14:solidFill>
              <w14:schemeClr w14:val="tx1"/>
            </w14:solidFill>
          </w14:textFill>
        </w:rPr>
      </w:pPr>
      <w:r>
        <w:rPr>
          <w:color w:val="000000" w:themeColor="text1"/>
          <w14:textFill>
            <w14:solidFill>
              <w14:schemeClr w14:val="tx1"/>
            </w14:solidFill>
          </w14:textFill>
        </w:rPr>
        <w:t>附件3</w:t>
      </w:r>
    </w:p>
    <w:p w14:paraId="0408A0EE">
      <w:pPr>
        <w:pStyle w:val="18"/>
        <w:rPr>
          <w:rFonts w:hint="eastAsia"/>
          <w:color w:val="000000" w:themeColor="text1"/>
          <w14:textFill>
            <w14:solidFill>
              <w14:schemeClr w14:val="tx1"/>
            </w14:solidFill>
          </w14:textFill>
        </w:rPr>
      </w:pPr>
      <w:r>
        <w:rPr>
          <w:color w:val="000000" w:themeColor="text1"/>
          <w14:textFill>
            <w14:solidFill>
              <w14:schemeClr w14:val="tx1"/>
            </w14:solidFill>
          </w14:textFill>
        </w:rPr>
        <w:t>攀枝花市长期护理保险失能等级定点评估机构申报材料目录</w:t>
      </w:r>
    </w:p>
    <w:p w14:paraId="5A12808F">
      <w:pPr>
        <w:pStyle w:val="13"/>
        <w:rPr>
          <w:rFonts w:ascii="Times New Roman" w:hAnsi="Times New Roman" w:cs="Times New Roman"/>
          <w:color w:val="000000" w:themeColor="text1"/>
          <w14:textFill>
            <w14:solidFill>
              <w14:schemeClr w14:val="tx1"/>
            </w14:solidFill>
          </w14:textFill>
        </w:rPr>
      </w:pPr>
    </w:p>
    <w:tbl>
      <w:tblPr>
        <w:tblStyle w:val="19"/>
        <w:tblpPr w:leftFromText="180" w:rightFromText="180" w:vertAnchor="text" w:tblpXSpec="center"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6253"/>
        <w:gridCol w:w="1420"/>
      </w:tblGrid>
      <w:tr w14:paraId="3816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498" w:type="pct"/>
            <w:vAlign w:val="center"/>
          </w:tcPr>
          <w:p w14:paraId="12DACD56">
            <w:pPr>
              <w:spacing w:after="0" w:line="240" w:lineRule="auto"/>
              <w:jc w:val="center"/>
              <w:rPr>
                <w:rFonts w:ascii="Times New Roman" w:cs="Times New Roman"/>
                <w:b/>
                <w:bCs/>
                <w:color w:val="000000" w:themeColor="text1"/>
                <w:sz w:val="24"/>
                <w14:textFill>
                  <w14:solidFill>
                    <w14:schemeClr w14:val="tx1"/>
                  </w14:solidFill>
                </w14:textFill>
              </w:rPr>
            </w:pPr>
            <w:r>
              <w:rPr>
                <w:rFonts w:ascii="Times New Roman" w:cs="Times New Roman"/>
                <w:b/>
                <w:bCs/>
                <w:color w:val="000000" w:themeColor="text1"/>
                <w:sz w:val="24"/>
                <w14:textFill>
                  <w14:solidFill>
                    <w14:schemeClr w14:val="tx1"/>
                  </w14:solidFill>
                </w14:textFill>
              </w:rPr>
              <w:t>序号</w:t>
            </w:r>
          </w:p>
        </w:tc>
        <w:tc>
          <w:tcPr>
            <w:tcW w:w="3669" w:type="pct"/>
            <w:vAlign w:val="center"/>
          </w:tcPr>
          <w:p w14:paraId="6F04187B">
            <w:pPr>
              <w:spacing w:after="0" w:line="240" w:lineRule="auto"/>
              <w:jc w:val="center"/>
              <w:rPr>
                <w:rFonts w:ascii="Times New Roman" w:cs="Times New Roman"/>
                <w:b/>
                <w:bCs/>
                <w:color w:val="000000" w:themeColor="text1"/>
                <w:sz w:val="24"/>
                <w14:textFill>
                  <w14:solidFill>
                    <w14:schemeClr w14:val="tx1"/>
                  </w14:solidFill>
                </w14:textFill>
              </w:rPr>
            </w:pPr>
            <w:r>
              <w:rPr>
                <w:rFonts w:ascii="Times New Roman" w:cs="Times New Roman"/>
                <w:b/>
                <w:bCs/>
                <w:color w:val="000000" w:themeColor="text1"/>
                <w:sz w:val="24"/>
                <w14:textFill>
                  <w14:solidFill>
                    <w14:schemeClr w14:val="tx1"/>
                  </w14:solidFill>
                </w14:textFill>
              </w:rPr>
              <w:t>材料明细</w:t>
            </w:r>
          </w:p>
        </w:tc>
        <w:tc>
          <w:tcPr>
            <w:tcW w:w="833" w:type="pct"/>
            <w:vAlign w:val="center"/>
          </w:tcPr>
          <w:p w14:paraId="0B2C2863">
            <w:pPr>
              <w:spacing w:after="0" w:line="240" w:lineRule="auto"/>
              <w:jc w:val="center"/>
              <w:rPr>
                <w:rFonts w:ascii="Times New Roman" w:cs="Times New Roman"/>
                <w:b/>
                <w:bCs/>
                <w:color w:val="000000" w:themeColor="text1"/>
                <w:sz w:val="24"/>
                <w14:textFill>
                  <w14:solidFill>
                    <w14:schemeClr w14:val="tx1"/>
                  </w14:solidFill>
                </w14:textFill>
              </w:rPr>
            </w:pPr>
            <w:r>
              <w:rPr>
                <w:rFonts w:ascii="Times New Roman" w:cs="Times New Roman"/>
                <w:b/>
                <w:bCs/>
                <w:color w:val="000000" w:themeColor="text1"/>
                <w:spacing w:val="-5"/>
                <w14:textFill>
                  <w14:solidFill>
                    <w14:schemeClr w14:val="tx1"/>
                  </w14:solidFill>
                </w14:textFill>
              </w:rPr>
              <w:t>齐备请打</w:t>
            </w:r>
            <w:r>
              <w:rPr>
                <w:rFonts w:ascii="Times New Roman" w:cs="Times New Roman"/>
                <w:color w:val="000000" w:themeColor="text1"/>
                <w:spacing w:val="1"/>
                <w14:textFill>
                  <w14:solidFill>
                    <w14:schemeClr w14:val="tx1"/>
                  </w14:solidFill>
                </w14:textFill>
              </w:rPr>
              <w:t xml:space="preserve"> </w:t>
            </w:r>
            <w:r>
              <w:rPr>
                <w:rFonts w:ascii="Times New Roman" w:cs="Times New Roman"/>
                <w:b/>
                <w:bCs/>
                <w:color w:val="000000" w:themeColor="text1"/>
                <w:spacing w:val="5"/>
                <w14:textFill>
                  <w14:solidFill>
                    <w14:schemeClr w14:val="tx1"/>
                  </w14:solidFill>
                </w14:textFill>
              </w:rPr>
              <w:t>“</w:t>
            </w:r>
            <w:r>
              <w:rPr>
                <w:rFonts w:ascii="Times New Roman" w:cs="Times New Roman"/>
                <w:color w:val="000000" w:themeColor="text1"/>
                <w:spacing w:val="-45"/>
                <w14:textFill>
                  <w14:solidFill>
                    <w14:schemeClr w14:val="tx1"/>
                  </w14:solidFill>
                </w14:textFill>
              </w:rPr>
              <w:t xml:space="preserve"> </w:t>
            </w:r>
            <w:r>
              <w:rPr>
                <w:rFonts w:ascii="Times New Roman" w:cs="Times New Roman"/>
                <w:b/>
                <w:bCs/>
                <w:color w:val="000000" w:themeColor="text1"/>
                <w:spacing w:val="5"/>
                <w14:textFill>
                  <w14:solidFill>
                    <w14:schemeClr w14:val="tx1"/>
                  </w14:solidFill>
                </w14:textFill>
              </w:rPr>
              <w:t>√</w:t>
            </w:r>
            <w:r>
              <w:rPr>
                <w:rFonts w:ascii="Times New Roman" w:cs="Times New Roman"/>
                <w:color w:val="000000" w:themeColor="text1"/>
                <w:spacing w:val="-77"/>
                <w14:textFill>
                  <w14:solidFill>
                    <w14:schemeClr w14:val="tx1"/>
                  </w14:solidFill>
                </w14:textFill>
              </w:rPr>
              <w:t xml:space="preserve"> </w:t>
            </w:r>
            <w:r>
              <w:rPr>
                <w:rFonts w:ascii="Times New Roman" w:cs="Times New Roman"/>
                <w:b/>
                <w:bCs/>
                <w:color w:val="000000" w:themeColor="text1"/>
                <w:spacing w:val="5"/>
                <w14:textFill>
                  <w14:solidFill>
                    <w14:schemeClr w14:val="tx1"/>
                  </w14:solidFill>
                </w14:textFill>
              </w:rPr>
              <w:t>”</w:t>
            </w:r>
          </w:p>
        </w:tc>
      </w:tr>
      <w:tr w14:paraId="61B2B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498" w:type="pct"/>
            <w:vAlign w:val="center"/>
          </w:tcPr>
          <w:p w14:paraId="4414D1CA">
            <w:pPr>
              <w:spacing w:after="0" w:line="240" w:lineRule="auto"/>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1</w:t>
            </w:r>
          </w:p>
        </w:tc>
        <w:tc>
          <w:tcPr>
            <w:tcW w:w="3669" w:type="pct"/>
            <w:tcBorders>
              <w:top w:val="single" w:color="auto" w:sz="4" w:space="0"/>
              <w:left w:val="single" w:color="auto" w:sz="4" w:space="0"/>
              <w:right w:val="single" w:color="auto" w:sz="4" w:space="0"/>
            </w:tcBorders>
            <w:vAlign w:val="center"/>
          </w:tcPr>
          <w:p w14:paraId="6DC103FA">
            <w:pPr>
              <w:spacing w:after="0" w:line="240" w:lineRule="auto"/>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攀枝花市长期护理保险失能等级定点评估机构申请表。</w:t>
            </w:r>
          </w:p>
        </w:tc>
        <w:tc>
          <w:tcPr>
            <w:tcW w:w="833" w:type="pct"/>
            <w:vAlign w:val="center"/>
          </w:tcPr>
          <w:p w14:paraId="20C2869B">
            <w:pPr>
              <w:spacing w:after="0" w:line="240" w:lineRule="auto"/>
              <w:rPr>
                <w:rFonts w:ascii="Times New Roman" w:eastAsia="宋体" w:cs="Times New Roman"/>
                <w:color w:val="000000" w:themeColor="text1"/>
                <w:sz w:val="21"/>
                <w:szCs w:val="21"/>
                <w14:textFill>
                  <w14:solidFill>
                    <w14:schemeClr w14:val="tx1"/>
                  </w14:solidFill>
                </w14:textFill>
              </w:rPr>
            </w:pPr>
          </w:p>
        </w:tc>
      </w:tr>
      <w:tr w14:paraId="6A4F7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trPr>
        <w:tc>
          <w:tcPr>
            <w:tcW w:w="498" w:type="pct"/>
            <w:vAlign w:val="center"/>
          </w:tcPr>
          <w:p w14:paraId="20AF8A69">
            <w:pPr>
              <w:spacing w:after="0" w:line="240" w:lineRule="auto"/>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2</w:t>
            </w:r>
          </w:p>
        </w:tc>
        <w:tc>
          <w:tcPr>
            <w:tcW w:w="3669" w:type="pct"/>
            <w:tcBorders>
              <w:top w:val="single" w:color="auto" w:sz="4" w:space="0"/>
              <w:left w:val="single" w:color="auto" w:sz="4" w:space="0"/>
              <w:right w:val="single" w:color="auto" w:sz="4" w:space="0"/>
            </w:tcBorders>
            <w:vAlign w:val="center"/>
          </w:tcPr>
          <w:p w14:paraId="095DADA6">
            <w:pPr>
              <w:pStyle w:val="13"/>
              <w:rPr>
                <w:rFonts w:ascii="Times New Roman" w:hAnsi="Times New Roman" w:cs="Times New Roman"/>
                <w:color w:val="000000" w:themeColor="text1"/>
                <w:sz w:val="21"/>
                <w:szCs w:val="21"/>
                <w14:textFill>
                  <w14:solidFill>
                    <w14:schemeClr w14:val="tx1"/>
                  </w14:solidFill>
                </w14:textFill>
              </w:rPr>
            </w:pPr>
            <w:r>
              <w:rPr>
                <w:color w:val="000000" w:themeColor="text1"/>
                <w14:textFill>
                  <w14:solidFill>
                    <w14:schemeClr w14:val="tx1"/>
                  </w14:solidFill>
                </w14:textFill>
              </w:rPr>
              <w:t>提供以下四种资质证明材料中的任意一种：</w:t>
            </w:r>
            <w:r>
              <w:rPr>
                <w:rFonts w:ascii="Times New Roman" w:hAnsi="Times New Roman" w:cs="Times New Roman"/>
                <w:color w:val="000000" w:themeColor="text1"/>
                <w:sz w:val="21"/>
                <w:szCs w:val="21"/>
                <w14:textFill>
                  <w14:solidFill>
                    <w14:schemeClr w14:val="tx1"/>
                  </w14:solidFill>
                </w14:textFill>
              </w:rPr>
              <w:t>《事业单位法人证书》《医疗机构执业许可证》《民办非企业单位登记证书》《营业执照》正、副本及复印件。</w:t>
            </w:r>
          </w:p>
          <w:p w14:paraId="69DB6210">
            <w:pPr>
              <w:pStyle w:val="13"/>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（说明：若申请机构为分支机构，应提供具有隶属关系的上级机构的上述证照及上级机构授权书原件，同意其参与定点评估机构申请。商业保险机构申请评估机构应具有健康保险、大病保险业务经营资质。）</w:t>
            </w:r>
          </w:p>
        </w:tc>
        <w:tc>
          <w:tcPr>
            <w:tcW w:w="833" w:type="pct"/>
            <w:vAlign w:val="center"/>
          </w:tcPr>
          <w:p w14:paraId="204DF8D3">
            <w:pPr>
              <w:spacing w:after="0" w:line="240" w:lineRule="auto"/>
              <w:rPr>
                <w:rFonts w:ascii="Times New Roman" w:eastAsia="宋体" w:cs="Times New Roman"/>
                <w:color w:val="000000" w:themeColor="text1"/>
                <w:sz w:val="21"/>
                <w:szCs w:val="21"/>
                <w14:textFill>
                  <w14:solidFill>
                    <w14:schemeClr w14:val="tx1"/>
                  </w14:solidFill>
                </w14:textFill>
              </w:rPr>
            </w:pPr>
          </w:p>
        </w:tc>
      </w:tr>
      <w:tr w14:paraId="6DF3D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498" w:type="pct"/>
            <w:vAlign w:val="center"/>
          </w:tcPr>
          <w:p w14:paraId="05A9CE84">
            <w:pPr>
              <w:spacing w:after="0" w:line="240" w:lineRule="auto"/>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3</w:t>
            </w:r>
          </w:p>
        </w:tc>
        <w:tc>
          <w:tcPr>
            <w:tcW w:w="3669" w:type="pct"/>
            <w:tcBorders>
              <w:top w:val="single" w:color="auto" w:sz="4" w:space="0"/>
              <w:left w:val="single" w:color="auto" w:sz="4" w:space="0"/>
              <w:right w:val="single" w:color="auto" w:sz="4" w:space="0"/>
            </w:tcBorders>
            <w:vAlign w:val="center"/>
          </w:tcPr>
          <w:p w14:paraId="5E644836">
            <w:pPr>
              <w:spacing w:after="0" w:line="240" w:lineRule="auto"/>
              <w:rPr>
                <w:rFonts w:ascii="Times New Roman" w:eastAsia="宋体" w:cs="Times New Roman"/>
                <w:color w:val="000000" w:themeColor="text1"/>
                <w:kern w:val="0"/>
                <w:sz w:val="21"/>
                <w:szCs w:val="21"/>
                <w14:textFill>
                  <w14:solidFill>
                    <w14:schemeClr w14:val="tx1"/>
                  </w14:solidFill>
                </w14:textFill>
              </w:rPr>
            </w:pPr>
            <w:r>
              <w:rPr>
                <w:rFonts w:ascii="Times New Roman" w:eastAsia="宋体" w:cs="Times New Roman"/>
                <w:color w:val="000000" w:themeColor="text1"/>
                <w:kern w:val="0"/>
                <w:sz w:val="21"/>
                <w:szCs w:val="21"/>
                <w14:textFill>
                  <w14:solidFill>
                    <w14:schemeClr w14:val="tx1"/>
                  </w14:solidFill>
                </w14:textFill>
              </w:rPr>
              <w:t>法定代表人、主要负责人或实际控制人身份证复印件</w:t>
            </w:r>
            <w:r>
              <w:rPr>
                <w:rFonts w:hint="eastAsia" w:ascii="Times New Roman" w:eastAsia="宋体" w:cs="Times New Roman"/>
                <w:color w:val="000000" w:themeColor="text1"/>
                <w:kern w:val="0"/>
                <w:sz w:val="21"/>
                <w:szCs w:val="21"/>
                <w14:textFill>
                  <w14:solidFill>
                    <w14:schemeClr w14:val="tx1"/>
                  </w14:solidFill>
                </w14:textFill>
              </w:rPr>
              <w:t>和</w:t>
            </w:r>
            <w:r>
              <w:rPr>
                <w:rFonts w:ascii="Times New Roman" w:eastAsia="宋体" w:cs="Times New Roman"/>
                <w:color w:val="000000" w:themeColor="text1"/>
                <w:sz w:val="21"/>
                <w:szCs w:val="21"/>
                <w14:textFill>
                  <w14:solidFill>
                    <w14:schemeClr w14:val="tx1"/>
                  </w14:solidFill>
                </w14:textFill>
              </w:rPr>
              <w:t>未被列为失信被执行人名单的</w:t>
            </w:r>
            <w:r>
              <w:rPr>
                <w:rFonts w:hint="eastAsia" w:ascii="Times New Roman" w:eastAsia="宋体" w:cs="Times New Roman"/>
                <w:color w:val="000000" w:themeColor="text1"/>
                <w:sz w:val="21"/>
                <w:szCs w:val="21"/>
                <w14:textFill>
                  <w14:solidFill>
                    <w14:schemeClr w14:val="tx1"/>
                  </w14:solidFill>
                </w14:textFill>
              </w:rPr>
              <w:t>承诺</w:t>
            </w:r>
            <w:r>
              <w:rPr>
                <w:rFonts w:ascii="Times New Roman" w:eastAsia="宋体" w:cs="Times New Roman"/>
                <w:color w:val="000000" w:themeColor="text1"/>
                <w:kern w:val="0"/>
                <w:sz w:val="21"/>
                <w:szCs w:val="21"/>
                <w14:textFill>
                  <w14:solidFill>
                    <w14:schemeClr w14:val="tx1"/>
                  </w14:solidFill>
                </w14:textFill>
              </w:rPr>
              <w:t>；本机构及法定代表人、主要负责人或实际控制人</w:t>
            </w:r>
            <w:r>
              <w:rPr>
                <w:rFonts w:hint="eastAsia" w:ascii="Times New Roman" w:eastAsia="宋体" w:cs="Times New Roman"/>
                <w:color w:val="000000" w:themeColor="text1"/>
                <w:kern w:val="0"/>
                <w:sz w:val="21"/>
                <w:szCs w:val="21"/>
                <w14:textFill>
                  <w14:solidFill>
                    <w14:schemeClr w14:val="tx1"/>
                  </w14:solidFill>
                </w14:textFill>
              </w:rPr>
              <w:t>无</w:t>
            </w:r>
            <w:r>
              <w:rPr>
                <w:rFonts w:ascii="Times New Roman" w:eastAsia="宋体" w:cs="Times New Roman"/>
                <w:color w:val="000000" w:themeColor="text1"/>
                <w:kern w:val="0"/>
                <w:sz w:val="21"/>
                <w:szCs w:val="21"/>
                <w14:textFill>
                  <w14:solidFill>
                    <w14:schemeClr w14:val="tx1"/>
                  </w14:solidFill>
                </w14:textFill>
              </w:rPr>
              <w:t>不予受理情形的承诺书</w:t>
            </w:r>
            <w:r>
              <w:rPr>
                <w:rFonts w:hint="eastAsia" w:ascii="Times New Roman" w:eastAsia="宋体" w:cs="Times New Roman"/>
                <w:color w:val="000000" w:themeColor="text1"/>
                <w:kern w:val="0"/>
                <w:sz w:val="21"/>
                <w:szCs w:val="21"/>
                <w14:textFill>
                  <w14:solidFill>
                    <w14:schemeClr w14:val="tx1"/>
                  </w14:solidFill>
                </w14:textFill>
              </w:rPr>
              <w:t>。</w:t>
            </w:r>
          </w:p>
        </w:tc>
        <w:tc>
          <w:tcPr>
            <w:tcW w:w="833" w:type="pct"/>
            <w:vAlign w:val="center"/>
          </w:tcPr>
          <w:p w14:paraId="48332A8A">
            <w:pPr>
              <w:spacing w:after="0" w:line="240" w:lineRule="auto"/>
              <w:rPr>
                <w:rFonts w:ascii="Times New Roman" w:eastAsia="宋体" w:cs="Times New Roman"/>
                <w:color w:val="000000" w:themeColor="text1"/>
                <w:sz w:val="21"/>
                <w:szCs w:val="21"/>
                <w14:textFill>
                  <w14:solidFill>
                    <w14:schemeClr w14:val="tx1"/>
                  </w14:solidFill>
                </w14:textFill>
              </w:rPr>
            </w:pPr>
          </w:p>
        </w:tc>
      </w:tr>
      <w:tr w14:paraId="273C7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498" w:type="pct"/>
            <w:vAlign w:val="center"/>
          </w:tcPr>
          <w:p w14:paraId="3DC039CF">
            <w:pPr>
              <w:spacing w:after="0" w:line="240" w:lineRule="auto"/>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4</w:t>
            </w:r>
          </w:p>
        </w:tc>
        <w:tc>
          <w:tcPr>
            <w:tcW w:w="3669" w:type="pct"/>
            <w:tcBorders>
              <w:top w:val="single" w:color="auto" w:sz="4" w:space="0"/>
              <w:left w:val="single" w:color="auto" w:sz="4" w:space="0"/>
              <w:right w:val="single" w:color="auto" w:sz="4" w:space="0"/>
            </w:tcBorders>
            <w:vAlign w:val="center"/>
          </w:tcPr>
          <w:p w14:paraId="12769132">
            <w:pPr>
              <w:spacing w:after="0" w:line="240" w:lineRule="auto"/>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《失能评估从业人员名册》。</w:t>
            </w:r>
          </w:p>
        </w:tc>
        <w:tc>
          <w:tcPr>
            <w:tcW w:w="833" w:type="pct"/>
            <w:vAlign w:val="center"/>
          </w:tcPr>
          <w:p w14:paraId="69ACDA38">
            <w:pPr>
              <w:spacing w:after="0" w:line="240" w:lineRule="auto"/>
              <w:rPr>
                <w:rFonts w:ascii="Times New Roman" w:eastAsia="宋体" w:cs="Times New Roman"/>
                <w:color w:val="000000" w:themeColor="text1"/>
                <w:sz w:val="21"/>
                <w:szCs w:val="21"/>
                <w14:textFill>
                  <w14:solidFill>
                    <w14:schemeClr w14:val="tx1"/>
                  </w14:solidFill>
                </w14:textFill>
              </w:rPr>
            </w:pPr>
          </w:p>
        </w:tc>
      </w:tr>
      <w:tr w14:paraId="6DCD1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98" w:type="pct"/>
            <w:vAlign w:val="center"/>
          </w:tcPr>
          <w:p w14:paraId="55100817">
            <w:pPr>
              <w:spacing w:after="0" w:line="240" w:lineRule="auto"/>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5</w:t>
            </w:r>
          </w:p>
        </w:tc>
        <w:tc>
          <w:tcPr>
            <w:tcW w:w="3669" w:type="pct"/>
            <w:tcBorders>
              <w:top w:val="single" w:color="auto" w:sz="4" w:space="0"/>
              <w:left w:val="single" w:color="auto" w:sz="4" w:space="0"/>
              <w:right w:val="single" w:color="auto" w:sz="4" w:space="0"/>
            </w:tcBorders>
            <w:vAlign w:val="center"/>
          </w:tcPr>
          <w:p w14:paraId="631338D7">
            <w:pPr>
              <w:spacing w:after="0" w:line="240" w:lineRule="auto"/>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失能评估从业人员身份证复印件，劳动合同、劳务合同或聘用合同复印件、相关执业资格证书和职称证书复印件。</w:t>
            </w:r>
          </w:p>
        </w:tc>
        <w:tc>
          <w:tcPr>
            <w:tcW w:w="833" w:type="pct"/>
            <w:vAlign w:val="center"/>
          </w:tcPr>
          <w:p w14:paraId="73786BD1">
            <w:pPr>
              <w:spacing w:after="0" w:line="240" w:lineRule="auto"/>
              <w:rPr>
                <w:rFonts w:ascii="Times New Roman" w:eastAsia="宋体" w:cs="Times New Roman"/>
                <w:color w:val="000000" w:themeColor="text1"/>
                <w:sz w:val="21"/>
                <w:szCs w:val="21"/>
                <w14:textFill>
                  <w14:solidFill>
                    <w14:schemeClr w14:val="tx1"/>
                  </w14:solidFill>
                </w14:textFill>
              </w:rPr>
            </w:pPr>
          </w:p>
        </w:tc>
      </w:tr>
      <w:tr w14:paraId="29B1E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498" w:type="pct"/>
            <w:vAlign w:val="center"/>
          </w:tcPr>
          <w:p w14:paraId="7005BD38">
            <w:pPr>
              <w:spacing w:after="0" w:line="240" w:lineRule="auto"/>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6</w:t>
            </w:r>
          </w:p>
        </w:tc>
        <w:tc>
          <w:tcPr>
            <w:tcW w:w="3669" w:type="pct"/>
            <w:tcBorders>
              <w:top w:val="single" w:color="auto" w:sz="4" w:space="0"/>
              <w:left w:val="single" w:color="auto" w:sz="4" w:space="0"/>
              <w:right w:val="single" w:color="auto" w:sz="4" w:space="0"/>
            </w:tcBorders>
            <w:vAlign w:val="center"/>
          </w:tcPr>
          <w:p w14:paraId="27391258">
            <w:pPr>
              <w:spacing w:after="0" w:line="240" w:lineRule="auto"/>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评估服务能力、评估队伍基本信息介绍材料。</w:t>
            </w:r>
          </w:p>
        </w:tc>
        <w:tc>
          <w:tcPr>
            <w:tcW w:w="833" w:type="pct"/>
            <w:vAlign w:val="center"/>
          </w:tcPr>
          <w:p w14:paraId="53817D54">
            <w:pPr>
              <w:spacing w:after="0" w:line="240" w:lineRule="auto"/>
              <w:rPr>
                <w:rFonts w:ascii="Times New Roman" w:eastAsia="宋体" w:cs="Times New Roman"/>
                <w:color w:val="000000" w:themeColor="text1"/>
                <w:sz w:val="21"/>
                <w:szCs w:val="21"/>
                <w14:textFill>
                  <w14:solidFill>
                    <w14:schemeClr w14:val="tx1"/>
                  </w14:solidFill>
                </w14:textFill>
              </w:rPr>
            </w:pPr>
          </w:p>
        </w:tc>
      </w:tr>
      <w:tr w14:paraId="02B96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498" w:type="pct"/>
            <w:vAlign w:val="center"/>
          </w:tcPr>
          <w:p w14:paraId="289E5634">
            <w:pPr>
              <w:spacing w:after="0" w:line="240" w:lineRule="auto"/>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7</w:t>
            </w:r>
          </w:p>
        </w:tc>
        <w:tc>
          <w:tcPr>
            <w:tcW w:w="3669" w:type="pct"/>
            <w:tcBorders>
              <w:top w:val="single" w:color="auto" w:sz="4" w:space="0"/>
              <w:left w:val="single" w:color="auto" w:sz="4" w:space="0"/>
              <w:right w:val="single" w:color="auto" w:sz="4" w:space="0"/>
            </w:tcBorders>
            <w:vAlign w:val="center"/>
          </w:tcPr>
          <w:p w14:paraId="5D5DD9D0">
            <w:pPr>
              <w:spacing w:after="0" w:line="240" w:lineRule="auto"/>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提供业务用房产权证明或租赁合同复印件。</w:t>
            </w:r>
          </w:p>
        </w:tc>
        <w:tc>
          <w:tcPr>
            <w:tcW w:w="833" w:type="pct"/>
            <w:vAlign w:val="center"/>
          </w:tcPr>
          <w:p w14:paraId="7479E0FE">
            <w:pPr>
              <w:spacing w:after="0" w:line="240" w:lineRule="auto"/>
              <w:rPr>
                <w:rFonts w:ascii="Times New Roman" w:eastAsia="宋体" w:cs="Times New Roman"/>
                <w:color w:val="000000" w:themeColor="text1"/>
                <w:sz w:val="21"/>
                <w:szCs w:val="21"/>
                <w14:textFill>
                  <w14:solidFill>
                    <w14:schemeClr w14:val="tx1"/>
                  </w14:solidFill>
                </w14:textFill>
              </w:rPr>
            </w:pPr>
          </w:p>
        </w:tc>
      </w:tr>
      <w:tr w14:paraId="34C2E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498" w:type="pct"/>
            <w:vAlign w:val="center"/>
          </w:tcPr>
          <w:p w14:paraId="1DCC7947">
            <w:pPr>
              <w:spacing w:after="0" w:line="240" w:lineRule="auto"/>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8</w:t>
            </w:r>
          </w:p>
        </w:tc>
        <w:tc>
          <w:tcPr>
            <w:tcW w:w="3669" w:type="pct"/>
            <w:tcBorders>
              <w:top w:val="single" w:color="auto" w:sz="4" w:space="0"/>
              <w:left w:val="single" w:color="auto" w:sz="4" w:space="0"/>
              <w:right w:val="single" w:color="auto" w:sz="4" w:space="0"/>
            </w:tcBorders>
            <w:vAlign w:val="center"/>
          </w:tcPr>
          <w:p w14:paraId="48554933">
            <w:pPr>
              <w:spacing w:after="0" w:line="240" w:lineRule="auto"/>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服务管理、财务管理、信息统计、内控管理、人员管理、档案管理等制度。</w:t>
            </w:r>
          </w:p>
        </w:tc>
        <w:tc>
          <w:tcPr>
            <w:tcW w:w="833" w:type="pct"/>
            <w:vAlign w:val="center"/>
          </w:tcPr>
          <w:p w14:paraId="0AE6010C">
            <w:pPr>
              <w:spacing w:after="0" w:line="240" w:lineRule="auto"/>
              <w:rPr>
                <w:rFonts w:ascii="Times New Roman" w:eastAsia="宋体" w:cs="Times New Roman"/>
                <w:color w:val="000000" w:themeColor="text1"/>
                <w:sz w:val="21"/>
                <w:szCs w:val="21"/>
                <w14:textFill>
                  <w14:solidFill>
                    <w14:schemeClr w14:val="tx1"/>
                  </w14:solidFill>
                </w14:textFill>
              </w:rPr>
            </w:pPr>
          </w:p>
        </w:tc>
      </w:tr>
      <w:tr w14:paraId="4248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498" w:type="pct"/>
            <w:vAlign w:val="center"/>
          </w:tcPr>
          <w:p w14:paraId="3384C512">
            <w:pPr>
              <w:spacing w:after="0" w:line="240" w:lineRule="auto"/>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9</w:t>
            </w:r>
          </w:p>
        </w:tc>
        <w:tc>
          <w:tcPr>
            <w:tcW w:w="3669" w:type="pct"/>
            <w:tcBorders>
              <w:top w:val="single" w:color="auto" w:sz="4" w:space="0"/>
              <w:left w:val="single" w:color="auto" w:sz="4" w:space="0"/>
              <w:right w:val="single" w:color="auto" w:sz="4" w:space="0"/>
            </w:tcBorders>
            <w:vAlign w:val="center"/>
          </w:tcPr>
          <w:p w14:paraId="07890627">
            <w:pPr>
              <w:spacing w:after="0" w:line="240" w:lineRule="auto"/>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提供符合长期护理保险档案管理要求的档案管理能力介绍及实物图片。</w:t>
            </w:r>
          </w:p>
        </w:tc>
        <w:tc>
          <w:tcPr>
            <w:tcW w:w="833" w:type="pct"/>
            <w:vAlign w:val="center"/>
          </w:tcPr>
          <w:p w14:paraId="2EBDCC01">
            <w:pPr>
              <w:spacing w:after="0" w:line="240" w:lineRule="auto"/>
              <w:rPr>
                <w:rFonts w:ascii="Times New Roman" w:eastAsia="宋体" w:cs="Times New Roman"/>
                <w:color w:val="000000" w:themeColor="text1"/>
                <w:sz w:val="21"/>
                <w:szCs w:val="21"/>
                <w14:textFill>
                  <w14:solidFill>
                    <w14:schemeClr w14:val="tx1"/>
                  </w14:solidFill>
                </w14:textFill>
              </w:rPr>
            </w:pPr>
          </w:p>
        </w:tc>
      </w:tr>
      <w:tr w14:paraId="545A0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498" w:type="pct"/>
            <w:vAlign w:val="center"/>
          </w:tcPr>
          <w:p w14:paraId="5F5877A3">
            <w:pPr>
              <w:spacing w:after="0" w:line="240" w:lineRule="auto"/>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10</w:t>
            </w:r>
          </w:p>
        </w:tc>
        <w:tc>
          <w:tcPr>
            <w:tcW w:w="3669" w:type="pct"/>
            <w:tcBorders>
              <w:top w:val="single" w:color="auto" w:sz="4" w:space="0"/>
              <w:left w:val="single" w:color="auto" w:sz="4" w:space="0"/>
              <w:right w:val="single" w:color="auto" w:sz="4" w:space="0"/>
            </w:tcBorders>
            <w:vAlign w:val="center"/>
          </w:tcPr>
          <w:p w14:paraId="5FF28580">
            <w:pPr>
              <w:spacing w:after="0" w:line="240" w:lineRule="auto"/>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本机构开展评估服务的内部工作流程。</w:t>
            </w:r>
          </w:p>
        </w:tc>
        <w:tc>
          <w:tcPr>
            <w:tcW w:w="833" w:type="pct"/>
            <w:vAlign w:val="center"/>
          </w:tcPr>
          <w:p w14:paraId="75F85ECE">
            <w:pPr>
              <w:spacing w:after="0" w:line="240" w:lineRule="auto"/>
              <w:jc w:val="center"/>
              <w:rPr>
                <w:rFonts w:ascii="Times New Roman" w:eastAsia="宋体" w:cs="Times New Roman"/>
                <w:color w:val="000000" w:themeColor="text1"/>
                <w:sz w:val="21"/>
                <w:szCs w:val="21"/>
                <w14:textFill>
                  <w14:solidFill>
                    <w14:schemeClr w14:val="tx1"/>
                  </w14:solidFill>
                </w14:textFill>
              </w:rPr>
            </w:pPr>
          </w:p>
        </w:tc>
      </w:tr>
      <w:tr w14:paraId="6E79F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498" w:type="pct"/>
            <w:vAlign w:val="center"/>
          </w:tcPr>
          <w:p w14:paraId="1CC51F47">
            <w:pPr>
              <w:spacing w:after="0" w:line="240" w:lineRule="auto"/>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11</w:t>
            </w:r>
          </w:p>
        </w:tc>
        <w:tc>
          <w:tcPr>
            <w:tcW w:w="3669" w:type="pct"/>
            <w:tcBorders>
              <w:top w:val="single" w:color="auto" w:sz="4" w:space="0"/>
              <w:left w:val="single" w:color="auto" w:sz="4" w:space="0"/>
              <w:right w:val="single" w:color="auto" w:sz="4" w:space="0"/>
            </w:tcBorders>
            <w:vAlign w:val="center"/>
          </w:tcPr>
          <w:p w14:paraId="514DB0F9">
            <w:pPr>
              <w:spacing w:after="0" w:line="240" w:lineRule="auto"/>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提供单位的开户许可证复印件。</w:t>
            </w:r>
          </w:p>
        </w:tc>
        <w:tc>
          <w:tcPr>
            <w:tcW w:w="833" w:type="pct"/>
            <w:vAlign w:val="center"/>
          </w:tcPr>
          <w:p w14:paraId="2C8B138E">
            <w:pPr>
              <w:spacing w:after="0" w:line="240" w:lineRule="auto"/>
              <w:jc w:val="center"/>
              <w:rPr>
                <w:rFonts w:ascii="Times New Roman" w:eastAsia="宋体" w:cs="Times New Roman"/>
                <w:color w:val="000000" w:themeColor="text1"/>
                <w:sz w:val="21"/>
                <w:szCs w:val="21"/>
                <w14:textFill>
                  <w14:solidFill>
                    <w14:schemeClr w14:val="tx1"/>
                  </w14:solidFill>
                </w14:textFill>
              </w:rPr>
            </w:pPr>
          </w:p>
        </w:tc>
      </w:tr>
      <w:tr w14:paraId="676E0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498" w:type="pct"/>
            <w:vAlign w:val="center"/>
          </w:tcPr>
          <w:p w14:paraId="57691463">
            <w:pPr>
              <w:spacing w:after="0" w:line="240" w:lineRule="auto"/>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12</w:t>
            </w:r>
          </w:p>
        </w:tc>
        <w:tc>
          <w:tcPr>
            <w:tcW w:w="3669" w:type="pct"/>
            <w:tcBorders>
              <w:top w:val="single" w:color="auto" w:sz="4" w:space="0"/>
              <w:left w:val="single" w:color="auto" w:sz="4" w:space="0"/>
              <w:right w:val="single" w:color="auto" w:sz="4" w:space="0"/>
            </w:tcBorders>
            <w:vAlign w:val="center"/>
          </w:tcPr>
          <w:p w14:paraId="753FECE8">
            <w:pPr>
              <w:widowControl/>
              <w:spacing w:after="0" w:line="240" w:lineRule="auto"/>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与失能等级评估工作要求相适应的信息系统相关材料。</w:t>
            </w:r>
          </w:p>
        </w:tc>
        <w:tc>
          <w:tcPr>
            <w:tcW w:w="833" w:type="pct"/>
            <w:vAlign w:val="center"/>
          </w:tcPr>
          <w:p w14:paraId="30708368">
            <w:pPr>
              <w:spacing w:after="0" w:line="240" w:lineRule="auto"/>
              <w:jc w:val="center"/>
              <w:rPr>
                <w:rFonts w:ascii="Times New Roman" w:eastAsia="宋体" w:cs="Times New Roman"/>
                <w:color w:val="000000" w:themeColor="text1"/>
                <w:sz w:val="21"/>
                <w:szCs w:val="21"/>
                <w14:textFill>
                  <w14:solidFill>
                    <w14:schemeClr w14:val="tx1"/>
                  </w14:solidFill>
                </w14:textFill>
              </w:rPr>
            </w:pPr>
          </w:p>
        </w:tc>
      </w:tr>
    </w:tbl>
    <w:p w14:paraId="0248DBB7">
      <w:pPr>
        <w:pStyle w:val="12"/>
        <w:ind w:firstLine="536"/>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备注：上述材料中证照、证书等复印件需加盖申请单位公章，序号2所需材料根据机构类型及实际情况对应提供。</w:t>
      </w:r>
      <w:bookmarkStart w:id="0" w:name="_GoBack"/>
      <w:bookmarkEnd w:id="0"/>
    </w:p>
    <w:p w14:paraId="35152D3A">
      <w:pPr>
        <w:pStyle w:val="30"/>
        <w:rPr>
          <w:rFonts w:hint="eastAsia" w:ascii="仿宋_GB2312" w:hAnsi="仿宋_GB2312" w:eastAsia="仿宋_GB2312" w:cs="仿宋_GB2312"/>
          <w:color w:val="000000" w:themeColor="text1"/>
          <w:sz w:val="24"/>
          <w14:textFill>
            <w14:solidFill>
              <w14:schemeClr w14:val="tx1"/>
            </w14:solidFill>
          </w14:textFill>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9213531"/>
    </w:sdtPr>
    <w:sdtContent>
      <w:p w14:paraId="35844033">
        <w:pPr>
          <w:pStyle w:val="13"/>
          <w:jc w:val="center"/>
        </w:pPr>
        <w:r>
          <w:fldChar w:fldCharType="begin"/>
        </w:r>
        <w:r>
          <w:instrText xml:space="preserve">PAGE   \* MERGEFORMAT</w:instrText>
        </w:r>
        <w:r>
          <w:fldChar w:fldCharType="separate"/>
        </w:r>
        <w:r>
          <w:rPr>
            <w:lang w:val="zh-CN"/>
          </w:rPr>
          <w:t>2</w:t>
        </w:r>
        <w:r>
          <w:fldChar w:fldCharType="end"/>
        </w:r>
      </w:p>
    </w:sdtContent>
  </w:sdt>
  <w:p w14:paraId="2D9FC51D">
    <w:pPr>
      <w:spacing w:line="340" w:lineRule="exact"/>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0"/>
  <w:drawingGridVerticalSpacing w:val="290"/>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7C5"/>
    <w:rsid w:val="00000073"/>
    <w:rsid w:val="00016CCB"/>
    <w:rsid w:val="000327C5"/>
    <w:rsid w:val="00036C2D"/>
    <w:rsid w:val="000769D0"/>
    <w:rsid w:val="000B6D23"/>
    <w:rsid w:val="000C4F30"/>
    <w:rsid w:val="000D37AB"/>
    <w:rsid w:val="000D47AD"/>
    <w:rsid w:val="000F7780"/>
    <w:rsid w:val="00103917"/>
    <w:rsid w:val="00112AF5"/>
    <w:rsid w:val="00140820"/>
    <w:rsid w:val="00154338"/>
    <w:rsid w:val="0019412D"/>
    <w:rsid w:val="001F186D"/>
    <w:rsid w:val="00223E51"/>
    <w:rsid w:val="002328DC"/>
    <w:rsid w:val="00265364"/>
    <w:rsid w:val="00273448"/>
    <w:rsid w:val="00281A20"/>
    <w:rsid w:val="002B0321"/>
    <w:rsid w:val="002B17CC"/>
    <w:rsid w:val="0037650C"/>
    <w:rsid w:val="003960E8"/>
    <w:rsid w:val="00417F57"/>
    <w:rsid w:val="00441A7C"/>
    <w:rsid w:val="004555A8"/>
    <w:rsid w:val="004C4AAC"/>
    <w:rsid w:val="00620563"/>
    <w:rsid w:val="00663997"/>
    <w:rsid w:val="00680084"/>
    <w:rsid w:val="00685970"/>
    <w:rsid w:val="006B205F"/>
    <w:rsid w:val="006C024E"/>
    <w:rsid w:val="00746428"/>
    <w:rsid w:val="00753073"/>
    <w:rsid w:val="00781322"/>
    <w:rsid w:val="007B40C0"/>
    <w:rsid w:val="007D41E2"/>
    <w:rsid w:val="007E1EEB"/>
    <w:rsid w:val="007F2CC1"/>
    <w:rsid w:val="00810451"/>
    <w:rsid w:val="008140FD"/>
    <w:rsid w:val="00832654"/>
    <w:rsid w:val="0089361B"/>
    <w:rsid w:val="008A242B"/>
    <w:rsid w:val="008D27DD"/>
    <w:rsid w:val="008D7987"/>
    <w:rsid w:val="008F284A"/>
    <w:rsid w:val="00906F6D"/>
    <w:rsid w:val="0093220C"/>
    <w:rsid w:val="009350D4"/>
    <w:rsid w:val="0096572B"/>
    <w:rsid w:val="009964D3"/>
    <w:rsid w:val="009C00DC"/>
    <w:rsid w:val="00A16C6B"/>
    <w:rsid w:val="00A4686A"/>
    <w:rsid w:val="00A70FB8"/>
    <w:rsid w:val="00A7630B"/>
    <w:rsid w:val="00AB63C4"/>
    <w:rsid w:val="00AF54EC"/>
    <w:rsid w:val="00B11F03"/>
    <w:rsid w:val="00B512A1"/>
    <w:rsid w:val="00B55407"/>
    <w:rsid w:val="00BC7382"/>
    <w:rsid w:val="00BD6773"/>
    <w:rsid w:val="00BD7DC5"/>
    <w:rsid w:val="00BF2B15"/>
    <w:rsid w:val="00BF38A4"/>
    <w:rsid w:val="00C05E5A"/>
    <w:rsid w:val="00C152DC"/>
    <w:rsid w:val="00CA182A"/>
    <w:rsid w:val="00CA4218"/>
    <w:rsid w:val="00CC422F"/>
    <w:rsid w:val="00CD1339"/>
    <w:rsid w:val="00CE7491"/>
    <w:rsid w:val="00D36250"/>
    <w:rsid w:val="00D40EB8"/>
    <w:rsid w:val="00D44441"/>
    <w:rsid w:val="00D60C7D"/>
    <w:rsid w:val="00D74076"/>
    <w:rsid w:val="00DC78B0"/>
    <w:rsid w:val="00E135D7"/>
    <w:rsid w:val="00E2556D"/>
    <w:rsid w:val="00E53248"/>
    <w:rsid w:val="00E64D03"/>
    <w:rsid w:val="00EB7C8E"/>
    <w:rsid w:val="00EC1083"/>
    <w:rsid w:val="00F4584E"/>
    <w:rsid w:val="00F6227D"/>
    <w:rsid w:val="00FB7C9F"/>
    <w:rsid w:val="00FC4122"/>
    <w:rsid w:val="00FC5D01"/>
    <w:rsid w:val="070E5166"/>
    <w:rsid w:val="198A56EF"/>
    <w:rsid w:val="27AA6DBF"/>
    <w:rsid w:val="29CA4614"/>
    <w:rsid w:val="551531E2"/>
    <w:rsid w:val="56FCCF8D"/>
    <w:rsid w:val="5FE78155"/>
    <w:rsid w:val="6D9D099F"/>
    <w:rsid w:val="7CF950D2"/>
    <w:rsid w:val="B35E92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等线" w:hAnsi="Times New Roman" w:eastAsia="等线" w:cs="Arial"/>
      <w:kern w:val="2"/>
      <w:sz w:val="22"/>
      <w:szCs w:val="24"/>
      <w:lang w:val="en-US" w:eastAsia="zh-CN" w:bidi="ar-SA"/>
    </w:rPr>
  </w:style>
  <w:style w:type="paragraph" w:styleId="2">
    <w:name w:val="heading 1"/>
    <w:next w:val="1"/>
    <w:qFormat/>
    <w:uiPriority w:val="9"/>
    <w:pPr>
      <w:keepNext/>
      <w:keepLines/>
      <w:spacing w:line="560" w:lineRule="exact"/>
      <w:ind w:firstLine="894" w:firstLineChars="200"/>
      <w:outlineLvl w:val="0"/>
    </w:pPr>
    <w:rPr>
      <w:rFonts w:ascii="黑体" w:hAnsi="黑体" w:eastAsia="黑体" w:cs="黑体"/>
      <w:kern w:val="44"/>
      <w:sz w:val="32"/>
      <w:szCs w:val="32"/>
      <w:lang w:val="en-US" w:eastAsia="zh-CN" w:bidi="ar-SA"/>
    </w:rPr>
  </w:style>
  <w:style w:type="paragraph" w:styleId="3">
    <w:name w:val="heading 2"/>
    <w:next w:val="1"/>
    <w:link w:val="36"/>
    <w:semiHidden/>
    <w:unhideWhenUsed/>
    <w:qFormat/>
    <w:uiPriority w:val="9"/>
    <w:pPr>
      <w:keepNext/>
      <w:keepLines/>
      <w:spacing w:line="560" w:lineRule="exact"/>
      <w:ind w:firstLine="894" w:firstLineChars="200"/>
      <w:outlineLvl w:val="1"/>
    </w:pPr>
    <w:rPr>
      <w:rFonts w:ascii="Times New Roman" w:hAnsi="Times New Roman" w:eastAsia="楷体_GB2312" w:cs="楷体_GB2312"/>
      <w:sz w:val="32"/>
      <w:szCs w:val="32"/>
      <w:lang w:val="en-US" w:eastAsia="zh-CN" w:bidi="ar-SA"/>
    </w:rPr>
  </w:style>
  <w:style w:type="paragraph" w:styleId="4">
    <w:name w:val="heading 3"/>
    <w:next w:val="1"/>
    <w:semiHidden/>
    <w:unhideWhenUsed/>
    <w:qFormat/>
    <w:uiPriority w:val="9"/>
    <w:pPr>
      <w:keepNext/>
      <w:keepLines/>
      <w:spacing w:line="560" w:lineRule="exact"/>
      <w:ind w:firstLine="894" w:firstLineChars="200"/>
      <w:outlineLvl w:val="2"/>
    </w:pPr>
    <w:rPr>
      <w:rFonts w:ascii="Times New Roman" w:hAnsi="Times New Roman" w:eastAsia="仿宋_GB2312" w:cs="仿宋_GB2312"/>
      <w:sz w:val="32"/>
      <w:szCs w:val="32"/>
      <w:lang w:val="en-US" w:eastAsia="zh-CN" w:bidi="ar-SA"/>
    </w:rPr>
  </w:style>
  <w:style w:type="paragraph" w:styleId="5">
    <w:name w:val="heading 4"/>
    <w:next w:val="1"/>
    <w:semiHidden/>
    <w:unhideWhenUsed/>
    <w:qFormat/>
    <w:uiPriority w:val="9"/>
    <w:pPr>
      <w:keepNext/>
      <w:keepLines/>
      <w:spacing w:line="560" w:lineRule="exact"/>
      <w:ind w:firstLine="894" w:firstLineChars="200"/>
      <w:outlineLvl w:val="3"/>
    </w:pPr>
    <w:rPr>
      <w:rFonts w:ascii="Times New Roman" w:hAnsi="Times New Roman" w:eastAsia="仿宋_GB2312" w:cs="仿宋_GB2312"/>
      <w:sz w:val="32"/>
      <w:szCs w:val="32"/>
      <w:lang w:val="en-US" w:eastAsia="zh-CN" w:bidi="ar-SA"/>
    </w:rPr>
  </w:style>
  <w:style w:type="paragraph" w:styleId="6">
    <w:name w:val="heading 5"/>
    <w:next w:val="1"/>
    <w:semiHidden/>
    <w:unhideWhenUsed/>
    <w:qFormat/>
    <w:uiPriority w:val="9"/>
    <w:pPr>
      <w:spacing w:line="560" w:lineRule="exact"/>
      <w:ind w:firstLine="894" w:firstLineChars="200"/>
      <w:outlineLvl w:val="4"/>
    </w:pPr>
    <w:rPr>
      <w:rFonts w:ascii="Times New Roman" w:hAnsi="Times New Roman" w:eastAsia="仿宋_GB2312" w:cs="仿宋_GB2312"/>
      <w:sz w:val="32"/>
      <w:szCs w:val="32"/>
      <w:lang w:val="en-US" w:eastAsia="zh-CN" w:bidi="ar-SA"/>
    </w:rPr>
  </w:style>
  <w:style w:type="paragraph" w:styleId="7">
    <w:name w:val="heading 6"/>
    <w:next w:val="1"/>
    <w:semiHidden/>
    <w:unhideWhenUsed/>
    <w:qFormat/>
    <w:uiPriority w:val="9"/>
    <w:pPr>
      <w:spacing w:line="560" w:lineRule="exact"/>
      <w:ind w:firstLine="894" w:firstLineChars="200"/>
      <w:outlineLvl w:val="5"/>
    </w:pPr>
    <w:rPr>
      <w:rFonts w:ascii="Times New Roman" w:hAnsi="Times New Roman" w:eastAsia="仿宋_GB2312" w:cs="仿宋_GB2312"/>
      <w:sz w:val="32"/>
      <w:szCs w:val="32"/>
      <w:lang w:val="en-US" w:eastAsia="zh-CN" w:bidi="ar-SA"/>
    </w:rPr>
  </w:style>
  <w:style w:type="paragraph" w:styleId="8">
    <w:name w:val="heading 7"/>
    <w:next w:val="1"/>
    <w:qFormat/>
    <w:uiPriority w:val="0"/>
    <w:pPr>
      <w:spacing w:line="560" w:lineRule="exact"/>
      <w:ind w:firstLine="894" w:firstLineChars="200"/>
      <w:outlineLvl w:val="6"/>
    </w:pPr>
    <w:rPr>
      <w:rFonts w:ascii="Times New Roman" w:hAnsi="Times New Roman" w:eastAsia="仿宋_GB2312" w:cs="仿宋_GB2312"/>
      <w:sz w:val="32"/>
      <w:szCs w:val="32"/>
      <w:lang w:val="en-US" w:eastAsia="zh-CN" w:bidi="ar-SA"/>
    </w:rPr>
  </w:style>
  <w:style w:type="paragraph" w:styleId="9">
    <w:name w:val="heading 8"/>
    <w:next w:val="1"/>
    <w:qFormat/>
    <w:uiPriority w:val="0"/>
    <w:pPr>
      <w:spacing w:line="560" w:lineRule="exact"/>
      <w:ind w:firstLine="894" w:firstLineChars="200"/>
      <w:outlineLvl w:val="7"/>
    </w:pPr>
    <w:rPr>
      <w:rFonts w:ascii="Times New Roman" w:hAnsi="Times New Roman" w:eastAsia="仿宋_GB2312" w:cs="仿宋_GB2312"/>
      <w:sz w:val="32"/>
      <w:szCs w:val="32"/>
      <w:lang w:val="en-US" w:eastAsia="zh-CN" w:bidi="ar-SA"/>
    </w:rPr>
  </w:style>
  <w:style w:type="paragraph" w:styleId="10">
    <w:name w:val="heading 9"/>
    <w:next w:val="1"/>
    <w:qFormat/>
    <w:uiPriority w:val="0"/>
    <w:pPr>
      <w:spacing w:line="560" w:lineRule="exact"/>
      <w:ind w:firstLine="894" w:firstLineChars="200"/>
      <w:outlineLvl w:val="8"/>
    </w:pPr>
    <w:rPr>
      <w:rFonts w:ascii="Times New Roman" w:hAnsi="Times New Roman" w:eastAsia="仿宋_GB2312" w:cs="仿宋_GB2312"/>
      <w:sz w:val="32"/>
      <w:szCs w:val="32"/>
      <w:lang w:val="en-US" w:eastAsia="zh-CN" w:bidi="ar-SA"/>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29"/>
    <w:semiHidden/>
    <w:unhideWhenUsed/>
    <w:qFormat/>
    <w:uiPriority w:val="99"/>
    <w:rPr>
      <w:rFonts w:asciiTheme="minorHAnsi" w:hAnsiTheme="minorHAnsi" w:eastAsiaTheme="minorEastAsia" w:cstheme="minorBidi"/>
      <w14:ligatures w14:val="standardContextual"/>
    </w:rPr>
  </w:style>
  <w:style w:type="paragraph" w:styleId="12">
    <w:name w:val="Body Text"/>
    <w:unhideWhenUsed/>
    <w:qFormat/>
    <w:uiPriority w:val="99"/>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13">
    <w:name w:val="footer"/>
    <w:basedOn w:val="1"/>
    <w:link w:val="35"/>
    <w:qFormat/>
    <w:uiPriority w:val="99"/>
    <w:pPr>
      <w:tabs>
        <w:tab w:val="center" w:pos="4153"/>
        <w:tab w:val="right" w:pos="8306"/>
      </w:tabs>
      <w:snapToGrid w:val="0"/>
      <w:spacing w:after="0" w:line="240" w:lineRule="auto"/>
    </w:pPr>
    <w:rPr>
      <w:rFonts w:ascii="Calibri" w:hAnsi="Calibri" w:eastAsia="宋体"/>
      <w:kern w:val="0"/>
      <w:sz w:val="18"/>
      <w:szCs w:val="22"/>
    </w:rPr>
  </w:style>
  <w:style w:type="paragraph" w:styleId="14">
    <w:name w:val="header"/>
    <w:basedOn w:val="1"/>
    <w:qFormat/>
    <w:uiPriority w:val="0"/>
    <w:pPr>
      <w:tabs>
        <w:tab w:val="center" w:pos="4153"/>
        <w:tab w:val="right" w:pos="8306"/>
      </w:tabs>
      <w:snapToGrid w:val="0"/>
      <w:spacing w:line="240" w:lineRule="auto"/>
      <w:jc w:val="center"/>
    </w:pPr>
    <w:rPr>
      <w:sz w:val="18"/>
      <w:szCs w:val="18"/>
    </w:rPr>
  </w:style>
  <w:style w:type="paragraph" w:styleId="15">
    <w:name w:val="toc 1"/>
    <w:basedOn w:val="1"/>
    <w:next w:val="1"/>
    <w:qFormat/>
    <w:uiPriority w:val="0"/>
    <w:pPr>
      <w:spacing w:after="0" w:line="240" w:lineRule="auto"/>
      <w:jc w:val="both"/>
    </w:pPr>
    <w:rPr>
      <w:rFonts w:ascii="Calibri" w:hAnsi="Calibri" w:eastAsia="宋体"/>
      <w:kern w:val="0"/>
      <w:sz w:val="21"/>
      <w:szCs w:val="22"/>
    </w:rPr>
  </w:style>
  <w:style w:type="paragraph" w:styleId="16">
    <w:name w:val="Subtitle"/>
    <w:next w:val="1"/>
    <w:qFormat/>
    <w:uiPriority w:val="11"/>
    <w:pPr>
      <w:spacing w:line="720" w:lineRule="exact"/>
      <w:jc w:val="center"/>
    </w:pPr>
    <w:rPr>
      <w:rFonts w:ascii="Times New Roman" w:hAnsi="Times New Roman" w:eastAsia="仿宋_GB2312" w:cs="仿宋_GB2312"/>
      <w:kern w:val="28"/>
      <w:sz w:val="32"/>
      <w:szCs w:val="32"/>
      <w:lang w:val="en-US" w:eastAsia="zh-CN" w:bidi="ar-SA"/>
    </w:rPr>
  </w:style>
  <w:style w:type="paragraph" w:styleId="17">
    <w:name w:val="Normal (Web)"/>
    <w:basedOn w:val="1"/>
    <w:qFormat/>
    <w:uiPriority w:val="0"/>
    <w:pPr>
      <w:spacing w:before="100" w:beforeAutospacing="1" w:after="100" w:afterAutospacing="1" w:line="240" w:lineRule="auto"/>
    </w:pPr>
    <w:rPr>
      <w:rFonts w:ascii="Calibri" w:hAnsi="Calibri" w:eastAsia="宋体" w:cs="Times New Roman"/>
      <w:kern w:val="0"/>
      <w:sz w:val="24"/>
      <w:szCs w:val="22"/>
    </w:rPr>
  </w:style>
  <w:style w:type="paragraph" w:styleId="18">
    <w:name w:val="Title"/>
    <w:next w:val="1"/>
    <w:link w:val="37"/>
    <w:qFormat/>
    <w:uiPriority w:val="0"/>
    <w:pPr>
      <w:spacing w:line="720" w:lineRule="exact"/>
      <w:jc w:val="center"/>
    </w:pPr>
    <w:rPr>
      <w:rFonts w:ascii="方正小标宋简体" w:hAnsi="方正小标宋简体" w:eastAsia="方正小标宋简体" w:cs="方正小标宋简体"/>
      <w:sz w:val="44"/>
      <w:szCs w:val="44"/>
      <w:lang w:val="en-US" w:eastAsia="zh-CN" w:bidi="ar-SA"/>
    </w:rPr>
  </w:style>
  <w:style w:type="character" w:styleId="21">
    <w:name w:val="Hyperlink"/>
    <w:basedOn w:val="20"/>
    <w:qFormat/>
    <w:uiPriority w:val="0"/>
    <w:rPr>
      <w:color w:val="0563C1"/>
      <w:u w:val="single"/>
    </w:rPr>
  </w:style>
  <w:style w:type="character" w:styleId="22">
    <w:name w:val="annotation reference"/>
    <w:basedOn w:val="20"/>
    <w:semiHidden/>
    <w:unhideWhenUsed/>
    <w:qFormat/>
    <w:uiPriority w:val="99"/>
    <w:rPr>
      <w:sz w:val="21"/>
      <w:szCs w:val="21"/>
    </w:rPr>
  </w:style>
  <w:style w:type="paragraph" w:styleId="23">
    <w:name w:val="Quote"/>
    <w:basedOn w:val="1"/>
    <w:next w:val="1"/>
    <w:qFormat/>
    <w:uiPriority w:val="0"/>
    <w:pPr>
      <w:spacing w:before="160"/>
      <w:jc w:val="center"/>
    </w:pPr>
    <w:rPr>
      <w:i/>
      <w:iCs/>
      <w:color w:val="404040"/>
    </w:rPr>
  </w:style>
  <w:style w:type="paragraph" w:styleId="24">
    <w:name w:val="List Paragraph"/>
    <w:basedOn w:val="1"/>
    <w:qFormat/>
    <w:uiPriority w:val="0"/>
    <w:pPr>
      <w:ind w:left="720"/>
      <w:contextualSpacing/>
    </w:pPr>
  </w:style>
  <w:style w:type="character" w:customStyle="1" w:styleId="25">
    <w:name w:val="明显强调1"/>
    <w:basedOn w:val="20"/>
    <w:qFormat/>
    <w:uiPriority w:val="0"/>
    <w:rPr>
      <w:i/>
      <w:iCs/>
      <w:color w:val="2F5496"/>
    </w:rPr>
  </w:style>
  <w:style w:type="paragraph" w:styleId="26">
    <w:name w:val="Intense Quote"/>
    <w:basedOn w:val="1"/>
    <w:next w:val="1"/>
    <w:qFormat/>
    <w:uiPriority w:val="0"/>
    <w:pPr>
      <w:pBdr>
        <w:top w:val="single" w:color="2F5496" w:sz="4" w:space="10"/>
        <w:bottom w:val="single" w:color="2F5496" w:sz="4" w:space="10"/>
      </w:pBdr>
      <w:spacing w:before="360" w:after="360"/>
      <w:ind w:left="864" w:right="864"/>
      <w:jc w:val="center"/>
    </w:pPr>
    <w:rPr>
      <w:i/>
      <w:iCs/>
      <w:color w:val="2F5496"/>
    </w:rPr>
  </w:style>
  <w:style w:type="character" w:customStyle="1" w:styleId="27">
    <w:name w:val="明显参考1"/>
    <w:basedOn w:val="20"/>
    <w:qFormat/>
    <w:uiPriority w:val="0"/>
    <w:rPr>
      <w:b/>
      <w:bCs/>
      <w:smallCaps/>
      <w:color w:val="2F5496"/>
      <w:spacing w:val="5"/>
    </w:rPr>
  </w:style>
  <w:style w:type="character" w:customStyle="1" w:styleId="28">
    <w:name w:val="未处理的提及1"/>
    <w:basedOn w:val="20"/>
    <w:qFormat/>
    <w:uiPriority w:val="0"/>
    <w:rPr>
      <w:color w:val="605E5C"/>
      <w:shd w:val="clear" w:color="auto" w:fill="E1DFDD"/>
    </w:rPr>
  </w:style>
  <w:style w:type="character" w:customStyle="1" w:styleId="29">
    <w:name w:val="批注文字 字符"/>
    <w:basedOn w:val="20"/>
    <w:link w:val="11"/>
    <w:semiHidden/>
    <w:qFormat/>
    <w:uiPriority w:val="99"/>
    <w:rPr>
      <w:rFonts w:asciiTheme="minorHAnsi" w:hAnsiTheme="minorHAnsi" w:eastAsiaTheme="minorEastAsia" w:cstheme="minorBidi"/>
      <w:kern w:val="2"/>
      <w:sz w:val="22"/>
      <w:szCs w:val="24"/>
      <w14:ligatures w14:val="standardContextual"/>
    </w:rPr>
  </w:style>
  <w:style w:type="paragraph" w:customStyle="1" w:styleId="30">
    <w:name w:val="附录标题"/>
    <w:next w:val="1"/>
    <w:qFormat/>
    <w:uiPriority w:val="0"/>
    <w:pPr>
      <w:overflowPunct w:val="0"/>
      <w:topLinePunct/>
      <w:spacing w:line="560" w:lineRule="exact"/>
      <w:outlineLvl w:val="0"/>
    </w:pPr>
    <w:rPr>
      <w:rFonts w:ascii="黑体" w:hAnsi="黑体" w:eastAsia="黑体" w:cs="黑体"/>
      <w:sz w:val="32"/>
      <w:szCs w:val="32"/>
      <w:lang w:val="en-US" w:eastAsia="zh-CN" w:bidi="ar-SA"/>
    </w:rPr>
  </w:style>
  <w:style w:type="character" w:customStyle="1" w:styleId="31">
    <w:name w:val="标题 2 Char"/>
    <w:qFormat/>
    <w:uiPriority w:val="9"/>
    <w:rPr>
      <w:rFonts w:ascii="Times New Roman" w:hAnsi="Times New Roman" w:eastAsia="楷体_GB2312" w:cs="楷体_GB2312"/>
      <w:sz w:val="32"/>
      <w:szCs w:val="32"/>
    </w:rPr>
  </w:style>
  <w:style w:type="character" w:customStyle="1" w:styleId="32">
    <w:name w:val="标题 2 Char1"/>
    <w:qFormat/>
    <w:uiPriority w:val="9"/>
    <w:rPr>
      <w:rFonts w:ascii="Times New Roman" w:hAnsi="Times New Roman" w:eastAsia="楷体_GB2312" w:cs="楷体_GB2312"/>
      <w:sz w:val="32"/>
      <w:szCs w:val="32"/>
    </w:rPr>
  </w:style>
  <w:style w:type="character" w:customStyle="1" w:styleId="33">
    <w:name w:val="标题 2 Char2"/>
    <w:qFormat/>
    <w:uiPriority w:val="9"/>
    <w:rPr>
      <w:rFonts w:ascii="Times New Roman" w:hAnsi="Times New Roman" w:eastAsia="楷体_GB2312" w:cs="楷体_GB2312"/>
      <w:sz w:val="32"/>
      <w:szCs w:val="32"/>
    </w:rPr>
  </w:style>
  <w:style w:type="character" w:customStyle="1" w:styleId="34">
    <w:name w:val="标题 2 字符"/>
    <w:qFormat/>
    <w:uiPriority w:val="9"/>
    <w:rPr>
      <w:rFonts w:ascii="Times New Roman" w:hAnsi="Times New Roman" w:eastAsia="楷体_GB2312" w:cs="楷体_GB2312"/>
      <w:sz w:val="32"/>
      <w:szCs w:val="32"/>
    </w:rPr>
  </w:style>
  <w:style w:type="character" w:customStyle="1" w:styleId="35">
    <w:name w:val="页脚 字符"/>
    <w:basedOn w:val="20"/>
    <w:link w:val="13"/>
    <w:qFormat/>
    <w:uiPriority w:val="99"/>
    <w:rPr>
      <w:rFonts w:ascii="Calibri" w:hAnsi="Calibri" w:cs="Arial"/>
      <w:sz w:val="18"/>
      <w:szCs w:val="22"/>
    </w:rPr>
  </w:style>
  <w:style w:type="character" w:customStyle="1" w:styleId="36">
    <w:name w:val="标题 2 字符1"/>
    <w:link w:val="3"/>
    <w:qFormat/>
    <w:uiPriority w:val="9"/>
    <w:rPr>
      <w:rFonts w:ascii="Times New Roman" w:hAnsi="Times New Roman" w:eastAsia="楷体_GB2312" w:cs="楷体_GB2312"/>
      <w:sz w:val="32"/>
      <w:szCs w:val="32"/>
    </w:rPr>
  </w:style>
  <w:style w:type="character" w:customStyle="1" w:styleId="37">
    <w:name w:val="标题 字符"/>
    <w:basedOn w:val="20"/>
    <w:link w:val="18"/>
    <w:qFormat/>
    <w:uiPriority w:val="0"/>
    <w:rPr>
      <w:rFonts w:ascii="方正小标宋简体" w:hAnsi="方正小标宋简体" w:eastAsia="方正小标宋简体" w:cs="方正小标宋简体"/>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688d97ca-a6ed-4e95-ae0d-b6c0c3f05d14</errorID>
      <errorWord xmlns="http://schemas.wps.cn/vas-ai-hub/contract-review">组织组织</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组织</item>
      </candidateList>
      <explain xmlns="http://schemas.wps.cn/vas-ai-hub/contract-review">❶〈动〉安排分散的人或事物使具有一定的系统性或整体性：～人力｜～联欢晚会｜这篇文章～得很好。❷〈名〉系统；配合关系：～严密｜～松散。❸〈名〉纺织品经纬纱线的结构：平纹～｜斜纹～｜缎纹～。❹〈名〉机体中构成器官的单位，是由许多形态和功能相同的细胞按一定的方式结合而成的。人和高等动物体内有上皮组织、结缔组织、肌组织和神经组织。</explain>
      <paraID xmlns="http://schemas.wps.cn/vas-ai-hub/contract-review">4C4A310C</paraID>
      <start xmlns="http://schemas.wps.cn/vas-ai-hub/contract-review">21</start>
      <end xmlns="http://schemas.wps.cn/vas-ai-hub/contract-review">23</end>
      <status xmlns="http://schemas.wps.cn/vas-ai-hub/contract-review">modified</status>
      <modifiedWord xmlns="http://schemas.wps.cn/vas-ai-hub/contract-review">组织</modifiedWord>
      <trackRevisions xmlns="http://schemas.wps.cn/vas-ai-hub/contract-review">false</trackRevisions>
    </reviewItem>
    <reviewItem xmlns="http://schemas.wps.cn/vas-ai-hub/contract-review">
      <errorID xmlns="http://schemas.wps.cn/vas-ai-hub/contract-review">47c0e23c-3e6a-4dba-a683-78c45f6fc043</errorID>
      <errorWord xmlns="http://schemas.wps.cn/vas-ai-hub/contract-review">日至2026年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日起至2026年</item>
      </candidateList>
      <explain xmlns="http://schemas.wps.cn/vas-ai-hub/contract-review"/>
      <paraID xmlns="http://schemas.wps.cn/vas-ai-hub/contract-review">3AD597A6</paraID>
      <start xmlns="http://schemas.wps.cn/vas-ai-hub/contract-review">17</start>
      <end xmlns="http://schemas.wps.cn/vas-ai-hub/contract-review">24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f81c4011-13de-48b2-a4c1-5653b1e527aa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65BE8F29</paraID>
      <start xmlns="http://schemas.wps.cn/vas-ai-hub/contract-review">134</start>
      <end xmlns="http://schemas.wps.cn/vas-ai-hub/contract-review">135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f71fb6fd-080a-4270-a775-e459151e65d3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65BE8F29</paraID>
      <start xmlns="http://schemas.wps.cn/vas-ai-hub/contract-review">136</start>
      <end xmlns="http://schemas.wps.cn/vas-ai-hub/contract-review">137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a3a3a625-c9cd-44a5-b5a9-66d3df1c6273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65BE8F29</paraID>
      <start xmlns="http://schemas.wps.cn/vas-ai-hub/contract-review">175</start>
      <end xmlns="http://schemas.wps.cn/vas-ai-hub/contract-review">176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3e9b4c69-5806-47fd-b57c-e38e7ac3e69e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65BE8F29</paraID>
      <start xmlns="http://schemas.wps.cn/vas-ai-hub/contract-review">177</start>
      <end xmlns="http://schemas.wps.cn/vas-ai-hub/contract-review">178</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2.xml><?xml version="1.0" encoding="utf-8"?>
<customData xmlns="http://www.yozosoft.com.cn/officeDocument/2016/customData">
  <customProps xmlns="http://www.yozosoft.com.cn/officeDocument/2016/customData">
    <docPr xmlns="http://www.yozosoft.com.cn/officeDocument/2016/customData" revisions="3 0 5 0 0 0 1 0 0 0 3000 0 1 1 1 1"/>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customProps>
</customData>
</file>

<file path=customXml/itemProps1.xml><?xml version="1.0" encoding="utf-8"?>
<ds:datastoreItem xmlns:ds="http://schemas.openxmlformats.org/officeDocument/2006/customXml" ds:itemID="{4835A5C9-3A3A-4A9D-AC64-9802598309B4}">
  <ds:schemaRefs/>
</ds:datastoreItem>
</file>

<file path=customXml/itemProps2.xml><?xml version="1.0" encoding="utf-8"?>
<ds:datastoreItem xmlns:ds="http://schemas.openxmlformats.org/officeDocument/2006/customXml" ds:itemID="{F3210133-419D-423E-A5EA-163D13F84047}">
  <ds:schemaRefs/>
</ds:datastoreItem>
</file>

<file path=docProps/app.xml><?xml version="1.0" encoding="utf-8"?>
<Properties xmlns="http://schemas.openxmlformats.org/officeDocument/2006/extended-properties" xmlns:vt="http://schemas.openxmlformats.org/officeDocument/2006/docPropsVTypes">
  <Template>Normal.dotm</Template>
  <Pages>1</Pages>
  <Words>1133</Words>
  <Characters>6462</Characters>
  <Lines>53</Lines>
  <Paragraphs>15</Paragraphs>
  <TotalTime>1</TotalTime>
  <ScaleCrop>false</ScaleCrop>
  <LinksUpToDate>false</LinksUpToDate>
  <CharactersWithSpaces>7580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2026-10-20T09:05:00Z</dcterms:created>
  <dc:creator>李建辉</dc:creator>
  <cp:lastModifiedBy>user</cp:lastModifiedBy>
  <cp:lastPrinted>2026-10-20T09:05:00Z</cp:lastPrinted>
  <dcterms:modified xsi:type="dcterms:W3CDTF">2026-10-20T09:30:08Z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eyJoZGlkIjoiZTljNGI5YmUwOWFjN2U3N2IwZjQ0M2M1OGJhMTJkYjQiLCJ1c2VySWQiOiIzOTA3NzI2MTkifQ==</vt:lpwstr>
  </property>
  <property fmtid="{D5CDD505-2E9C-101B-9397-08002B2CF9AE}" pid="3" name="KSOProductBuildVer">
    <vt:lpwstr>2052-12.8.2.1119</vt:lpwstr>
  </property>
  <property fmtid="{D5CDD505-2E9C-101B-9397-08002B2CF9AE}" pid="4" name="ICV">
    <vt:lpwstr>2842EFE88AA941B1ACD9056B7460DBFB_12</vt:lpwstr>
  </property>
</Properties>
</file>