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E9CF9E5">
      <w:pPr>
        <w:widowControl w:val="0"/>
        <w:spacing w:line="600" w:lineRule="exact"/>
        <w:ind w:firstLine="880" w:firstLineChars="200"/>
        <w:jc w:val="center"/>
        <w:rPr>
          <w:rFonts w:hint="default" w:ascii="Times New Roman" w:hAnsi="Times New Roman" w:eastAsia="方正小标宋_GBK" w:cs="Times New Roman"/>
          <w:b w:val="0"/>
          <w:bCs w:val="0"/>
          <w:color w:val="auto"/>
          <w:kern w:val="2"/>
          <w:sz w:val="44"/>
          <w:szCs w:val="44"/>
          <w:lang w:val="zh-CN" w:eastAsia="zh-CN" w:bidi="ar-SA"/>
        </w:rPr>
      </w:pPr>
      <w:r>
        <w:rPr>
          <w:rFonts w:hint="default" w:ascii="Times New Roman" w:hAnsi="Times New Roman" w:eastAsia="方正小标宋_GBK" w:cs="Times New Roman"/>
          <w:b w:val="0"/>
          <w:bCs w:val="0"/>
          <w:color w:val="auto"/>
          <w:kern w:val="2"/>
          <w:sz w:val="44"/>
          <w:szCs w:val="44"/>
          <w:lang w:val="zh-CN" w:eastAsia="zh-CN" w:bidi="ar-SA"/>
        </w:rPr>
        <w:t>攀枝花市医疗保障事务中心</w:t>
      </w:r>
      <w:r>
        <w:rPr>
          <w:rFonts w:hint="default" w:ascii="Times New Roman" w:hAnsi="Times New Roman" w:eastAsia="方正小标宋_GBK" w:cs="Times New Roman"/>
          <w:b w:val="0"/>
          <w:bCs w:val="0"/>
          <w:color w:val="auto"/>
          <w:kern w:val="2"/>
          <w:sz w:val="44"/>
          <w:szCs w:val="44"/>
          <w:lang w:val="en-US" w:eastAsia="zh-CN" w:bidi="ar-SA"/>
        </w:rPr>
        <w:t xml:space="preserve">                 </w:t>
      </w:r>
      <w:r>
        <w:rPr>
          <w:rFonts w:hint="default" w:ascii="Times New Roman" w:hAnsi="Times New Roman" w:eastAsia="方正小标宋_GBK" w:cs="Times New Roman"/>
          <w:b w:val="0"/>
          <w:bCs w:val="0"/>
          <w:color w:val="auto"/>
          <w:kern w:val="2"/>
          <w:sz w:val="44"/>
          <w:szCs w:val="44"/>
          <w:lang w:val="zh-CN" w:eastAsia="zh-CN" w:bidi="ar-SA"/>
        </w:rPr>
        <w:t>按疾病诊断相关分组结合点数法付费项目</w:t>
      </w:r>
    </w:p>
    <w:p w14:paraId="601C3E76">
      <w:pPr>
        <w:widowControl w:val="0"/>
        <w:spacing w:line="600" w:lineRule="exact"/>
        <w:ind w:firstLine="880" w:firstLineChars="200"/>
        <w:jc w:val="center"/>
        <w:rPr>
          <w:rFonts w:hint="default" w:ascii="Times New Roman" w:hAnsi="Times New Roman" w:eastAsia="方正小标宋_GBK" w:cs="Times New Roman"/>
          <w:b w:val="0"/>
          <w:bCs w:val="0"/>
          <w:color w:val="auto"/>
          <w:kern w:val="2"/>
          <w:sz w:val="44"/>
          <w:szCs w:val="44"/>
          <w:lang w:val="zh-CN" w:eastAsia="zh-CN" w:bidi="ar-SA"/>
        </w:rPr>
      </w:pPr>
      <w:r>
        <w:rPr>
          <w:rFonts w:hint="default" w:ascii="Times New Roman" w:hAnsi="Times New Roman" w:eastAsia="方正小标宋_GBK" w:cs="Times New Roman"/>
          <w:b w:val="0"/>
          <w:bCs w:val="0"/>
          <w:color w:val="auto"/>
          <w:kern w:val="2"/>
          <w:sz w:val="44"/>
          <w:szCs w:val="44"/>
          <w:lang w:val="zh-CN" w:eastAsia="zh-CN" w:bidi="ar-SA"/>
        </w:rPr>
        <w:t>支出绩效自评报告</w:t>
      </w:r>
    </w:p>
    <w:p w14:paraId="4ACBFF1C">
      <w:pPr>
        <w:widowControl w:val="0"/>
        <w:spacing w:line="600" w:lineRule="exact"/>
        <w:ind w:firstLine="640" w:firstLineChars="200"/>
        <w:jc w:val="center"/>
        <w:rPr>
          <w:rFonts w:ascii="Times New Roman" w:hAnsi="Times New Roman" w:eastAsia="宋体" w:cs="Times New Roman"/>
          <w:b w:val="0"/>
          <w:bCs w:val="0"/>
          <w:color w:val="auto"/>
          <w:kern w:val="2"/>
          <w:sz w:val="32"/>
          <w:szCs w:val="32"/>
          <w:lang w:val="zh-CN" w:eastAsia="zh-CN" w:bidi="ar-SA"/>
        </w:rPr>
      </w:pPr>
    </w:p>
    <w:p w14:paraId="68084A1C">
      <w:pPr>
        <w:adjustRightInd w:val="0"/>
        <w:snapToGrid w:val="0"/>
        <w:spacing w:line="600" w:lineRule="exact"/>
        <w:ind w:firstLine="640" w:firstLineChars="200"/>
        <w:rPr>
          <w:rFonts w:ascii="Times New Roman" w:hAnsi="Times New Roman" w:eastAsia="黑体" w:cs="Times New Roman"/>
          <w:b w:val="0"/>
          <w:bCs w:val="0"/>
          <w:szCs w:val="32"/>
          <w:lang w:val="zh-CN"/>
        </w:rPr>
      </w:pPr>
      <w:r>
        <w:rPr>
          <w:rFonts w:ascii="Times New Roman" w:hAnsi="Times New Roman" w:eastAsia="黑体" w:cs="Times New Roman"/>
          <w:b w:val="0"/>
          <w:bCs w:val="0"/>
          <w:szCs w:val="32"/>
        </w:rPr>
        <w:t>一、</w:t>
      </w:r>
      <w:r>
        <w:rPr>
          <w:rFonts w:ascii="Times New Roman" w:hAnsi="Times New Roman" w:eastAsia="黑体" w:cs="Times New Roman"/>
          <w:b w:val="0"/>
          <w:bCs w:val="0"/>
          <w:szCs w:val="32"/>
          <w:lang w:val="zh-CN"/>
        </w:rPr>
        <w:t>项目概况</w:t>
      </w:r>
    </w:p>
    <w:p w14:paraId="617ECF51">
      <w:pPr>
        <w:adjustRightInd w:val="0"/>
        <w:snapToGrid w:val="0"/>
        <w:spacing w:line="600" w:lineRule="exact"/>
        <w:ind w:firstLine="640" w:firstLineChars="200"/>
        <w:rPr>
          <w:rFonts w:ascii="Times New Roman" w:hAnsi="Times New Roman" w:eastAsia="楷体_GB2312" w:cs="Times New Roman"/>
          <w:b w:val="0"/>
          <w:bCs w:val="0"/>
          <w:szCs w:val="32"/>
          <w:lang w:val="zh-CN"/>
        </w:rPr>
      </w:pPr>
      <w:r>
        <w:rPr>
          <w:rFonts w:ascii="Times New Roman" w:hAnsi="Times New Roman" w:eastAsia="楷体_GB2312" w:cs="Times New Roman"/>
          <w:b w:val="0"/>
          <w:bCs w:val="0"/>
          <w:szCs w:val="32"/>
          <w:lang w:val="zh-CN"/>
        </w:rPr>
        <w:t>（一）项目基本情况。</w:t>
      </w:r>
    </w:p>
    <w:p w14:paraId="2BF56BCF">
      <w:pPr>
        <w:spacing w:line="578" w:lineRule="exact"/>
        <w:ind w:firstLine="640" w:firstLineChars="200"/>
        <w:rPr>
          <w:rFonts w:ascii="Times New Roman" w:hAnsi="Times New Roman" w:cs="Times New Roman"/>
          <w:b w:val="0"/>
          <w:bCs w:val="0"/>
          <w:szCs w:val="32"/>
        </w:rPr>
      </w:pPr>
      <w:r>
        <w:rPr>
          <w:rFonts w:ascii="Times New Roman" w:hAnsi="Times New Roman" w:cs="Times New Roman"/>
          <w:b w:val="0"/>
          <w:bCs w:val="0"/>
          <w:szCs w:val="32"/>
        </w:rPr>
        <w:t>我市从2018年3月起实施医保基金总额预算控制下的按疾病诊断相关分组结合点数法付费（以下简称DRG付费）改革工作，先后成为四川省2个省级试点城市之一和全国30个DRG付费国家试点城市之一，走出了“省试点”到“国家试点”再到“国家示范点”的实践之路，取得了较好的改革成效，从源头上守住了“百姓救命钱”，更好地保障了参保群众病有所医，增强了人民群众的获得感、幸福感、安全感。</w:t>
      </w:r>
    </w:p>
    <w:p w14:paraId="76F8BBBE">
      <w:pPr>
        <w:adjustRightInd w:val="0"/>
        <w:snapToGrid w:val="0"/>
        <w:spacing w:line="578" w:lineRule="exact"/>
        <w:ind w:firstLine="640" w:firstLineChars="200"/>
        <w:rPr>
          <w:rFonts w:ascii="Times New Roman" w:hAnsi="Times New Roman" w:cs="Times New Roman"/>
          <w:b w:val="0"/>
          <w:bCs w:val="0"/>
          <w:szCs w:val="32"/>
        </w:rPr>
      </w:pPr>
      <w:r>
        <w:rPr>
          <w:rFonts w:ascii="Times New Roman" w:hAnsi="Times New Roman" w:cs="Times New Roman"/>
          <w:b w:val="0"/>
          <w:bCs w:val="0"/>
          <w:szCs w:val="32"/>
        </w:rPr>
        <w:t>按照《攀枝花市人民政府办公室关于印发进一步深化基本医疗保险支付方式改革实施方案的通知》（攀办发〔2018〕23号）中“开展疾病相关分组与点数法结合付费工作，拟采取政府购买服务方式委托第三方机构进行DRG付费项目开发，提供专家团队和分组支撑”的规定，通过以政府购买服务方式委托第三方机构进行DRG付费项目维护和服务</w:t>
      </w:r>
      <w:r>
        <w:rPr>
          <w:rFonts w:hint="eastAsia" w:ascii="Times New Roman" w:hAnsi="Times New Roman" w:cs="Times New Roman"/>
          <w:b w:val="0"/>
          <w:bCs w:val="0"/>
          <w:szCs w:val="32"/>
          <w:lang w:eastAsia="zh-CN"/>
        </w:rPr>
        <w:t>。</w:t>
      </w:r>
    </w:p>
    <w:p w14:paraId="14FA6013">
      <w:pPr>
        <w:adjustRightInd w:val="0"/>
        <w:snapToGrid w:val="0"/>
        <w:spacing w:line="600" w:lineRule="exact"/>
        <w:ind w:firstLine="0" w:firstLineChars="0"/>
        <w:rPr>
          <w:rFonts w:ascii="Times New Roman" w:hAnsi="Times New Roman" w:eastAsia="楷体_GB2312" w:cs="Times New Roman"/>
          <w:b w:val="0"/>
          <w:bCs w:val="0"/>
          <w:szCs w:val="32"/>
          <w:lang w:val="zh-CN"/>
        </w:rPr>
      </w:pPr>
      <w:r>
        <w:rPr>
          <w:rFonts w:ascii="Times New Roman" w:hAnsi="Times New Roman" w:eastAsia="楷体_GB2312" w:cs="Times New Roman"/>
          <w:b w:val="0"/>
          <w:bCs w:val="0"/>
          <w:szCs w:val="32"/>
          <w:lang w:val="zh-CN"/>
        </w:rPr>
        <w:t>（二）项目绩效目标。</w:t>
      </w:r>
    </w:p>
    <w:p w14:paraId="0267BA96">
      <w:pPr>
        <w:adjustRightInd w:val="0"/>
        <w:snapToGrid w:val="0"/>
        <w:spacing w:line="600" w:lineRule="exact"/>
        <w:ind w:firstLine="640" w:firstLineChars="200"/>
        <w:rPr>
          <w:rFonts w:hint="default" w:ascii="Times New Roman" w:hAnsi="Times New Roman" w:cs="Times New Roman"/>
          <w:b w:val="0"/>
          <w:bCs w:val="0"/>
          <w:szCs w:val="32"/>
          <w:lang w:val="zh-CN"/>
        </w:rPr>
      </w:pPr>
      <w:r>
        <w:rPr>
          <w:rFonts w:ascii="Times New Roman" w:hAnsi="Times New Roman" w:cs="Times New Roman"/>
          <w:b w:val="0"/>
          <w:bCs w:val="0"/>
          <w:szCs w:val="32"/>
          <w:lang w:val="zh-CN"/>
        </w:rPr>
        <w:t>1.项目主要内容。</w:t>
      </w:r>
    </w:p>
    <w:p w14:paraId="7CE9F6C3">
      <w:pPr>
        <w:adjustRightInd w:val="0"/>
        <w:snapToGrid w:val="0"/>
        <w:spacing w:line="600" w:lineRule="exact"/>
        <w:ind w:firstLine="640" w:firstLineChars="200"/>
        <w:rPr>
          <w:rFonts w:ascii="Times New Roman" w:hAnsi="Times New Roman" w:cs="Times New Roman"/>
          <w:b w:val="0"/>
          <w:bCs w:val="0"/>
          <w:szCs w:val="32"/>
        </w:rPr>
      </w:pPr>
      <w:r>
        <w:rPr>
          <w:rFonts w:hint="default" w:ascii="Times New Roman" w:hAnsi="Times New Roman" w:cs="Times New Roman"/>
          <w:b w:val="0"/>
          <w:bCs w:val="0"/>
          <w:szCs w:val="32"/>
        </w:rPr>
        <w:t>本项目</w:t>
      </w:r>
      <w:r>
        <w:rPr>
          <w:rFonts w:ascii="Times New Roman" w:hAnsi="Times New Roman" w:cs="Times New Roman"/>
          <w:b w:val="0"/>
          <w:bCs w:val="0"/>
          <w:szCs w:val="32"/>
        </w:rPr>
        <w:t>借助第三方机构专业实施队伍和专家体系力量，在做好前期工作的基础上，</w:t>
      </w:r>
      <w:r>
        <w:rPr>
          <w:rFonts w:hint="default" w:ascii="Times New Roman" w:hAnsi="Times New Roman" w:cs="Times New Roman"/>
          <w:b w:val="0"/>
          <w:bCs w:val="0"/>
          <w:szCs w:val="32"/>
        </w:rPr>
        <w:t>持续深化医保支付方式改革，建立管用高效的医保支付机制，在示范点建设取得初步成效的基础上，持续推进DRG支付方式改革工作。</w:t>
      </w:r>
    </w:p>
    <w:p w14:paraId="407F2113">
      <w:pPr>
        <w:keepNext w:val="0"/>
        <w:keepLines w:val="0"/>
        <w:widowControl w:val="0"/>
        <w:spacing w:before="100" w:after="0" w:line="560" w:lineRule="exact"/>
        <w:ind w:firstLine="640" w:firstLineChars="200"/>
        <w:jc w:val="both"/>
        <w:outlineLvl w:val="0"/>
        <w:rPr>
          <w:rFonts w:hint="default" w:ascii="Times New Roman" w:hAnsi="Times New Roman" w:eastAsia="仿宋_GB2312" w:cs="Times New Roman"/>
          <w:b w:val="0"/>
          <w:bCs w:val="0"/>
          <w:kern w:val="44"/>
          <w:sz w:val="32"/>
          <w:szCs w:val="32"/>
          <w:lang w:val="en-US" w:eastAsia="zh-CN" w:bidi="ar-SA"/>
        </w:rPr>
      </w:pPr>
      <w:r>
        <w:rPr>
          <w:rFonts w:hint="default" w:ascii="Times New Roman" w:hAnsi="Times New Roman" w:eastAsia="仿宋_GB2312" w:cs="Times New Roman"/>
          <w:b w:val="0"/>
          <w:bCs w:val="0"/>
          <w:kern w:val="44"/>
          <w:sz w:val="32"/>
          <w:szCs w:val="32"/>
          <w:lang w:val="en-US" w:eastAsia="zh-CN" w:bidi="ar-SA"/>
        </w:rPr>
        <w:t>一是提供信息技术人员配合加强四川省支付管理子系统的功能应用，包括系统参数、业务逻辑的配置与测试，支付标准维护、支付计算公式配置、业务流程控制等；二是配合做好调整和确定适应本地的付费标准，健全符合中医药特点的医保支付机制，完善双侧手术支付政策工作；三是配合做好特例单议工作，协助医保部门完善单议范围、申报流程、组织评审、结果运用、争议处理等工作，日常对医疗机构分组反馈申诉病例进行准确性、合理性核查，对纳入政策规定病例进行准入核查；四是配合做好协商谈判、意见收集反馈、数据工作组、月度结算及年度清算工作，提供支付方式改革相关的专业培训服务、指标预警监测服务、绩效评价服务、结算清单质控分析服务以及DRG运维服务。</w:t>
      </w:r>
    </w:p>
    <w:p w14:paraId="14E0BCF0">
      <w:pPr>
        <w:spacing w:line="578" w:lineRule="exact"/>
        <w:ind w:left="0" w:firstLine="640" w:firstLineChars="200"/>
        <w:rPr>
          <w:rFonts w:ascii="Times New Roman" w:hAnsi="Times New Roman" w:cs="Times New Roman"/>
          <w:b w:val="0"/>
          <w:bCs w:val="0"/>
          <w:szCs w:val="32"/>
        </w:rPr>
      </w:pPr>
      <w:r>
        <w:rPr>
          <w:rFonts w:hint="default" w:ascii="Times New Roman" w:hAnsi="Times New Roman" w:cs="Times New Roman"/>
          <w:b w:val="0"/>
          <w:bCs w:val="0"/>
          <w:szCs w:val="32"/>
        </w:rPr>
        <w:t>2.</w:t>
      </w:r>
      <w:r>
        <w:rPr>
          <w:rFonts w:ascii="Times New Roman" w:hAnsi="Times New Roman" w:cs="Times New Roman"/>
          <w:b w:val="0"/>
          <w:bCs w:val="0"/>
          <w:szCs w:val="32"/>
        </w:rPr>
        <w:t>项目实现的具体目标。</w:t>
      </w:r>
    </w:p>
    <w:p w14:paraId="3981EF96">
      <w:pPr>
        <w:numPr>
          <w:ilvl w:val="255"/>
          <w:numId w:val="0"/>
        </w:numPr>
        <w:spacing w:line="578" w:lineRule="exact"/>
        <w:ind w:firstLine="640" w:firstLineChars="200"/>
        <w:rPr>
          <w:rFonts w:ascii="Times New Roman" w:hAnsi="Times New Roman" w:cs="Times New Roman"/>
          <w:b w:val="0"/>
          <w:bCs w:val="0"/>
          <w:szCs w:val="32"/>
        </w:rPr>
      </w:pPr>
      <w:r>
        <w:rPr>
          <w:rFonts w:ascii="Times New Roman" w:hAnsi="Times New Roman" w:cs="Times New Roman"/>
          <w:b w:val="0"/>
          <w:bCs w:val="0"/>
          <w:szCs w:val="32"/>
        </w:rPr>
        <w:t>实现统筹区、险种、病种、医疗机构全覆盖；提升区域内基金购买力和使用效率，助推医保和医疗机构高质量发展。</w:t>
      </w:r>
    </w:p>
    <w:p w14:paraId="0AFE810E">
      <w:pPr>
        <w:spacing w:line="578" w:lineRule="exact"/>
        <w:ind w:firstLine="640" w:firstLineChars="200"/>
        <w:rPr>
          <w:rFonts w:ascii="Times New Roman" w:hAnsi="Times New Roman" w:cs="Times New Roman"/>
          <w:b w:val="0"/>
          <w:bCs w:val="0"/>
          <w:szCs w:val="32"/>
        </w:rPr>
      </w:pPr>
      <w:r>
        <w:rPr>
          <w:rFonts w:ascii="Times New Roman" w:hAnsi="Times New Roman" w:cs="Times New Roman"/>
          <w:b w:val="0"/>
          <w:bCs w:val="0"/>
          <w:szCs w:val="32"/>
        </w:rPr>
        <w:t>3.项目资金申报相符性。</w:t>
      </w:r>
    </w:p>
    <w:p w14:paraId="1CC75EE7">
      <w:pPr>
        <w:spacing w:line="578" w:lineRule="exact"/>
        <w:ind w:firstLine="640" w:firstLineChars="200"/>
        <w:rPr>
          <w:rFonts w:ascii="Times New Roman" w:hAnsi="Times New Roman" w:eastAsia="楷体_GB2312" w:cs="Times New Roman"/>
          <w:b w:val="0"/>
          <w:bCs w:val="0"/>
          <w:szCs w:val="32"/>
        </w:rPr>
      </w:pPr>
      <w:r>
        <w:rPr>
          <w:rFonts w:ascii="Times New Roman" w:hAnsi="Times New Roman" w:cs="Times New Roman"/>
          <w:b w:val="0"/>
          <w:bCs w:val="0"/>
          <w:szCs w:val="32"/>
        </w:rPr>
        <w:t>该项目是我市基本医疗保险病组点数法付费的重要依托，是为我市广大参保患者服务，具有公共性，属于公共财政支持范围，没有类似项目得到财政资金重复支持，项目资金来源渠道明确，各渠道资金到位时间、条件能够落实，财政资金支持方式科学合理。</w:t>
      </w:r>
    </w:p>
    <w:p w14:paraId="250CE341">
      <w:pPr>
        <w:adjustRightInd w:val="0"/>
        <w:snapToGrid w:val="0"/>
        <w:spacing w:line="600" w:lineRule="exact"/>
        <w:ind w:firstLine="640" w:firstLineChars="200"/>
        <w:rPr>
          <w:rFonts w:ascii="Times New Roman" w:hAnsi="Times New Roman" w:eastAsia="楷体_GB2312" w:cs="Times New Roman"/>
          <w:b w:val="0"/>
          <w:bCs w:val="0"/>
          <w:szCs w:val="32"/>
          <w:lang w:val="zh-CN"/>
        </w:rPr>
      </w:pPr>
      <w:r>
        <w:rPr>
          <w:rFonts w:ascii="Times New Roman" w:hAnsi="Times New Roman" w:eastAsia="楷体_GB2312" w:cs="Times New Roman"/>
          <w:b w:val="0"/>
          <w:bCs w:val="0"/>
          <w:szCs w:val="32"/>
          <w:lang w:val="zh-CN"/>
        </w:rPr>
        <w:t>（三）项目自评步骤及方法。</w:t>
      </w:r>
    </w:p>
    <w:p w14:paraId="4964E2BE">
      <w:pPr>
        <w:snapToGrid w:val="0"/>
        <w:spacing w:line="578" w:lineRule="exact"/>
        <w:ind w:firstLine="640" w:firstLineChars="200"/>
        <w:rPr>
          <w:rFonts w:ascii="Times New Roman" w:hAnsi="Times New Roman" w:cs="Times New Roman"/>
          <w:b w:val="0"/>
          <w:bCs w:val="0"/>
          <w:szCs w:val="32"/>
        </w:rPr>
      </w:pPr>
      <w:r>
        <w:rPr>
          <w:rFonts w:ascii="Times New Roman" w:hAnsi="Times New Roman" w:cs="Times New Roman"/>
          <w:b w:val="0"/>
          <w:bCs w:val="0"/>
          <w:szCs w:val="32"/>
        </w:rPr>
        <w:t>按照有关规定和工作安排，我单位开展自行评估，通过聘请相关专业专家、委托第三方机构等方式组建评估组，通过收集被评估项目相关基础资料，并查阅资料、收集数据信息等，深入论证分析后，形成绩效评估报告。</w:t>
      </w:r>
    </w:p>
    <w:p w14:paraId="0841850C">
      <w:pPr>
        <w:adjustRightInd w:val="0"/>
        <w:snapToGrid w:val="0"/>
        <w:spacing w:line="600" w:lineRule="exact"/>
        <w:ind w:firstLine="640" w:firstLineChars="200"/>
        <w:rPr>
          <w:rFonts w:ascii="Times New Roman" w:hAnsi="Times New Roman" w:eastAsia="黑体" w:cs="Times New Roman"/>
          <w:b w:val="0"/>
          <w:bCs w:val="0"/>
          <w:szCs w:val="32"/>
        </w:rPr>
      </w:pPr>
      <w:r>
        <w:rPr>
          <w:rFonts w:ascii="Times New Roman" w:hAnsi="Times New Roman" w:eastAsia="黑体" w:cs="Times New Roman"/>
          <w:b w:val="0"/>
          <w:bCs w:val="0"/>
          <w:szCs w:val="32"/>
        </w:rPr>
        <w:t>二、项目资金申报及使用情况</w:t>
      </w:r>
    </w:p>
    <w:p w14:paraId="4E282664">
      <w:pPr>
        <w:adjustRightInd w:val="0"/>
        <w:snapToGrid w:val="0"/>
        <w:spacing w:line="578" w:lineRule="exact"/>
        <w:ind w:firstLine="640" w:firstLineChars="200"/>
        <w:rPr>
          <w:rFonts w:ascii="Times New Roman" w:hAnsi="Times New Roman" w:eastAsia="楷体_GB2312" w:cs="Times New Roman"/>
          <w:b w:val="0"/>
          <w:bCs w:val="0"/>
          <w:szCs w:val="32"/>
          <w:lang w:val="zh-CN"/>
        </w:rPr>
      </w:pPr>
      <w:r>
        <w:rPr>
          <w:rFonts w:ascii="Times New Roman" w:hAnsi="Times New Roman" w:eastAsia="楷体_GB2312" w:cs="Times New Roman"/>
          <w:b w:val="0"/>
          <w:bCs w:val="0"/>
          <w:szCs w:val="32"/>
          <w:lang w:val="zh-CN"/>
        </w:rPr>
        <w:t>（一）项目资金申报及批复情况。</w:t>
      </w:r>
    </w:p>
    <w:p w14:paraId="0EC79997">
      <w:pPr>
        <w:spacing w:line="578" w:lineRule="exact"/>
        <w:ind w:firstLine="640" w:firstLineChars="200"/>
        <w:rPr>
          <w:rFonts w:ascii="Times New Roman" w:hAnsi="Times New Roman" w:cs="Times New Roman"/>
          <w:b w:val="0"/>
          <w:bCs w:val="0"/>
          <w:color w:val="000000"/>
          <w:szCs w:val="32"/>
        </w:rPr>
      </w:pPr>
      <w:r>
        <w:rPr>
          <w:rFonts w:ascii="Times New Roman" w:hAnsi="Times New Roman" w:cs="Times New Roman"/>
          <w:b w:val="0"/>
          <w:bCs w:val="0"/>
          <w:color w:val="000000"/>
          <w:szCs w:val="32"/>
        </w:rPr>
        <w:t>202</w:t>
      </w:r>
      <w:r>
        <w:rPr>
          <w:rFonts w:hint="default" w:ascii="Times New Roman" w:hAnsi="Times New Roman" w:cs="Times New Roman"/>
          <w:b w:val="0"/>
          <w:bCs w:val="0"/>
          <w:color w:val="000000"/>
          <w:szCs w:val="32"/>
          <w:lang w:val="en-US" w:eastAsia="zh-CN"/>
        </w:rPr>
        <w:t>5</w:t>
      </w:r>
      <w:r>
        <w:rPr>
          <w:rFonts w:ascii="Times New Roman" w:hAnsi="Times New Roman" w:cs="Times New Roman"/>
          <w:b w:val="0"/>
          <w:bCs w:val="0"/>
          <w:color w:val="000000"/>
          <w:szCs w:val="32"/>
        </w:rPr>
        <w:t>年年初预算</w:t>
      </w:r>
      <w:r>
        <w:rPr>
          <w:rFonts w:hint="eastAsia" w:ascii="Times New Roman" w:hAnsi="Times New Roman" w:cs="Times New Roman"/>
          <w:b w:val="0"/>
          <w:bCs w:val="0"/>
          <w:color w:val="000000"/>
          <w:szCs w:val="32"/>
          <w:lang w:eastAsia="zh-CN"/>
        </w:rPr>
        <w:t>批复</w:t>
      </w:r>
      <w:r>
        <w:rPr>
          <w:rFonts w:ascii="Times New Roman" w:hAnsi="Times New Roman" w:cs="Times New Roman"/>
          <w:b w:val="0"/>
          <w:bCs w:val="0"/>
          <w:szCs w:val="32"/>
        </w:rPr>
        <w:t>“攀枝花市基本医疗保险按疾病诊断相关分组结合点数法付费（DRG）应用软件系统暨医保基金第三方支付评审”项目资金</w:t>
      </w:r>
      <w:r>
        <w:rPr>
          <w:rFonts w:hint="default" w:ascii="Times New Roman" w:hAnsi="Times New Roman" w:cs="Times New Roman"/>
          <w:b w:val="0"/>
          <w:bCs w:val="0"/>
          <w:color w:val="000000"/>
          <w:szCs w:val="32"/>
          <w:lang w:val="en-US" w:eastAsia="zh-CN"/>
        </w:rPr>
        <w:t>100</w:t>
      </w:r>
      <w:r>
        <w:rPr>
          <w:rFonts w:ascii="Times New Roman" w:hAnsi="Times New Roman" w:cs="Times New Roman"/>
          <w:b w:val="0"/>
          <w:bCs w:val="0"/>
          <w:color w:val="000000"/>
          <w:szCs w:val="32"/>
        </w:rPr>
        <w:t>万元。项目资金申报批复均符合资金管理办法等相关规定。</w:t>
      </w:r>
    </w:p>
    <w:p w14:paraId="51C6FCF8">
      <w:pPr>
        <w:adjustRightInd w:val="0"/>
        <w:snapToGrid w:val="0"/>
        <w:spacing w:line="578" w:lineRule="exact"/>
        <w:ind w:firstLine="640" w:firstLineChars="200"/>
        <w:rPr>
          <w:rFonts w:ascii="Times New Roman" w:hAnsi="Times New Roman" w:cs="Times New Roman"/>
          <w:b w:val="0"/>
          <w:bCs w:val="0"/>
          <w:color w:val="000000"/>
          <w:szCs w:val="32"/>
          <w:lang w:val="zh-CN"/>
        </w:rPr>
      </w:pPr>
      <w:r>
        <w:rPr>
          <w:rFonts w:ascii="Times New Roman" w:hAnsi="Times New Roman" w:eastAsia="楷体_GB2312" w:cs="Times New Roman"/>
          <w:b w:val="0"/>
          <w:bCs w:val="0"/>
          <w:color w:val="000000"/>
          <w:szCs w:val="32"/>
          <w:lang w:val="zh-CN"/>
        </w:rPr>
        <w:t>（二）资金计划、到位及使用情况。</w:t>
      </w:r>
    </w:p>
    <w:p w14:paraId="24EFD6BA">
      <w:pPr>
        <w:spacing w:line="578" w:lineRule="exact"/>
        <w:ind w:firstLine="640" w:firstLineChars="200"/>
        <w:rPr>
          <w:rFonts w:ascii="Times New Roman" w:hAnsi="Times New Roman" w:eastAsia="楷体_GB2312" w:cs="Times New Roman"/>
          <w:b w:val="0"/>
          <w:bCs w:val="0"/>
          <w:szCs w:val="32"/>
          <w:lang w:val="zh-CN"/>
        </w:rPr>
      </w:pPr>
      <w:r>
        <w:rPr>
          <w:rFonts w:ascii="Times New Roman" w:hAnsi="Times New Roman" w:eastAsia="楷体_GB2312" w:cs="Times New Roman"/>
          <w:b w:val="0"/>
          <w:bCs w:val="0"/>
          <w:szCs w:val="32"/>
          <w:lang w:val="zh-CN"/>
        </w:rPr>
        <w:t>1．资金计划及到位。</w:t>
      </w:r>
    </w:p>
    <w:p w14:paraId="1BF4367D">
      <w:pPr>
        <w:spacing w:line="578" w:lineRule="exact"/>
        <w:ind w:firstLine="640" w:firstLineChars="200"/>
        <w:rPr>
          <w:rFonts w:ascii="Times New Roman" w:hAnsi="Times New Roman" w:cs="Times New Roman"/>
          <w:b w:val="0"/>
          <w:bCs w:val="0"/>
          <w:color w:val="auto"/>
          <w:szCs w:val="32"/>
        </w:rPr>
      </w:pPr>
      <w:r>
        <w:rPr>
          <w:rFonts w:ascii="Times New Roman" w:hAnsi="Times New Roman" w:cs="Times New Roman"/>
          <w:b w:val="0"/>
          <w:bCs w:val="0"/>
          <w:color w:val="auto"/>
          <w:szCs w:val="32"/>
        </w:rPr>
        <w:t>此项目资金202</w:t>
      </w:r>
      <w:r>
        <w:rPr>
          <w:rFonts w:hint="default" w:ascii="Times New Roman" w:hAnsi="Times New Roman" w:cs="Times New Roman"/>
          <w:b w:val="0"/>
          <w:bCs w:val="0"/>
          <w:color w:val="auto"/>
          <w:szCs w:val="32"/>
          <w:lang w:val="en-US" w:eastAsia="zh-CN"/>
        </w:rPr>
        <w:t>5</w:t>
      </w:r>
      <w:r>
        <w:rPr>
          <w:rFonts w:ascii="Times New Roman" w:hAnsi="Times New Roman" w:cs="Times New Roman"/>
          <w:b w:val="0"/>
          <w:bCs w:val="0"/>
          <w:color w:val="auto"/>
          <w:szCs w:val="32"/>
        </w:rPr>
        <w:t>年年初预算</w:t>
      </w:r>
      <w:r>
        <w:rPr>
          <w:rFonts w:hint="default" w:ascii="Times New Roman" w:hAnsi="Times New Roman" w:cs="Times New Roman"/>
          <w:b w:val="0"/>
          <w:bCs w:val="0"/>
          <w:color w:val="auto"/>
          <w:szCs w:val="32"/>
          <w:lang w:val="en-US" w:eastAsia="zh-CN"/>
        </w:rPr>
        <w:t>100</w:t>
      </w:r>
      <w:r>
        <w:rPr>
          <w:rFonts w:ascii="Times New Roman" w:hAnsi="Times New Roman" w:cs="Times New Roman"/>
          <w:b w:val="0"/>
          <w:bCs w:val="0"/>
          <w:color w:val="auto"/>
          <w:szCs w:val="32"/>
        </w:rPr>
        <w:t>万元，实际</w:t>
      </w:r>
      <w:r>
        <w:rPr>
          <w:rFonts w:hint="eastAsia" w:ascii="Times New Roman" w:hAnsi="Times New Roman" w:cs="Times New Roman"/>
          <w:b w:val="0"/>
          <w:bCs w:val="0"/>
          <w:color w:val="auto"/>
          <w:szCs w:val="32"/>
          <w:lang w:eastAsia="zh-CN"/>
        </w:rPr>
        <w:t>到位</w:t>
      </w:r>
      <w:r>
        <w:rPr>
          <w:rFonts w:hint="default" w:ascii="Times New Roman" w:hAnsi="Times New Roman" w:cs="Times New Roman"/>
          <w:b w:val="0"/>
          <w:bCs w:val="0"/>
          <w:color w:val="auto"/>
          <w:szCs w:val="32"/>
          <w:lang w:val="en-US" w:eastAsia="zh-CN"/>
        </w:rPr>
        <w:t>100</w:t>
      </w:r>
      <w:r>
        <w:rPr>
          <w:rFonts w:ascii="Times New Roman" w:hAnsi="Times New Roman" w:cs="Times New Roman"/>
          <w:b w:val="0"/>
          <w:bCs w:val="0"/>
          <w:color w:val="auto"/>
          <w:szCs w:val="32"/>
        </w:rPr>
        <w:t>万元，资金到位率100%。</w:t>
      </w:r>
    </w:p>
    <w:p w14:paraId="712864D0">
      <w:pPr>
        <w:numPr>
          <w:ilvl w:val="0"/>
          <w:numId w:val="1"/>
        </w:numPr>
        <w:spacing w:line="578" w:lineRule="exact"/>
        <w:ind w:firstLine="640" w:firstLineChars="200"/>
        <w:rPr>
          <w:rFonts w:ascii="Times New Roman" w:hAnsi="Times New Roman" w:eastAsia="楷体_GB2312" w:cs="Times New Roman"/>
          <w:b w:val="0"/>
          <w:bCs w:val="0"/>
          <w:szCs w:val="32"/>
          <w:lang w:val="zh-CN"/>
        </w:rPr>
      </w:pPr>
      <w:r>
        <w:rPr>
          <w:rFonts w:ascii="Times New Roman" w:hAnsi="Times New Roman" w:eastAsia="楷体_GB2312" w:cs="Times New Roman"/>
          <w:b w:val="0"/>
          <w:bCs w:val="0"/>
          <w:szCs w:val="32"/>
          <w:lang w:val="zh-CN"/>
        </w:rPr>
        <w:t>资金使用。</w:t>
      </w:r>
    </w:p>
    <w:p w14:paraId="7A6F919E">
      <w:pPr>
        <w:spacing w:line="578" w:lineRule="exact"/>
        <w:ind w:firstLine="640" w:firstLineChars="200"/>
        <w:rPr>
          <w:rFonts w:ascii="Times New Roman" w:hAnsi="Times New Roman" w:cs="Times New Roman"/>
          <w:b w:val="0"/>
          <w:bCs w:val="0"/>
          <w:szCs w:val="32"/>
        </w:rPr>
      </w:pPr>
      <w:r>
        <w:rPr>
          <w:rFonts w:ascii="Times New Roman" w:hAnsi="Times New Roman" w:cs="Times New Roman"/>
          <w:b w:val="0"/>
          <w:bCs w:val="0"/>
          <w:szCs w:val="32"/>
        </w:rPr>
        <w:t>此项目资金到位后，</w:t>
      </w:r>
      <w:r>
        <w:rPr>
          <w:rFonts w:hint="eastAsia" w:ascii="Times New Roman" w:hAnsi="Times New Roman" w:cs="Times New Roman"/>
          <w:b w:val="0"/>
          <w:bCs w:val="0"/>
          <w:szCs w:val="32"/>
          <w:lang w:eastAsia="zh-CN"/>
        </w:rPr>
        <w:t>攀枝花市医疗保障事务中心（以下简称“</w:t>
      </w:r>
      <w:r>
        <w:rPr>
          <w:rFonts w:ascii="Times New Roman" w:hAnsi="Times New Roman" w:cs="Times New Roman"/>
          <w:b w:val="0"/>
          <w:bCs w:val="0"/>
          <w:color w:val="000000"/>
          <w:szCs w:val="32"/>
        </w:rPr>
        <w:t>市医保事务中心</w:t>
      </w:r>
      <w:r>
        <w:rPr>
          <w:rFonts w:hint="eastAsia" w:ascii="Times New Roman" w:hAnsi="Times New Roman" w:cs="Times New Roman"/>
          <w:b w:val="0"/>
          <w:bCs w:val="0"/>
          <w:szCs w:val="32"/>
          <w:lang w:eastAsia="zh-CN"/>
        </w:rPr>
        <w:t>”</w:t>
      </w:r>
      <w:r>
        <w:rPr>
          <w:rFonts w:hint="eastAsia" w:cs="Times New Roman"/>
          <w:b w:val="0"/>
          <w:bCs w:val="0"/>
          <w:szCs w:val="32"/>
          <w:lang w:eastAsia="zh-CN"/>
        </w:rPr>
        <w:t>）</w:t>
      </w:r>
      <w:r>
        <w:rPr>
          <w:rFonts w:ascii="Times New Roman" w:hAnsi="Times New Roman" w:cs="Times New Roman"/>
          <w:b w:val="0"/>
          <w:bCs w:val="0"/>
          <w:szCs w:val="32"/>
        </w:rPr>
        <w:t>严格按财经纪律、财务管理等相关规定，严格审核支出，及时支付，专款专用</w:t>
      </w:r>
      <w:r>
        <w:rPr>
          <w:rFonts w:hint="eastAsia" w:ascii="Times New Roman" w:hAnsi="Times New Roman" w:cs="Times New Roman"/>
          <w:b w:val="0"/>
          <w:bCs w:val="0"/>
          <w:szCs w:val="32"/>
          <w:lang w:eastAsia="zh-CN"/>
        </w:rPr>
        <w:t>。</w:t>
      </w:r>
      <w:r>
        <w:rPr>
          <w:rFonts w:ascii="Times New Roman" w:hAnsi="Times New Roman" w:cs="Times New Roman"/>
          <w:b w:val="0"/>
          <w:bCs w:val="0"/>
          <w:szCs w:val="32"/>
        </w:rPr>
        <w:t>截至202</w:t>
      </w:r>
      <w:r>
        <w:rPr>
          <w:rFonts w:hint="default" w:ascii="Times New Roman" w:hAnsi="Times New Roman" w:cs="Times New Roman"/>
          <w:b w:val="0"/>
          <w:bCs w:val="0"/>
          <w:szCs w:val="32"/>
          <w:lang w:val="en-US" w:eastAsia="zh-CN"/>
        </w:rPr>
        <w:t>5</w:t>
      </w:r>
      <w:r>
        <w:rPr>
          <w:rFonts w:ascii="Times New Roman" w:hAnsi="Times New Roman" w:cs="Times New Roman"/>
          <w:b w:val="0"/>
          <w:bCs w:val="0"/>
          <w:szCs w:val="32"/>
        </w:rPr>
        <w:t>年12月31日，该项目资金已支付</w:t>
      </w:r>
      <w:r>
        <w:rPr>
          <w:rFonts w:hint="default" w:ascii="Times New Roman" w:hAnsi="Times New Roman" w:cs="Times New Roman"/>
          <w:b w:val="0"/>
          <w:bCs w:val="0"/>
          <w:szCs w:val="32"/>
          <w:lang w:val="en-US" w:eastAsia="zh-CN"/>
        </w:rPr>
        <w:t>100</w:t>
      </w:r>
      <w:r>
        <w:rPr>
          <w:rFonts w:ascii="Times New Roman" w:hAnsi="Times New Roman" w:cs="Times New Roman"/>
          <w:b w:val="0"/>
          <w:bCs w:val="0"/>
          <w:szCs w:val="32"/>
        </w:rPr>
        <w:t>万元，</w:t>
      </w:r>
      <w:r>
        <w:rPr>
          <w:rFonts w:hint="eastAsia" w:ascii="Times New Roman" w:hAnsi="Times New Roman" w:cs="Times New Roman"/>
          <w:b w:val="0"/>
          <w:bCs w:val="0"/>
          <w:szCs w:val="32"/>
          <w:lang w:eastAsia="zh-CN"/>
        </w:rPr>
        <w:t>资金完成率</w:t>
      </w:r>
      <w:r>
        <w:rPr>
          <w:rFonts w:hint="eastAsia" w:ascii="Times New Roman" w:hAnsi="Times New Roman" w:cs="Times New Roman"/>
          <w:b w:val="0"/>
          <w:bCs w:val="0"/>
          <w:szCs w:val="32"/>
          <w:lang w:val="en-US" w:eastAsia="zh-CN"/>
        </w:rPr>
        <w:t>100%。</w:t>
      </w:r>
    </w:p>
    <w:p w14:paraId="01195FFB">
      <w:pPr>
        <w:adjustRightInd w:val="0"/>
        <w:snapToGrid w:val="0"/>
        <w:spacing w:line="578" w:lineRule="exact"/>
        <w:ind w:firstLine="640" w:firstLineChars="200"/>
        <w:rPr>
          <w:rFonts w:ascii="Times New Roman" w:hAnsi="Times New Roman" w:eastAsia="楷体_GB2312" w:cs="Times New Roman"/>
          <w:b w:val="0"/>
          <w:bCs w:val="0"/>
          <w:szCs w:val="32"/>
          <w:lang w:val="zh-CN"/>
        </w:rPr>
      </w:pPr>
      <w:r>
        <w:rPr>
          <w:rFonts w:ascii="Times New Roman" w:hAnsi="Times New Roman" w:eastAsia="楷体_GB2312" w:cs="Times New Roman"/>
          <w:b w:val="0"/>
          <w:bCs w:val="0"/>
          <w:szCs w:val="32"/>
          <w:lang w:val="zh-CN"/>
        </w:rPr>
        <w:t>（三）项目财务管理情况。</w:t>
      </w:r>
    </w:p>
    <w:p w14:paraId="5375DF10">
      <w:pPr>
        <w:spacing w:line="578" w:lineRule="exact"/>
        <w:ind w:firstLine="640" w:firstLineChars="200"/>
        <w:rPr>
          <w:rFonts w:ascii="Times New Roman" w:hAnsi="Times New Roman" w:eastAsia="楷体_GB2312" w:cs="Times New Roman"/>
          <w:b w:val="0"/>
          <w:bCs w:val="0"/>
          <w:szCs w:val="32"/>
          <w:highlight w:val="yellow"/>
          <w:lang w:val="zh-CN"/>
        </w:rPr>
      </w:pPr>
      <w:r>
        <w:rPr>
          <w:rFonts w:ascii="Times New Roman" w:hAnsi="Times New Roman" w:cs="Times New Roman"/>
          <w:b w:val="0"/>
          <w:bCs w:val="0"/>
          <w:color w:val="000000"/>
          <w:szCs w:val="32"/>
        </w:rPr>
        <w:t>业务科室负责“攀枝花市基本医疗保险按疾病诊断相关分组结合点数法付费（DRG）应用软件系统暨医保基金第三方支付评审”项目工作，严格</w:t>
      </w:r>
      <w:r>
        <w:rPr>
          <w:rFonts w:ascii="Times New Roman" w:hAnsi="Times New Roman" w:cs="Times New Roman"/>
          <w:b w:val="0"/>
          <w:bCs w:val="0"/>
          <w:szCs w:val="32"/>
        </w:rPr>
        <w:t>按照上级要求上报资金使用计划，并在实施过程中做到资金专款专用。所有支出严格按照财务会计管理规定，做到资金使用有计划、审批有手续、支出合理规范。并及时进行账务处理和会计核算，按财政要求及时编制和公开项目资金绩效目标。</w:t>
      </w:r>
    </w:p>
    <w:p w14:paraId="77F66FD2">
      <w:pPr>
        <w:adjustRightInd w:val="0"/>
        <w:snapToGrid w:val="0"/>
        <w:spacing w:line="600" w:lineRule="exact"/>
        <w:ind w:firstLine="640" w:firstLineChars="200"/>
        <w:rPr>
          <w:rFonts w:ascii="Times New Roman" w:hAnsi="Times New Roman" w:eastAsia="黑体" w:cs="Times New Roman"/>
          <w:b w:val="0"/>
          <w:bCs w:val="0"/>
          <w:szCs w:val="32"/>
        </w:rPr>
      </w:pPr>
      <w:r>
        <w:rPr>
          <w:rFonts w:ascii="Times New Roman" w:hAnsi="Times New Roman" w:eastAsia="黑体" w:cs="Times New Roman"/>
          <w:b w:val="0"/>
          <w:bCs w:val="0"/>
          <w:szCs w:val="32"/>
        </w:rPr>
        <w:t>三、项目实施及管理情况</w:t>
      </w:r>
    </w:p>
    <w:p w14:paraId="4ABB56E1">
      <w:pPr>
        <w:adjustRightInd w:val="0"/>
        <w:snapToGrid w:val="0"/>
        <w:spacing w:line="600" w:lineRule="exact"/>
        <w:ind w:firstLine="640" w:firstLineChars="200"/>
        <w:rPr>
          <w:rFonts w:hint="default" w:ascii="Times New Roman" w:hAnsi="Times New Roman" w:eastAsia="楷体_GB2312" w:cs="Times New Roman"/>
          <w:b w:val="0"/>
          <w:bCs w:val="0"/>
          <w:szCs w:val="32"/>
          <w:lang w:val="zh-CN"/>
        </w:rPr>
      </w:pPr>
      <w:r>
        <w:rPr>
          <w:rFonts w:ascii="Times New Roman" w:hAnsi="Times New Roman" w:eastAsia="楷体_GB2312" w:cs="Times New Roman"/>
          <w:b w:val="0"/>
          <w:bCs w:val="0"/>
          <w:szCs w:val="32"/>
          <w:lang w:val="zh-CN"/>
        </w:rPr>
        <w:t>（一）项目组织架构及实施流程。</w:t>
      </w:r>
    </w:p>
    <w:p w14:paraId="2987DA6B">
      <w:pPr>
        <w:adjustRightInd w:val="0"/>
        <w:snapToGrid w:val="0"/>
        <w:spacing w:line="578" w:lineRule="exact"/>
        <w:ind w:firstLine="640" w:firstLineChars="200"/>
        <w:rPr>
          <w:rFonts w:ascii="Times New Roman" w:hAnsi="Times New Roman" w:cs="Times New Roman"/>
          <w:b w:val="0"/>
          <w:bCs w:val="0"/>
          <w:szCs w:val="32"/>
        </w:rPr>
      </w:pPr>
      <w:r>
        <w:rPr>
          <w:rFonts w:hint="default" w:ascii="Times New Roman" w:hAnsi="Times New Roman" w:cs="Times New Roman"/>
          <w:b w:val="0"/>
          <w:bCs w:val="0"/>
          <w:szCs w:val="32"/>
        </w:rPr>
        <w:t>按照《攀枝花市人民政府办公室关于印发进一步深化基本医疗保险支付方式改革实施方案的通知》（攀办发〔2018〕23号）要求，各级各有关部门要高度重视，切实加强组织领导，积极推进医保支付方式及相关领域改革，做好改革政策衔接，发挥政策合力。</w:t>
      </w:r>
    </w:p>
    <w:p w14:paraId="56129CC3">
      <w:pPr>
        <w:adjustRightInd w:val="0"/>
        <w:snapToGrid w:val="0"/>
        <w:spacing w:line="578" w:lineRule="exact"/>
        <w:ind w:firstLine="640" w:firstLineChars="200"/>
        <w:rPr>
          <w:rFonts w:hint="default" w:ascii="Times New Roman" w:hAnsi="Times New Roman" w:eastAsia="楷体_GB2312" w:cs="Times New Roman"/>
          <w:b w:val="0"/>
          <w:bCs w:val="0"/>
          <w:szCs w:val="32"/>
          <w:lang w:val="zh-CN"/>
        </w:rPr>
      </w:pPr>
      <w:r>
        <w:rPr>
          <w:rFonts w:ascii="Times New Roman" w:hAnsi="Times New Roman" w:eastAsia="楷体_GB2312" w:cs="Times New Roman"/>
          <w:b w:val="0"/>
          <w:bCs w:val="0"/>
          <w:szCs w:val="32"/>
          <w:lang w:val="zh-CN"/>
        </w:rPr>
        <w:t>（二）项目管理情况。</w:t>
      </w:r>
    </w:p>
    <w:p w14:paraId="5ED95D2C">
      <w:pPr>
        <w:adjustRightInd w:val="0"/>
        <w:snapToGrid w:val="0"/>
        <w:spacing w:line="578" w:lineRule="exact"/>
        <w:ind w:firstLine="640" w:firstLineChars="200"/>
        <w:rPr>
          <w:rFonts w:ascii="Times New Roman" w:hAnsi="Times New Roman" w:cs="Times New Roman"/>
          <w:b w:val="0"/>
          <w:bCs w:val="0"/>
          <w:szCs w:val="32"/>
          <w:lang w:val="zh-CN"/>
        </w:rPr>
      </w:pPr>
      <w:r>
        <w:rPr>
          <w:rFonts w:ascii="Times New Roman" w:hAnsi="Times New Roman" w:cs="Times New Roman"/>
          <w:b w:val="0"/>
          <w:bCs w:val="0"/>
          <w:szCs w:val="32"/>
        </w:rPr>
        <w:t>为保证我市DRG支付方式改革工作顺利开展，继续采取政府购买服务方式委托第三方机构进行DRG支付方式改革专业化服务采购项目招标。市医保中心委托四川锦创全过程工程项目管理有限公司通过单一来源采购方式进行此项目招标</w:t>
      </w:r>
      <w:r>
        <w:rPr>
          <w:rFonts w:ascii="Times New Roman" w:hAnsi="Times New Roman" w:cs="Times New Roman"/>
          <w:b w:val="0"/>
          <w:bCs w:val="0"/>
          <w:szCs w:val="32"/>
          <w:lang w:val="zh-CN"/>
        </w:rPr>
        <w:t>。</w:t>
      </w:r>
    </w:p>
    <w:p w14:paraId="7B35A9E3">
      <w:pPr>
        <w:adjustRightInd w:val="0"/>
        <w:snapToGrid w:val="0"/>
        <w:spacing w:line="578" w:lineRule="exact"/>
        <w:ind w:firstLine="640" w:firstLineChars="200"/>
        <w:rPr>
          <w:rFonts w:hint="default" w:ascii="Times New Roman" w:hAnsi="Times New Roman" w:eastAsia="楷体_GB2312" w:cs="Times New Roman"/>
          <w:b w:val="0"/>
          <w:bCs w:val="0"/>
          <w:szCs w:val="32"/>
          <w:lang w:val="zh-CN"/>
        </w:rPr>
      </w:pPr>
      <w:r>
        <w:rPr>
          <w:rFonts w:ascii="Times New Roman" w:hAnsi="Times New Roman" w:eastAsia="楷体_GB2312" w:cs="Times New Roman"/>
          <w:b w:val="0"/>
          <w:bCs w:val="0"/>
          <w:szCs w:val="32"/>
          <w:lang w:val="zh-CN"/>
        </w:rPr>
        <w:t>（三）项目监管情况。</w:t>
      </w:r>
    </w:p>
    <w:p w14:paraId="0E3ED026">
      <w:pPr>
        <w:adjustRightInd w:val="0"/>
        <w:snapToGrid w:val="0"/>
        <w:spacing w:line="578" w:lineRule="exact"/>
        <w:ind w:firstLine="640" w:firstLineChars="200"/>
        <w:rPr>
          <w:rFonts w:ascii="Times New Roman" w:hAnsi="Times New Roman" w:eastAsia="楷体_GB2312" w:cs="Times New Roman"/>
          <w:b w:val="0"/>
          <w:bCs w:val="0"/>
          <w:szCs w:val="32"/>
          <w:lang w:val="zh-CN"/>
        </w:rPr>
      </w:pPr>
      <w:r>
        <w:rPr>
          <w:rFonts w:ascii="Times New Roman" w:hAnsi="Times New Roman" w:cs="Times New Roman"/>
          <w:b w:val="0"/>
          <w:bCs w:val="0"/>
          <w:szCs w:val="32"/>
        </w:rPr>
        <w:t>印发《攀枝花市基本医疗保险按疾病诊断相关分组（DRG）结合点数法付费监督管理办法（试行）》，明确各级医保经办机构对相关定点医疗机构实行DRG点数法付费协议管理，各级经办机构应完善DRG点数法付费稽核规程，常态化开展DRG点数法付费稽核，加强DRG点数法付费监管稽核队伍专业化建设，不断完善DRG点数法付费监督管理措施，通过满意度调查、第三方评价、聘请社会监督员、畅通举报奖励渠道等方式加强社会监督。</w:t>
      </w:r>
    </w:p>
    <w:p w14:paraId="152D7D4B">
      <w:pPr>
        <w:adjustRightInd w:val="0"/>
        <w:snapToGrid w:val="0"/>
        <w:spacing w:line="600" w:lineRule="exact"/>
        <w:ind w:firstLine="640" w:firstLineChars="200"/>
        <w:rPr>
          <w:rFonts w:ascii="Times New Roman" w:hAnsi="Times New Roman" w:cs="Times New Roman"/>
          <w:b w:val="0"/>
          <w:bCs w:val="0"/>
          <w:szCs w:val="32"/>
          <w:lang w:val="zh-CN"/>
        </w:rPr>
      </w:pPr>
      <w:r>
        <w:rPr>
          <w:rFonts w:ascii="Times New Roman" w:hAnsi="Times New Roman" w:eastAsia="黑体" w:cs="Times New Roman"/>
          <w:b w:val="0"/>
          <w:bCs w:val="0"/>
          <w:szCs w:val="32"/>
        </w:rPr>
        <w:t>四、项目绩效情况</w:t>
      </w:r>
      <w:r>
        <w:rPr>
          <w:rFonts w:ascii="Times New Roman" w:hAnsi="Times New Roman" w:cs="Times New Roman"/>
          <w:b w:val="0"/>
          <w:bCs w:val="0"/>
          <w:szCs w:val="32"/>
          <w:lang w:val="zh-CN"/>
        </w:rPr>
        <w:tab/>
      </w:r>
    </w:p>
    <w:p w14:paraId="76E465A1">
      <w:pPr>
        <w:adjustRightInd w:val="0"/>
        <w:snapToGrid w:val="0"/>
        <w:spacing w:line="600" w:lineRule="exact"/>
        <w:ind w:firstLine="640" w:firstLineChars="200"/>
        <w:rPr>
          <w:rFonts w:ascii="Times New Roman" w:hAnsi="Times New Roman" w:eastAsia="楷体_GB2312" w:cs="Times New Roman"/>
          <w:b w:val="0"/>
          <w:bCs w:val="0"/>
          <w:szCs w:val="32"/>
          <w:lang w:val="zh-CN"/>
        </w:rPr>
      </w:pPr>
      <w:r>
        <w:rPr>
          <w:rFonts w:ascii="Times New Roman" w:hAnsi="Times New Roman" w:eastAsia="楷体_GB2312" w:cs="Times New Roman"/>
          <w:b w:val="0"/>
          <w:bCs w:val="0"/>
          <w:szCs w:val="32"/>
          <w:lang w:val="zh-CN"/>
        </w:rPr>
        <w:t>（一）项目完成情况。</w:t>
      </w:r>
    </w:p>
    <w:p w14:paraId="3289C6FD">
      <w:pPr>
        <w:spacing w:line="578" w:lineRule="exact"/>
        <w:ind w:firstLine="640" w:firstLineChars="200"/>
        <w:rPr>
          <w:rFonts w:ascii="Times New Roman" w:hAnsi="Times New Roman" w:cs="Times New Roman"/>
          <w:b w:val="0"/>
          <w:bCs w:val="0"/>
          <w:szCs w:val="32"/>
        </w:rPr>
      </w:pPr>
      <w:r>
        <w:rPr>
          <w:rFonts w:ascii="Times New Roman" w:hAnsi="Times New Roman" w:cs="Times New Roman"/>
          <w:b w:val="0"/>
          <w:bCs w:val="0"/>
          <w:szCs w:val="32"/>
        </w:rPr>
        <w:t>按照</w:t>
      </w:r>
      <w:r>
        <w:rPr>
          <w:rFonts w:hint="default" w:ascii="Times New Roman" w:hAnsi="Times New Roman" w:cs="Times New Roman"/>
          <w:b w:val="0"/>
          <w:bCs w:val="0"/>
          <w:szCs w:val="32"/>
        </w:rPr>
        <w:t>要求</w:t>
      </w:r>
      <w:r>
        <w:rPr>
          <w:rFonts w:ascii="Times New Roman" w:hAnsi="Times New Roman" w:cs="Times New Roman"/>
          <w:b w:val="0"/>
          <w:bCs w:val="0"/>
          <w:szCs w:val="32"/>
        </w:rPr>
        <w:t>，全市所有有住院条件的定点医疗机构均实行按病组点数法付费，覆盖率达到100%；</w:t>
      </w:r>
      <w:r>
        <w:rPr>
          <w:rFonts w:hint="default" w:ascii="Times New Roman" w:hAnsi="Times New Roman" w:cs="Times New Roman"/>
          <w:b w:val="0"/>
          <w:bCs w:val="0"/>
          <w:szCs w:val="32"/>
        </w:rPr>
        <w:t>统一执行四川省2.0版分组方案</w:t>
      </w:r>
      <w:r>
        <w:rPr>
          <w:rFonts w:ascii="Times New Roman" w:hAnsi="Times New Roman" w:cs="Times New Roman"/>
          <w:b w:val="0"/>
          <w:bCs w:val="0"/>
          <w:szCs w:val="32"/>
        </w:rPr>
        <w:t>，实现职工医保基金和城乡居民医疗保险基金付费全覆盖；每月按时、按要求完成</w:t>
      </w:r>
      <w:r>
        <w:rPr>
          <w:rFonts w:hint="default" w:ascii="Times New Roman" w:hAnsi="Times New Roman" w:cs="Times New Roman"/>
          <w:b w:val="0"/>
          <w:bCs w:val="0"/>
          <w:szCs w:val="32"/>
        </w:rPr>
        <w:t>病例</w:t>
      </w:r>
      <w:r>
        <w:rPr>
          <w:rFonts w:ascii="Times New Roman" w:hAnsi="Times New Roman" w:cs="Times New Roman"/>
          <w:b w:val="0"/>
          <w:bCs w:val="0"/>
          <w:szCs w:val="32"/>
        </w:rPr>
        <w:t>分组、点数计算、基金拨付等工作；按要求完成支付标准</w:t>
      </w:r>
      <w:r>
        <w:rPr>
          <w:rFonts w:hint="default" w:ascii="Times New Roman" w:hAnsi="Times New Roman" w:cs="Times New Roman"/>
          <w:b w:val="0"/>
          <w:bCs w:val="0"/>
          <w:szCs w:val="32"/>
        </w:rPr>
        <w:t>测算</w:t>
      </w:r>
      <w:r>
        <w:rPr>
          <w:rFonts w:ascii="Times New Roman" w:hAnsi="Times New Roman" w:cs="Times New Roman"/>
          <w:b w:val="0"/>
          <w:bCs w:val="0"/>
          <w:szCs w:val="32"/>
        </w:rPr>
        <w:t>、</w:t>
      </w:r>
      <w:r>
        <w:rPr>
          <w:rFonts w:hint="default" w:ascii="Times New Roman" w:hAnsi="Times New Roman" w:cs="Times New Roman"/>
          <w:b w:val="0"/>
          <w:bCs w:val="0"/>
          <w:szCs w:val="32"/>
        </w:rPr>
        <w:t>协助</w:t>
      </w:r>
      <w:r>
        <w:rPr>
          <w:rFonts w:ascii="Times New Roman" w:hAnsi="Times New Roman" w:cs="Times New Roman"/>
          <w:b w:val="0"/>
          <w:bCs w:val="0"/>
          <w:szCs w:val="32"/>
        </w:rPr>
        <w:t>完善配套政策、优化结算办法、组织相关培训等相关工作。</w:t>
      </w:r>
    </w:p>
    <w:p w14:paraId="4D9F4699">
      <w:pPr>
        <w:adjustRightInd w:val="0"/>
        <w:snapToGrid w:val="0"/>
        <w:spacing w:line="600" w:lineRule="exact"/>
        <w:ind w:firstLine="640" w:firstLineChars="200"/>
        <w:rPr>
          <w:rFonts w:ascii="Times New Roman" w:hAnsi="Times New Roman" w:eastAsia="楷体_GB2312" w:cs="Times New Roman"/>
          <w:b w:val="0"/>
          <w:bCs w:val="0"/>
          <w:szCs w:val="32"/>
          <w:lang w:val="zh-CN"/>
        </w:rPr>
      </w:pPr>
      <w:r>
        <w:rPr>
          <w:rFonts w:ascii="Times New Roman" w:hAnsi="Times New Roman" w:eastAsia="楷体_GB2312" w:cs="Times New Roman"/>
          <w:b w:val="0"/>
          <w:bCs w:val="0"/>
          <w:szCs w:val="32"/>
          <w:lang w:val="zh-CN"/>
        </w:rPr>
        <w:t>（二）项目效益情况。</w:t>
      </w:r>
    </w:p>
    <w:p w14:paraId="3C184214">
      <w:pPr>
        <w:adjustRightInd w:val="0"/>
        <w:snapToGrid w:val="0"/>
        <w:spacing w:line="560" w:lineRule="exact"/>
        <w:ind w:firstLine="640" w:firstLineChars="200"/>
        <w:rPr>
          <w:rFonts w:hint="default" w:ascii="Times New Roman" w:hAnsi="Times New Roman" w:cs="Times New Roman"/>
          <w:b w:val="0"/>
          <w:bCs w:val="0"/>
          <w:szCs w:val="32"/>
        </w:rPr>
      </w:pPr>
      <w:r>
        <w:rPr>
          <w:rFonts w:hint="default" w:ascii="Times New Roman" w:hAnsi="Times New Roman" w:cs="Times New Roman"/>
          <w:b w:val="0"/>
          <w:bCs w:val="0"/>
          <w:szCs w:val="32"/>
        </w:rPr>
        <w:t>1.医保数据精准赋能，促进三医协同发展。按照国家局要求，按“月推送、季发布、专题分析”等形式常态化开展医保数据发布工作。2025年3月18日，市医保局组织举行全省首场医保数据定向发布活动，发布医保参保和基金运行情况、DRG付费运行成效、定点医药机构重点指标、医保基金监管情况，6月就2024年年终清算情况开展面对面数据发布活动。</w:t>
      </w:r>
    </w:p>
    <w:p w14:paraId="5D7A2A3F">
      <w:pPr>
        <w:adjustRightInd w:val="0"/>
        <w:snapToGrid w:val="0"/>
        <w:spacing w:line="560" w:lineRule="exact"/>
        <w:ind w:firstLine="640" w:firstLineChars="200"/>
        <w:rPr>
          <w:rFonts w:hint="default" w:ascii="Times New Roman" w:hAnsi="Times New Roman" w:cs="Times New Roman"/>
          <w:b w:val="0"/>
          <w:bCs w:val="0"/>
          <w:szCs w:val="32"/>
        </w:rPr>
      </w:pPr>
      <w:r>
        <w:rPr>
          <w:rFonts w:hint="default" w:ascii="Times New Roman" w:hAnsi="Times New Roman" w:cs="Times New Roman"/>
          <w:b w:val="0"/>
          <w:bCs w:val="0"/>
          <w:szCs w:val="32"/>
        </w:rPr>
        <w:t>2.清算“加速度”，赋能医疗机构高质量发展。为了让医疗机构及早用上医保“赋能金”，我市提前谋划、高位推进，于2025年5月28日全面完成2024年终清算费用拨付工作，2024年医保基金结余留用医疗机构8996.77万元，支付率达105%。</w:t>
      </w:r>
    </w:p>
    <w:p w14:paraId="456701CE">
      <w:pPr>
        <w:adjustRightInd w:val="0"/>
        <w:snapToGrid w:val="0"/>
        <w:spacing w:line="560" w:lineRule="exact"/>
        <w:ind w:firstLine="640" w:firstLineChars="200"/>
        <w:rPr>
          <w:rFonts w:hint="default" w:ascii="Times New Roman" w:hAnsi="Times New Roman" w:cs="Times New Roman"/>
          <w:b w:val="0"/>
          <w:bCs w:val="0"/>
          <w:szCs w:val="32"/>
        </w:rPr>
      </w:pPr>
      <w:r>
        <w:rPr>
          <w:rFonts w:hint="default" w:ascii="Times New Roman" w:hAnsi="Times New Roman" w:cs="Times New Roman"/>
          <w:b w:val="0"/>
          <w:bCs w:val="0"/>
          <w:szCs w:val="32"/>
        </w:rPr>
        <w:t>3.有序推进异地就医住院费用纳入按病种付费工作。制定配套文件，印发《攀枝花市省内异地就医住院费用纳入按DRG付费实施细则（试行）》，完善业务系统需求，开展异地就医住院病例模拟付费工作，将2025年12月1日起发生的省内异地就医直接结算住院费用纳入按就医地按病种付费管理工作。</w:t>
      </w:r>
    </w:p>
    <w:p w14:paraId="43FB7545">
      <w:pPr>
        <w:adjustRightInd w:val="0"/>
        <w:snapToGrid w:val="0"/>
        <w:spacing w:line="560" w:lineRule="exact"/>
        <w:ind w:firstLine="640" w:firstLineChars="200"/>
        <w:rPr>
          <w:rFonts w:ascii="Times New Roman" w:hAnsi="Times New Roman" w:cs="Times New Roman"/>
          <w:b w:val="0"/>
          <w:bCs w:val="0"/>
          <w:szCs w:val="32"/>
        </w:rPr>
      </w:pPr>
      <w:r>
        <w:rPr>
          <w:rFonts w:hint="default" w:ascii="Times New Roman" w:hAnsi="Times New Roman" w:cs="Times New Roman"/>
          <w:b w:val="0"/>
          <w:bCs w:val="0"/>
          <w:szCs w:val="32"/>
        </w:rPr>
        <w:t>4.破改革困局，凝炼示范经验。为进一步提升DRG支付方式改革精细化管理，2025年6月3日至4日，市医保局邀请清华大学公共管理学院杨燕绥教授调研组赴我市开展DRG支付方式改革绩效评估调研，从总额预算管理下“1+N”DRG付费制度体系、医保基金使用效率等方面充分肯定了我市在DRG支付改革中取得的阶段性成果。</w:t>
      </w:r>
    </w:p>
    <w:p w14:paraId="2DE33BE0">
      <w:pPr>
        <w:adjustRightInd w:val="0"/>
        <w:snapToGrid w:val="0"/>
        <w:spacing w:line="600" w:lineRule="exact"/>
        <w:ind w:firstLine="640" w:firstLineChars="200"/>
        <w:rPr>
          <w:rFonts w:ascii="Times New Roman" w:hAnsi="Times New Roman" w:eastAsia="黑体" w:cs="Times New Roman"/>
          <w:b w:val="0"/>
          <w:bCs w:val="0"/>
          <w:szCs w:val="32"/>
        </w:rPr>
      </w:pPr>
      <w:r>
        <w:rPr>
          <w:rFonts w:ascii="Times New Roman" w:hAnsi="Times New Roman" w:eastAsia="黑体" w:cs="Times New Roman"/>
          <w:b w:val="0"/>
          <w:bCs w:val="0"/>
          <w:szCs w:val="32"/>
        </w:rPr>
        <w:t>五、评价结论及建议</w:t>
      </w:r>
    </w:p>
    <w:p w14:paraId="3A096422">
      <w:pPr>
        <w:adjustRightInd w:val="0"/>
        <w:snapToGrid w:val="0"/>
        <w:spacing w:line="600" w:lineRule="exact"/>
        <w:ind w:firstLine="640" w:firstLineChars="200"/>
        <w:rPr>
          <w:rFonts w:ascii="Times New Roman" w:hAnsi="Times New Roman" w:eastAsia="楷体_GB2312" w:cs="Times New Roman"/>
          <w:b w:val="0"/>
          <w:bCs w:val="0"/>
          <w:szCs w:val="32"/>
          <w:lang w:val="zh-CN"/>
        </w:rPr>
      </w:pPr>
      <w:r>
        <w:rPr>
          <w:rFonts w:ascii="Times New Roman" w:hAnsi="Times New Roman" w:eastAsia="楷体_GB2312" w:cs="Times New Roman"/>
          <w:b w:val="0"/>
          <w:bCs w:val="0"/>
          <w:szCs w:val="32"/>
          <w:lang w:val="zh-CN"/>
        </w:rPr>
        <w:t>（一）评价结论。</w:t>
      </w:r>
    </w:p>
    <w:p w14:paraId="44369E35">
      <w:pPr>
        <w:adjustRightInd w:val="0"/>
        <w:snapToGrid w:val="0"/>
        <w:spacing w:line="578" w:lineRule="exact"/>
        <w:ind w:firstLine="640" w:firstLineChars="200"/>
        <w:rPr>
          <w:rFonts w:ascii="Times New Roman" w:hAnsi="Times New Roman" w:cs="Times New Roman"/>
          <w:b w:val="0"/>
          <w:bCs w:val="0"/>
          <w:szCs w:val="32"/>
          <w:bdr w:val="single" w:color="auto" w:sz="4" w:space="0"/>
          <w:lang w:val="zh-CN"/>
        </w:rPr>
      </w:pPr>
      <w:r>
        <w:rPr>
          <w:rFonts w:ascii="Times New Roman" w:hAnsi="Times New Roman" w:cs="Times New Roman"/>
          <w:b w:val="0"/>
          <w:bCs w:val="0"/>
          <w:szCs w:val="32"/>
          <w:lang w:val="zh-CN"/>
        </w:rPr>
        <w:t>项目自评得分100分，充分发挥示范带动作用，全面建成上下联动、内外协同、标准规范、管用高效的医保支付新机制，努力形成可复制、可借鉴的改革示范经验，促进医疗保障和医药服务高质量协同发展。</w:t>
      </w:r>
    </w:p>
    <w:p w14:paraId="2965DB98">
      <w:pPr>
        <w:adjustRightInd w:val="0"/>
        <w:snapToGrid w:val="0"/>
        <w:spacing w:line="600" w:lineRule="exact"/>
        <w:ind w:firstLine="640" w:firstLineChars="200"/>
        <w:rPr>
          <w:rFonts w:ascii="Times New Roman" w:hAnsi="Times New Roman" w:eastAsia="楷体_GB2312" w:cs="Times New Roman"/>
          <w:b w:val="0"/>
          <w:bCs w:val="0"/>
          <w:szCs w:val="32"/>
          <w:lang w:val="zh-CN"/>
        </w:rPr>
      </w:pPr>
      <w:r>
        <w:rPr>
          <w:rFonts w:ascii="Times New Roman" w:hAnsi="Times New Roman" w:eastAsia="楷体_GB2312" w:cs="Times New Roman"/>
          <w:b w:val="0"/>
          <w:bCs w:val="0"/>
          <w:szCs w:val="32"/>
          <w:lang w:val="zh-CN"/>
        </w:rPr>
        <w:t>（二）存在的问题。</w:t>
      </w:r>
    </w:p>
    <w:p w14:paraId="1FC4840D">
      <w:pPr>
        <w:widowControl w:val="0"/>
        <w:spacing w:line="560" w:lineRule="exact"/>
        <w:ind w:left="0" w:leftChars="0" w:firstLine="640" w:firstLineChars="200"/>
        <w:jc w:val="both"/>
        <w:rPr>
          <w:rFonts w:hint="default" w:ascii="Times New Roman" w:hAnsi="Times New Roman" w:eastAsia="仿宋_GB2312" w:cs="Times New Roman"/>
          <w:b w:val="0"/>
          <w:bCs w:val="0"/>
          <w:kern w:val="2"/>
          <w:sz w:val="32"/>
          <w:szCs w:val="32"/>
          <w:lang w:val="en-US" w:eastAsia="zh-CN" w:bidi="ar-SA"/>
        </w:rPr>
      </w:pPr>
      <w:r>
        <w:rPr>
          <w:rFonts w:hint="default" w:ascii="Times New Roman" w:hAnsi="Times New Roman" w:eastAsia="仿宋_GB2312" w:cs="Times New Roman"/>
          <w:b w:val="0"/>
          <w:bCs w:val="0"/>
          <w:kern w:val="2"/>
          <w:sz w:val="32"/>
          <w:szCs w:val="32"/>
          <w:lang w:val="en-US" w:eastAsia="zh-CN" w:bidi="ar-SA"/>
        </w:rPr>
        <w:t>1.DRG2.0版还在适应阶段。我市从2025年1月起实施全省统一的四川DRG分组目录，在执行过程中，存在ICD-10、ICD-9编码录入规则与2.0版分组逻辑不吻合导致入组错误，影响了DRG付费准确性。因此，要不断加强对四川DRG分组目录的培训，做好2.0版的落地实操。</w:t>
      </w:r>
    </w:p>
    <w:p w14:paraId="24728C59">
      <w:pPr>
        <w:widowControl w:val="0"/>
        <w:spacing w:line="560" w:lineRule="exact"/>
        <w:ind w:left="0" w:leftChars="0" w:firstLine="640" w:firstLineChars="200"/>
        <w:jc w:val="both"/>
        <w:rPr>
          <w:rFonts w:hint="default" w:ascii="Times New Roman" w:hAnsi="Times New Roman" w:eastAsia="仿宋_GB2312" w:cs="Times New Roman"/>
          <w:b w:val="0"/>
          <w:bCs w:val="0"/>
          <w:kern w:val="2"/>
          <w:sz w:val="32"/>
          <w:szCs w:val="32"/>
          <w:lang w:val="en-US" w:eastAsia="zh-CN" w:bidi="ar-SA"/>
        </w:rPr>
      </w:pPr>
      <w:r>
        <w:rPr>
          <w:rFonts w:hint="default" w:ascii="Times New Roman" w:hAnsi="Times New Roman" w:eastAsia="仿宋_GB2312" w:cs="Times New Roman"/>
          <w:b w:val="0"/>
          <w:bCs w:val="0"/>
          <w:kern w:val="2"/>
          <w:sz w:val="32"/>
          <w:szCs w:val="32"/>
          <w:lang w:val="en-US" w:eastAsia="zh-CN" w:bidi="ar-SA"/>
        </w:rPr>
        <w:t>2.结算清单填报质量有待提高。医疗机构部分结算清单存在主诊断与主手术编码严重偏差的问题，如一些特殊术式编码错误，可能导致病例的付费出现严重偏差；部分病例其他诊断缺乏诊断依据且未治疗，导致诊断和病情无法充分结合，可能高编入组合并症或并发症病组，涉嫌套取医保基金。</w:t>
      </w:r>
    </w:p>
    <w:p w14:paraId="5FB0DDE1">
      <w:pPr>
        <w:adjustRightInd w:val="0"/>
        <w:snapToGrid w:val="0"/>
        <w:spacing w:line="600" w:lineRule="exact"/>
        <w:ind w:firstLine="640" w:firstLineChars="200"/>
        <w:rPr>
          <w:rFonts w:ascii="Times New Roman" w:hAnsi="Times New Roman" w:eastAsia="楷体_GB2312" w:cs="Times New Roman"/>
          <w:b w:val="0"/>
          <w:bCs w:val="0"/>
          <w:szCs w:val="32"/>
          <w:lang w:val="zh-CN"/>
        </w:rPr>
      </w:pPr>
      <w:r>
        <w:rPr>
          <w:rFonts w:ascii="Times New Roman" w:hAnsi="Times New Roman" w:eastAsia="楷体_GB2312" w:cs="Times New Roman"/>
          <w:b w:val="0"/>
          <w:bCs w:val="0"/>
          <w:szCs w:val="32"/>
          <w:lang w:val="zh-CN"/>
        </w:rPr>
        <w:t>（三）相关建议。</w:t>
      </w:r>
    </w:p>
    <w:p w14:paraId="7B972327">
      <w:pPr>
        <w:widowControl w:val="0"/>
        <w:spacing w:line="560" w:lineRule="exact"/>
        <w:ind w:left="0" w:leftChars="0" w:firstLine="672" w:firstLineChars="200"/>
        <w:jc w:val="left"/>
        <w:rPr>
          <w:rFonts w:ascii="Times New Roman" w:hAnsi="Times New Roman" w:eastAsia="仿宋_GB2312" w:cs="Times New Roman"/>
          <w:b w:val="0"/>
          <w:bCs w:val="0"/>
          <w:kern w:val="2"/>
          <w:sz w:val="32"/>
          <w:szCs w:val="32"/>
          <w:lang w:val="en-US" w:eastAsia="zh-CN" w:bidi="ar-SA"/>
        </w:rPr>
      </w:pPr>
      <w:r>
        <w:rPr>
          <w:rFonts w:hint="default" w:ascii="Times New Roman" w:hAnsi="Times New Roman" w:eastAsia="仿宋_GB2312" w:cs="Times New Roman"/>
          <w:b w:val="0"/>
          <w:bCs w:val="0"/>
          <w:spacing w:val="8"/>
          <w:kern w:val="2"/>
          <w:sz w:val="32"/>
          <w:szCs w:val="32"/>
          <w:shd w:val="clear" w:color="auto" w:fill="FFFFFF"/>
          <w:lang w:val="en-US" w:eastAsia="zh-CN" w:bidi="ar-SA"/>
        </w:rPr>
        <w:t>1.不断动态优化核心要素夯实改革“精准度”。按照国家局、省医保局统一安排部署，积极构建“动态调整、精准适配”的四川省分组体系。将继续用好特例单议机制，强化支付方式意见收集反馈，健全完善谈判协商机制，组建医保数据工作组，规范基金预付工作，建立基准点数和差异系数等核心要素动态调整机制</w:t>
      </w:r>
      <w:r>
        <w:rPr>
          <w:rFonts w:hint="default" w:ascii="Times New Roman" w:hAnsi="Times New Roman" w:eastAsia="仿宋_GB2312" w:cs="Times New Roman"/>
          <w:b w:val="0"/>
          <w:bCs w:val="0"/>
          <w:kern w:val="2"/>
          <w:sz w:val="32"/>
          <w:szCs w:val="32"/>
          <w:lang w:val="en-US" w:eastAsia="zh-CN" w:bidi="ar-SA"/>
        </w:rPr>
        <w:t>，助力医疗机构高质量发展，推动医保支付方式改革走深走实。</w:t>
      </w:r>
    </w:p>
    <w:p w14:paraId="02FC8466">
      <w:pPr>
        <w:widowControl w:val="0"/>
        <w:spacing w:line="560" w:lineRule="exact"/>
        <w:ind w:left="0" w:leftChars="0" w:firstLine="672" w:firstLineChars="200"/>
        <w:jc w:val="both"/>
        <w:rPr>
          <w:rFonts w:hint="default" w:ascii="Times New Roman" w:hAnsi="Times New Roman" w:eastAsia="仿宋_GB2312" w:cs="Times New Roman"/>
          <w:b w:val="0"/>
          <w:bCs w:val="0"/>
          <w:kern w:val="2"/>
          <w:sz w:val="32"/>
          <w:szCs w:val="32"/>
          <w:lang w:val="en-US" w:eastAsia="zh-CN" w:bidi="ar-SA"/>
        </w:rPr>
      </w:pPr>
      <w:r>
        <w:rPr>
          <w:rFonts w:hint="default" w:ascii="Times New Roman" w:hAnsi="Times New Roman" w:eastAsia="仿宋_GB2312" w:cs="Times New Roman"/>
          <w:b w:val="0"/>
          <w:bCs w:val="0"/>
          <w:spacing w:val="8"/>
          <w:kern w:val="2"/>
          <w:sz w:val="32"/>
          <w:szCs w:val="32"/>
          <w:shd w:val="clear" w:color="auto" w:fill="FFFFFF"/>
          <w:lang w:val="en-US" w:eastAsia="zh-CN" w:bidi="ar-SA"/>
        </w:rPr>
        <w:t>2.升级医保基金监管筑牢基金“安全线”。依托大数据</w:t>
      </w:r>
      <w:r>
        <w:rPr>
          <w:rFonts w:hint="default" w:ascii="Times New Roman" w:hAnsi="Times New Roman" w:eastAsia="仿宋_GB2312" w:cs="Times New Roman"/>
          <w:b w:val="0"/>
          <w:bCs w:val="0"/>
          <w:kern w:val="2"/>
          <w:sz w:val="32"/>
          <w:szCs w:val="32"/>
          <w:lang w:val="en-US" w:eastAsia="zh-CN" w:bidi="ar-SA"/>
        </w:rPr>
        <w:t>技术构建监管模型，重点监控高编分组、分解住院、过度医疗等违规行为，对诊疗费用异常、分组准确率偏低的医疗机构实时预警。建立“日常监管+飞行检查+专项核查”的立体监管模式，将智能监控结果作为日常监管的重要依据，定期开展医疗机构自查自纠。联合卫健部门组建专家评审团队，对预警线索进行核查，对违规医疗机构采取约谈、扣款、暂停医保服务等处罚措施。</w:t>
      </w:r>
    </w:p>
    <w:p w14:paraId="6372582E">
      <w:pPr>
        <w:widowControl w:val="0"/>
        <w:spacing w:line="560" w:lineRule="exact"/>
        <w:ind w:left="0" w:leftChars="0" w:firstLine="640" w:firstLineChars="200"/>
        <w:jc w:val="both"/>
        <w:rPr>
          <w:rFonts w:hint="default" w:ascii="Times New Roman" w:hAnsi="Times New Roman" w:eastAsia="仿宋_GB2312" w:cs="Times New Roman"/>
          <w:b w:val="0"/>
          <w:bCs w:val="0"/>
          <w:kern w:val="2"/>
          <w:sz w:val="32"/>
          <w:szCs w:val="32"/>
          <w:lang w:val="en-US" w:eastAsia="zh-CN" w:bidi="ar-SA"/>
        </w:rPr>
      </w:pPr>
    </w:p>
    <w:p w14:paraId="31DA76EE">
      <w:pPr>
        <w:widowControl w:val="0"/>
        <w:spacing w:line="560" w:lineRule="exact"/>
        <w:ind w:left="0" w:leftChars="0" w:firstLine="640" w:firstLineChars="200"/>
        <w:jc w:val="both"/>
        <w:rPr>
          <w:rFonts w:hint="default" w:ascii="Times New Roman" w:hAnsi="Times New Roman" w:eastAsia="仿宋_GB2312" w:cs="Times New Roman"/>
          <w:b w:val="0"/>
          <w:bCs w:val="0"/>
          <w:kern w:val="2"/>
          <w:sz w:val="32"/>
          <w:szCs w:val="32"/>
          <w:lang w:val="en-US" w:eastAsia="zh-CN" w:bidi="ar-SA"/>
        </w:rPr>
      </w:pPr>
    </w:p>
    <w:p w14:paraId="08DCAE27">
      <w:pPr>
        <w:widowControl w:val="0"/>
        <w:spacing w:line="560" w:lineRule="exact"/>
        <w:ind w:left="0" w:leftChars="0" w:firstLine="640" w:firstLineChars="200"/>
        <w:jc w:val="both"/>
        <w:rPr>
          <w:rFonts w:hint="default" w:ascii="Times New Roman" w:hAnsi="Times New Roman" w:eastAsia="仿宋_GB2312" w:cs="Times New Roman"/>
          <w:b w:val="0"/>
          <w:bCs w:val="0"/>
          <w:kern w:val="2"/>
          <w:sz w:val="32"/>
          <w:szCs w:val="32"/>
          <w:lang w:val="en-US" w:eastAsia="zh-CN" w:bidi="ar-SA"/>
        </w:rPr>
      </w:pPr>
    </w:p>
    <w:p w14:paraId="4C4D90E1">
      <w:pPr>
        <w:widowControl w:val="0"/>
        <w:spacing w:line="560" w:lineRule="exact"/>
        <w:ind w:left="0" w:leftChars="0" w:firstLine="640" w:firstLineChars="200"/>
        <w:jc w:val="both"/>
        <w:rPr>
          <w:rFonts w:hint="default" w:ascii="Times New Roman" w:hAnsi="Times New Roman" w:eastAsia="仿宋_GB2312" w:cs="Times New Roman"/>
          <w:b w:val="0"/>
          <w:bCs w:val="0"/>
          <w:kern w:val="2"/>
          <w:sz w:val="32"/>
          <w:szCs w:val="32"/>
          <w:lang w:val="en-US" w:eastAsia="zh-CN" w:bidi="ar-SA"/>
        </w:rPr>
      </w:pPr>
    </w:p>
    <w:p w14:paraId="52E38A27">
      <w:pPr>
        <w:widowControl w:val="0"/>
        <w:spacing w:line="560" w:lineRule="exact"/>
        <w:ind w:left="0" w:leftChars="0" w:firstLine="640" w:firstLineChars="200"/>
        <w:jc w:val="both"/>
        <w:rPr>
          <w:rFonts w:hint="default" w:ascii="Times New Roman" w:hAnsi="Times New Roman" w:eastAsia="仿宋_GB2312" w:cs="Times New Roman"/>
          <w:b w:val="0"/>
          <w:bCs w:val="0"/>
          <w:kern w:val="2"/>
          <w:sz w:val="32"/>
          <w:szCs w:val="32"/>
          <w:lang w:val="en-US" w:eastAsia="zh-CN" w:bidi="ar-SA"/>
        </w:rPr>
      </w:pPr>
    </w:p>
    <w:p w14:paraId="773D5CF2">
      <w:pPr>
        <w:widowControl w:val="0"/>
        <w:spacing w:line="560" w:lineRule="exact"/>
        <w:ind w:left="0" w:leftChars="0" w:firstLine="640" w:firstLineChars="200"/>
        <w:jc w:val="both"/>
        <w:rPr>
          <w:rFonts w:hint="default" w:ascii="Times New Roman" w:hAnsi="Times New Roman" w:eastAsia="仿宋_GB2312" w:cs="Times New Roman"/>
          <w:b w:val="0"/>
          <w:bCs w:val="0"/>
          <w:kern w:val="2"/>
          <w:sz w:val="32"/>
          <w:szCs w:val="32"/>
          <w:lang w:val="en-US" w:eastAsia="zh-CN" w:bidi="ar-SA"/>
        </w:rPr>
      </w:pPr>
    </w:p>
    <w:p w14:paraId="5CA98AF3">
      <w:pPr>
        <w:widowControl w:val="0"/>
        <w:spacing w:line="560" w:lineRule="exact"/>
        <w:ind w:left="0" w:leftChars="0" w:firstLine="640" w:firstLineChars="200"/>
        <w:jc w:val="both"/>
        <w:rPr>
          <w:rFonts w:hint="default" w:ascii="Times New Roman" w:hAnsi="Times New Roman" w:eastAsia="仿宋_GB2312" w:cs="Times New Roman"/>
          <w:b w:val="0"/>
          <w:bCs w:val="0"/>
          <w:kern w:val="2"/>
          <w:sz w:val="32"/>
          <w:szCs w:val="32"/>
          <w:lang w:val="en-US" w:eastAsia="zh-CN" w:bidi="ar-SA"/>
        </w:rPr>
      </w:pPr>
    </w:p>
    <w:p w14:paraId="56DB2D68">
      <w:pPr>
        <w:widowControl w:val="0"/>
        <w:spacing w:line="560" w:lineRule="exact"/>
        <w:ind w:left="0" w:leftChars="0" w:firstLine="640" w:firstLineChars="200"/>
        <w:jc w:val="both"/>
        <w:rPr>
          <w:rFonts w:hint="default" w:ascii="Times New Roman" w:hAnsi="Times New Roman" w:eastAsia="仿宋_GB2312" w:cs="Times New Roman"/>
          <w:b w:val="0"/>
          <w:bCs w:val="0"/>
          <w:kern w:val="2"/>
          <w:sz w:val="32"/>
          <w:szCs w:val="32"/>
          <w:lang w:val="en-US" w:eastAsia="zh-CN" w:bidi="ar-SA"/>
        </w:rPr>
      </w:pPr>
    </w:p>
    <w:p w14:paraId="13C40D92">
      <w:pPr>
        <w:widowControl w:val="0"/>
        <w:spacing w:line="560" w:lineRule="exact"/>
        <w:ind w:left="0" w:leftChars="0" w:firstLine="640" w:firstLineChars="200"/>
        <w:jc w:val="both"/>
        <w:rPr>
          <w:rFonts w:hint="default" w:ascii="Times New Roman" w:hAnsi="Times New Roman" w:eastAsia="仿宋_GB2312" w:cs="Times New Roman"/>
          <w:b w:val="0"/>
          <w:bCs w:val="0"/>
          <w:kern w:val="2"/>
          <w:sz w:val="32"/>
          <w:szCs w:val="32"/>
          <w:lang w:val="en-US" w:eastAsia="zh-CN" w:bidi="ar-SA"/>
        </w:rPr>
      </w:pPr>
    </w:p>
    <w:p w14:paraId="396085CB">
      <w:pPr>
        <w:widowControl w:val="0"/>
        <w:spacing w:line="560" w:lineRule="exact"/>
        <w:ind w:left="0" w:leftChars="0" w:firstLine="640" w:firstLineChars="200"/>
        <w:jc w:val="both"/>
        <w:rPr>
          <w:rFonts w:hint="default" w:ascii="Times New Roman" w:hAnsi="Times New Roman" w:eastAsia="仿宋_GB2312" w:cs="Times New Roman"/>
          <w:b w:val="0"/>
          <w:bCs w:val="0"/>
          <w:kern w:val="2"/>
          <w:sz w:val="32"/>
          <w:szCs w:val="32"/>
          <w:lang w:val="en-US" w:eastAsia="zh-CN" w:bidi="ar-SA"/>
        </w:rPr>
      </w:pPr>
    </w:p>
    <w:p w14:paraId="3CDA0F26">
      <w:pPr>
        <w:widowControl w:val="0"/>
        <w:spacing w:line="560" w:lineRule="exact"/>
        <w:ind w:left="0" w:leftChars="0" w:firstLine="640" w:firstLineChars="200"/>
        <w:jc w:val="both"/>
        <w:rPr>
          <w:rFonts w:hint="default" w:ascii="Times New Roman" w:hAnsi="Times New Roman" w:eastAsia="仿宋_GB2312" w:cs="Times New Roman"/>
          <w:b w:val="0"/>
          <w:bCs w:val="0"/>
          <w:kern w:val="2"/>
          <w:sz w:val="32"/>
          <w:szCs w:val="32"/>
          <w:lang w:val="en-US" w:eastAsia="zh-CN" w:bidi="ar-SA"/>
        </w:rPr>
      </w:pPr>
    </w:p>
    <w:p w14:paraId="297D95A4">
      <w:pPr>
        <w:widowControl w:val="0"/>
        <w:spacing w:line="560" w:lineRule="exact"/>
        <w:ind w:left="0" w:leftChars="0" w:firstLine="640" w:firstLineChars="200"/>
        <w:jc w:val="both"/>
        <w:rPr>
          <w:rFonts w:hint="default" w:ascii="Times New Roman" w:hAnsi="Times New Roman" w:eastAsia="仿宋_GB2312" w:cs="Times New Roman"/>
          <w:b w:val="0"/>
          <w:bCs w:val="0"/>
          <w:kern w:val="2"/>
          <w:sz w:val="32"/>
          <w:szCs w:val="32"/>
          <w:lang w:val="en-US" w:eastAsia="zh-CN" w:bidi="ar-SA"/>
        </w:rPr>
      </w:pPr>
    </w:p>
    <w:p w14:paraId="0C27FF9E">
      <w:pPr>
        <w:widowControl w:val="0"/>
        <w:spacing w:line="560" w:lineRule="exact"/>
        <w:ind w:left="0" w:leftChars="0" w:firstLine="640" w:firstLineChars="200"/>
        <w:jc w:val="both"/>
        <w:rPr>
          <w:rFonts w:hint="default" w:ascii="Times New Roman" w:hAnsi="Times New Roman" w:eastAsia="仿宋_GB2312" w:cs="Times New Roman"/>
          <w:b w:val="0"/>
          <w:bCs w:val="0"/>
          <w:kern w:val="2"/>
          <w:sz w:val="32"/>
          <w:szCs w:val="32"/>
          <w:lang w:val="en-US" w:eastAsia="zh-CN" w:bidi="ar-SA"/>
        </w:rPr>
      </w:pPr>
    </w:p>
    <w:p w14:paraId="1ED0A28B">
      <w:pPr>
        <w:widowControl w:val="0"/>
        <w:spacing w:line="560" w:lineRule="exact"/>
        <w:ind w:left="0" w:leftChars="0" w:firstLine="640" w:firstLineChars="200"/>
        <w:jc w:val="both"/>
        <w:rPr>
          <w:rFonts w:hint="default" w:ascii="Times New Roman" w:hAnsi="Times New Roman" w:eastAsia="仿宋_GB2312" w:cs="Times New Roman"/>
          <w:b w:val="0"/>
          <w:bCs w:val="0"/>
          <w:kern w:val="2"/>
          <w:sz w:val="32"/>
          <w:szCs w:val="32"/>
          <w:lang w:val="en-US" w:eastAsia="zh-CN" w:bidi="ar-SA"/>
        </w:rPr>
      </w:pPr>
    </w:p>
    <w:p w14:paraId="021E2678">
      <w:pPr>
        <w:widowControl w:val="0"/>
        <w:spacing w:line="560" w:lineRule="exact"/>
        <w:ind w:left="0" w:leftChars="0" w:firstLine="640" w:firstLineChars="200"/>
        <w:jc w:val="both"/>
        <w:rPr>
          <w:rFonts w:hint="default" w:ascii="Times New Roman" w:hAnsi="Times New Roman" w:eastAsia="仿宋_GB2312" w:cs="Times New Roman"/>
          <w:b w:val="0"/>
          <w:bCs w:val="0"/>
          <w:kern w:val="2"/>
          <w:sz w:val="32"/>
          <w:szCs w:val="32"/>
          <w:lang w:val="en-US" w:eastAsia="zh-CN" w:bidi="ar-SA"/>
        </w:rPr>
      </w:pPr>
    </w:p>
    <w:p w14:paraId="12D5724A">
      <w:pPr>
        <w:widowControl w:val="0"/>
        <w:spacing w:line="560" w:lineRule="exact"/>
        <w:ind w:left="0" w:leftChars="0" w:firstLine="640" w:firstLineChars="200"/>
        <w:jc w:val="both"/>
        <w:rPr>
          <w:rFonts w:hint="default" w:ascii="Times New Roman" w:hAnsi="Times New Roman" w:eastAsia="仿宋_GB2312" w:cs="Times New Roman"/>
          <w:b w:val="0"/>
          <w:bCs w:val="0"/>
          <w:kern w:val="2"/>
          <w:sz w:val="32"/>
          <w:szCs w:val="32"/>
          <w:lang w:val="en-US" w:eastAsia="zh-CN" w:bidi="ar-SA"/>
        </w:rPr>
      </w:pPr>
    </w:p>
    <w:p w14:paraId="190E1BC6">
      <w:pPr>
        <w:spacing w:line="578" w:lineRule="exact"/>
        <w:ind w:left="0" w:leftChars="0" w:firstLine="0" w:firstLineChars="0"/>
        <w:jc w:val="center"/>
        <w:rPr>
          <w:rFonts w:ascii="Times New Roman" w:hAnsi="Times New Roman" w:eastAsia="方正小标宋_GBK" w:cs="Times New Roman"/>
          <w:b w:val="0"/>
          <w:bCs w:val="0"/>
          <w:color w:val="000000"/>
          <w:sz w:val="44"/>
          <w:szCs w:val="44"/>
          <w:highlight w:val="none"/>
        </w:rPr>
      </w:pPr>
      <w:r>
        <w:rPr>
          <w:rFonts w:ascii="Times New Roman" w:hAnsi="Times New Roman" w:eastAsia="方正小标宋_GBK" w:cs="Times New Roman"/>
          <w:b w:val="0"/>
          <w:bCs w:val="0"/>
          <w:color w:val="000000"/>
          <w:sz w:val="44"/>
          <w:szCs w:val="44"/>
          <w:highlight w:val="none"/>
        </w:rPr>
        <w:t>攀枝花市医疗保障事务中心</w:t>
      </w:r>
    </w:p>
    <w:p w14:paraId="07912544">
      <w:pPr>
        <w:spacing w:line="578" w:lineRule="exact"/>
        <w:ind w:left="0" w:leftChars="0" w:firstLine="0" w:firstLineChars="0"/>
        <w:jc w:val="center"/>
        <w:rPr>
          <w:rFonts w:hint="default" w:ascii="Times New Roman" w:hAnsi="Times New Roman" w:eastAsia="方正小标宋_GBK" w:cs="Times New Roman"/>
          <w:b w:val="0"/>
          <w:bCs w:val="0"/>
          <w:spacing w:val="-6"/>
          <w:sz w:val="44"/>
          <w:szCs w:val="44"/>
          <w:highlight w:val="none"/>
          <w:lang w:eastAsia="zh-CN"/>
        </w:rPr>
      </w:pPr>
      <w:r>
        <w:rPr>
          <w:rFonts w:ascii="Times New Roman" w:hAnsi="Times New Roman" w:eastAsia="方正小标宋_GBK" w:cs="Times New Roman"/>
          <w:b w:val="0"/>
          <w:bCs w:val="0"/>
          <w:spacing w:val="-6"/>
          <w:sz w:val="44"/>
          <w:szCs w:val="44"/>
          <w:highlight w:val="none"/>
        </w:rPr>
        <w:t>医疗服务与保障</w:t>
      </w:r>
      <w:r>
        <w:rPr>
          <w:rFonts w:hint="default" w:ascii="Times New Roman" w:hAnsi="Times New Roman" w:eastAsia="方正小标宋_GBK" w:cs="Times New Roman"/>
          <w:b w:val="0"/>
          <w:bCs w:val="0"/>
          <w:spacing w:val="-6"/>
          <w:sz w:val="44"/>
          <w:szCs w:val="44"/>
          <w:highlight w:val="none"/>
          <w:lang w:eastAsia="zh-CN"/>
        </w:rPr>
        <w:t>能</w:t>
      </w:r>
      <w:r>
        <w:rPr>
          <w:rFonts w:ascii="Times New Roman" w:hAnsi="Times New Roman" w:eastAsia="方正小标宋_GBK" w:cs="Times New Roman"/>
          <w:b w:val="0"/>
          <w:bCs w:val="0"/>
          <w:spacing w:val="-6"/>
          <w:sz w:val="44"/>
          <w:szCs w:val="44"/>
          <w:highlight w:val="none"/>
        </w:rPr>
        <w:t>力提升</w:t>
      </w:r>
      <w:r>
        <w:rPr>
          <w:rFonts w:hint="default" w:ascii="Times New Roman" w:hAnsi="Times New Roman" w:eastAsia="方正小标宋_GBK" w:cs="Times New Roman"/>
          <w:b w:val="0"/>
          <w:bCs w:val="0"/>
          <w:spacing w:val="-6"/>
          <w:sz w:val="44"/>
          <w:szCs w:val="44"/>
          <w:highlight w:val="none"/>
          <w:lang w:eastAsia="zh-CN"/>
        </w:rPr>
        <w:t>中央财政</w:t>
      </w:r>
      <w:r>
        <w:rPr>
          <w:rFonts w:ascii="Times New Roman" w:hAnsi="Times New Roman" w:eastAsia="方正小标宋_GBK" w:cs="Times New Roman"/>
          <w:b w:val="0"/>
          <w:bCs w:val="0"/>
          <w:spacing w:val="-6"/>
          <w:sz w:val="44"/>
          <w:szCs w:val="44"/>
          <w:highlight w:val="none"/>
        </w:rPr>
        <w:t>补助资</w:t>
      </w:r>
      <w:r>
        <w:rPr>
          <w:rFonts w:hint="default" w:ascii="Times New Roman" w:hAnsi="Times New Roman" w:eastAsia="方正小标宋_GBK" w:cs="Times New Roman"/>
          <w:b w:val="0"/>
          <w:bCs w:val="0"/>
          <w:spacing w:val="-6"/>
          <w:sz w:val="44"/>
          <w:szCs w:val="44"/>
          <w:highlight w:val="none"/>
          <w:lang w:eastAsia="zh-CN"/>
        </w:rPr>
        <w:t>金</w:t>
      </w:r>
    </w:p>
    <w:p w14:paraId="16153659">
      <w:pPr>
        <w:spacing w:line="578" w:lineRule="exact"/>
        <w:ind w:left="0" w:leftChars="0" w:firstLine="0" w:firstLineChars="0"/>
        <w:jc w:val="center"/>
        <w:rPr>
          <w:rFonts w:ascii="Times New Roman" w:hAnsi="Times New Roman" w:eastAsia="方正小标宋_GBK" w:cs="Times New Roman"/>
          <w:b w:val="0"/>
          <w:bCs w:val="0"/>
          <w:color w:val="auto"/>
          <w:kern w:val="2"/>
          <w:sz w:val="44"/>
          <w:szCs w:val="44"/>
          <w:highlight w:val="none"/>
        </w:rPr>
      </w:pPr>
      <w:r>
        <w:rPr>
          <w:rFonts w:ascii="Times New Roman" w:hAnsi="Times New Roman" w:eastAsia="方正小标宋_GBK" w:cs="Times New Roman"/>
          <w:b w:val="0"/>
          <w:bCs w:val="0"/>
          <w:color w:val="auto"/>
          <w:kern w:val="2"/>
          <w:sz w:val="44"/>
          <w:szCs w:val="44"/>
          <w:highlight w:val="none"/>
        </w:rPr>
        <w:t>项目支出绩效自评报告</w:t>
      </w:r>
    </w:p>
    <w:p w14:paraId="4500E2CB">
      <w:pPr>
        <w:spacing w:line="578" w:lineRule="exact"/>
        <w:ind w:firstLine="420" w:firstLineChars="200"/>
        <w:jc w:val="left"/>
        <w:rPr>
          <w:rFonts w:ascii="Times New Roman" w:hAnsi="Times New Roman" w:eastAsia="宋体" w:cs="Times New Roman"/>
          <w:b w:val="0"/>
          <w:bCs w:val="0"/>
          <w:color w:val="000000"/>
          <w:sz w:val="21"/>
          <w:szCs w:val="32"/>
          <w:highlight w:val="none"/>
        </w:rPr>
      </w:pPr>
    </w:p>
    <w:p w14:paraId="04B1CAB0">
      <w:pPr>
        <w:spacing w:line="578" w:lineRule="exact"/>
        <w:ind w:firstLine="640" w:firstLineChars="200"/>
        <w:rPr>
          <w:rFonts w:hint="default" w:ascii="Times New Roman" w:hAnsi="Times New Roman" w:eastAsia="黑体" w:cs="Times New Roman"/>
          <w:b w:val="0"/>
          <w:bCs w:val="0"/>
          <w:color w:val="000000"/>
          <w:sz w:val="32"/>
          <w:szCs w:val="32"/>
          <w:highlight w:val="none"/>
        </w:rPr>
      </w:pPr>
      <w:r>
        <w:rPr>
          <w:rFonts w:hint="default" w:ascii="Times New Roman" w:hAnsi="Times New Roman" w:eastAsia="黑体" w:cs="Times New Roman"/>
          <w:b w:val="0"/>
          <w:bCs w:val="0"/>
          <w:color w:val="000000"/>
          <w:sz w:val="32"/>
          <w:szCs w:val="32"/>
          <w:highlight w:val="none"/>
        </w:rPr>
        <w:t>一、基本情况</w:t>
      </w:r>
    </w:p>
    <w:p w14:paraId="30245863">
      <w:pPr>
        <w:spacing w:line="578" w:lineRule="exact"/>
        <w:ind w:firstLine="640" w:firstLineChars="200"/>
        <w:rPr>
          <w:rFonts w:hint="default" w:ascii="Times New Roman" w:hAnsi="Times New Roman" w:eastAsia="仿宋_GB2312" w:cs="Times New Roman"/>
          <w:b w:val="0"/>
          <w:bCs w:val="0"/>
          <w:color w:val="000000"/>
          <w:sz w:val="32"/>
          <w:szCs w:val="32"/>
          <w:highlight w:val="none"/>
        </w:rPr>
      </w:pPr>
      <w:r>
        <w:rPr>
          <w:rFonts w:hint="default" w:ascii="Times New Roman" w:hAnsi="Times New Roman" w:eastAsia="楷体_GB2312" w:cs="Times New Roman"/>
          <w:b w:val="0"/>
          <w:bCs w:val="0"/>
          <w:szCs w:val="32"/>
          <w:lang w:val="zh-CN" w:eastAsia="zh-CN"/>
        </w:rPr>
        <w:t>(</w:t>
      </w:r>
      <w:r>
        <w:rPr>
          <w:rFonts w:hint="default" w:ascii="Times New Roman" w:hAnsi="Times New Roman" w:eastAsia="楷体_GB2312" w:cs="Times New Roman"/>
          <w:b w:val="0"/>
          <w:bCs w:val="0"/>
          <w:szCs w:val="32"/>
          <w:lang w:val="zh-CN"/>
        </w:rPr>
        <w:t>一</w:t>
      </w:r>
      <w:r>
        <w:rPr>
          <w:rFonts w:hint="default" w:ascii="Times New Roman" w:hAnsi="Times New Roman" w:eastAsia="楷体_GB2312" w:cs="Times New Roman"/>
          <w:b w:val="0"/>
          <w:bCs w:val="0"/>
          <w:szCs w:val="32"/>
          <w:lang w:val="zh-CN" w:eastAsia="zh-CN"/>
        </w:rPr>
        <w:t>)</w:t>
      </w:r>
      <w:r>
        <w:rPr>
          <w:rFonts w:hint="default" w:ascii="Times New Roman" w:hAnsi="Times New Roman" w:eastAsia="楷体_GB2312" w:cs="Times New Roman"/>
          <w:b w:val="0"/>
          <w:bCs w:val="0"/>
          <w:szCs w:val="32"/>
          <w:lang w:val="zh-CN"/>
        </w:rPr>
        <w:t>202</w:t>
      </w:r>
      <w:r>
        <w:rPr>
          <w:rFonts w:hint="default" w:ascii="Times New Roman" w:hAnsi="Times New Roman" w:eastAsia="楷体_GB2312" w:cs="Times New Roman"/>
          <w:b w:val="0"/>
          <w:bCs w:val="0"/>
          <w:szCs w:val="32"/>
          <w:lang w:val="zh-CN" w:eastAsia="zh-CN"/>
        </w:rPr>
        <w:t>5</w:t>
      </w:r>
      <w:r>
        <w:rPr>
          <w:rFonts w:hint="default" w:ascii="Times New Roman" w:hAnsi="Times New Roman" w:eastAsia="楷体_GB2312" w:cs="Times New Roman"/>
          <w:b w:val="0"/>
          <w:bCs w:val="0"/>
          <w:szCs w:val="32"/>
          <w:lang w:val="zh-CN"/>
        </w:rPr>
        <w:t>年度资金下达情况。</w:t>
      </w:r>
    </w:p>
    <w:p w14:paraId="62145410">
      <w:pPr>
        <w:spacing w:line="578" w:lineRule="exact"/>
        <w:ind w:firstLine="640" w:firstLineChars="200"/>
        <w:rPr>
          <w:rFonts w:hint="default" w:ascii="Times New Roman" w:hAnsi="Times New Roman" w:eastAsia="仿宋_GB2312" w:cs="Times New Roman"/>
          <w:b w:val="0"/>
          <w:bCs w:val="0"/>
          <w:color w:val="000000"/>
          <w:sz w:val="32"/>
          <w:szCs w:val="32"/>
          <w:highlight w:val="none"/>
        </w:rPr>
      </w:pPr>
      <w:r>
        <w:rPr>
          <w:rFonts w:hint="default" w:ascii="Times New Roman" w:hAnsi="Times New Roman" w:eastAsia="仿宋_GB2312" w:cs="Times New Roman"/>
          <w:b w:val="0"/>
          <w:bCs w:val="0"/>
          <w:color w:val="000000"/>
          <w:sz w:val="32"/>
          <w:szCs w:val="32"/>
          <w:highlight w:val="none"/>
        </w:rPr>
        <w:t>202</w:t>
      </w:r>
      <w:r>
        <w:rPr>
          <w:rFonts w:hint="default" w:ascii="Times New Roman" w:hAnsi="Times New Roman" w:eastAsia="仿宋_GB2312" w:cs="Times New Roman"/>
          <w:b w:val="0"/>
          <w:bCs w:val="0"/>
          <w:color w:val="000000"/>
          <w:sz w:val="32"/>
          <w:szCs w:val="32"/>
          <w:highlight w:val="none"/>
          <w:lang w:val="en-US" w:eastAsia="zh-CN"/>
        </w:rPr>
        <w:t>5</w:t>
      </w:r>
      <w:r>
        <w:rPr>
          <w:rFonts w:hint="default" w:ascii="Times New Roman" w:hAnsi="Times New Roman" w:eastAsia="仿宋_GB2312" w:cs="Times New Roman"/>
          <w:b w:val="0"/>
          <w:bCs w:val="0"/>
          <w:color w:val="000000"/>
          <w:sz w:val="32"/>
          <w:szCs w:val="32"/>
          <w:highlight w:val="none"/>
        </w:rPr>
        <w:t>年共下达攀枝花市医疗服务与保障能力提升</w:t>
      </w:r>
      <w:r>
        <w:rPr>
          <w:rFonts w:hint="eastAsia" w:ascii="Times New Roman" w:hAnsi="Times New Roman" w:cs="Times New Roman"/>
          <w:b w:val="0"/>
          <w:bCs w:val="0"/>
          <w:color w:val="000000"/>
          <w:sz w:val="32"/>
          <w:szCs w:val="32"/>
          <w:highlight w:val="none"/>
          <w:lang w:eastAsia="zh-CN"/>
        </w:rPr>
        <w:t>中央财政</w:t>
      </w:r>
      <w:r>
        <w:rPr>
          <w:rFonts w:hint="default" w:ascii="Times New Roman" w:hAnsi="Times New Roman" w:eastAsia="仿宋_GB2312" w:cs="Times New Roman"/>
          <w:b w:val="0"/>
          <w:bCs w:val="0"/>
          <w:color w:val="000000"/>
          <w:sz w:val="32"/>
          <w:szCs w:val="32"/>
          <w:highlight w:val="none"/>
        </w:rPr>
        <w:t>补助资金</w:t>
      </w:r>
      <w:r>
        <w:rPr>
          <w:rFonts w:hint="default" w:ascii="Times New Roman" w:hAnsi="Times New Roman" w:eastAsia="仿宋_GB2312" w:cs="Times New Roman"/>
          <w:b w:val="0"/>
          <w:bCs w:val="0"/>
          <w:color w:val="000000"/>
          <w:sz w:val="32"/>
          <w:szCs w:val="32"/>
          <w:highlight w:val="none"/>
          <w:lang w:val="en-US" w:eastAsia="zh-CN"/>
        </w:rPr>
        <w:t>148.20</w:t>
      </w:r>
      <w:r>
        <w:rPr>
          <w:rFonts w:hint="default" w:ascii="Times New Roman" w:hAnsi="Times New Roman" w:eastAsia="仿宋_GB2312" w:cs="Times New Roman"/>
          <w:b w:val="0"/>
          <w:bCs w:val="0"/>
          <w:color w:val="000000"/>
          <w:sz w:val="32"/>
          <w:szCs w:val="32"/>
          <w:highlight w:val="none"/>
        </w:rPr>
        <w:t>万元。</w:t>
      </w:r>
    </w:p>
    <w:p w14:paraId="30B77259">
      <w:pPr>
        <w:spacing w:line="578" w:lineRule="exact"/>
        <w:ind w:firstLine="640" w:firstLineChars="200"/>
        <w:rPr>
          <w:rFonts w:hint="default" w:ascii="Times New Roman" w:hAnsi="Times New Roman" w:eastAsia="仿宋_GB2312" w:cs="Times New Roman"/>
          <w:b w:val="0"/>
          <w:bCs w:val="0"/>
          <w:color w:val="000000"/>
          <w:sz w:val="32"/>
          <w:szCs w:val="32"/>
          <w:highlight w:val="none"/>
        </w:rPr>
      </w:pPr>
      <w:r>
        <w:rPr>
          <w:rFonts w:hint="default" w:ascii="Times New Roman" w:hAnsi="Times New Roman" w:eastAsia="楷体_GB2312" w:cs="Times New Roman"/>
          <w:b w:val="0"/>
          <w:bCs w:val="0"/>
          <w:szCs w:val="32"/>
          <w:lang w:val="zh-CN"/>
        </w:rPr>
        <w:t>（二）202</w:t>
      </w:r>
      <w:r>
        <w:rPr>
          <w:rFonts w:hint="default" w:ascii="Times New Roman" w:hAnsi="Times New Roman" w:eastAsia="楷体_GB2312" w:cs="Times New Roman"/>
          <w:b w:val="0"/>
          <w:bCs w:val="0"/>
          <w:szCs w:val="32"/>
          <w:lang w:val="zh-CN" w:eastAsia="zh-CN"/>
        </w:rPr>
        <w:t>5</w:t>
      </w:r>
      <w:r>
        <w:rPr>
          <w:rFonts w:hint="default" w:ascii="Times New Roman" w:hAnsi="Times New Roman" w:eastAsia="楷体_GB2312" w:cs="Times New Roman"/>
          <w:b w:val="0"/>
          <w:bCs w:val="0"/>
          <w:szCs w:val="32"/>
          <w:lang w:val="zh-CN"/>
        </w:rPr>
        <w:t>年度资金支付情况。</w:t>
      </w:r>
    </w:p>
    <w:p w14:paraId="7A40A968">
      <w:pPr>
        <w:spacing w:line="578" w:lineRule="exact"/>
        <w:ind w:firstLine="640" w:firstLineChars="200"/>
        <w:rPr>
          <w:rFonts w:hint="default" w:ascii="Times New Roman" w:hAnsi="Times New Roman" w:eastAsia="仿宋_GB2312" w:cs="Times New Roman"/>
          <w:b w:val="0"/>
          <w:bCs w:val="0"/>
          <w:color w:val="000000"/>
          <w:sz w:val="32"/>
          <w:szCs w:val="32"/>
          <w:highlight w:val="none"/>
        </w:rPr>
      </w:pPr>
      <w:r>
        <w:rPr>
          <w:rFonts w:hint="default" w:ascii="Times New Roman" w:hAnsi="Times New Roman" w:eastAsia="仿宋_GB2312" w:cs="Times New Roman"/>
          <w:b w:val="0"/>
          <w:bCs w:val="0"/>
          <w:color w:val="000000"/>
          <w:sz w:val="32"/>
          <w:szCs w:val="32"/>
          <w:highlight w:val="none"/>
        </w:rPr>
        <w:t>202</w:t>
      </w:r>
      <w:r>
        <w:rPr>
          <w:rFonts w:hint="default" w:ascii="Times New Roman" w:hAnsi="Times New Roman" w:eastAsia="仿宋_GB2312" w:cs="Times New Roman"/>
          <w:b w:val="0"/>
          <w:bCs w:val="0"/>
          <w:color w:val="000000"/>
          <w:sz w:val="32"/>
          <w:szCs w:val="32"/>
          <w:highlight w:val="none"/>
          <w:lang w:val="en-US" w:eastAsia="zh-CN"/>
        </w:rPr>
        <w:t>5</w:t>
      </w:r>
      <w:r>
        <w:rPr>
          <w:rFonts w:hint="default" w:ascii="Times New Roman" w:hAnsi="Times New Roman" w:eastAsia="仿宋_GB2312" w:cs="Times New Roman"/>
          <w:b w:val="0"/>
          <w:bCs w:val="0"/>
          <w:color w:val="000000"/>
          <w:sz w:val="32"/>
          <w:szCs w:val="32"/>
          <w:highlight w:val="none"/>
        </w:rPr>
        <w:t>年，该项目资金上年结转</w:t>
      </w:r>
      <w:r>
        <w:rPr>
          <w:rFonts w:hint="default" w:ascii="Times New Roman" w:hAnsi="Times New Roman" w:eastAsia="仿宋_GB2312" w:cs="Times New Roman"/>
          <w:b w:val="0"/>
          <w:bCs w:val="0"/>
          <w:color w:val="000000"/>
          <w:sz w:val="32"/>
          <w:szCs w:val="32"/>
          <w:highlight w:val="none"/>
          <w:lang w:val="en-US" w:eastAsia="zh-CN"/>
        </w:rPr>
        <w:t>1.28</w:t>
      </w:r>
      <w:r>
        <w:rPr>
          <w:rFonts w:hint="default" w:ascii="Times New Roman" w:hAnsi="Times New Roman" w:eastAsia="仿宋_GB2312" w:cs="Times New Roman"/>
          <w:b w:val="0"/>
          <w:bCs w:val="0"/>
          <w:color w:val="000000"/>
          <w:sz w:val="32"/>
          <w:szCs w:val="32"/>
          <w:highlight w:val="none"/>
        </w:rPr>
        <w:t>万元，当年下达</w:t>
      </w:r>
      <w:r>
        <w:rPr>
          <w:rFonts w:hint="default" w:ascii="Times New Roman" w:hAnsi="Times New Roman" w:eastAsia="仿宋_GB2312" w:cs="Times New Roman"/>
          <w:b w:val="0"/>
          <w:bCs w:val="0"/>
          <w:color w:val="000000"/>
          <w:sz w:val="32"/>
          <w:szCs w:val="32"/>
          <w:highlight w:val="none"/>
          <w:lang w:val="en-US" w:eastAsia="zh-CN"/>
        </w:rPr>
        <w:t>146.92</w:t>
      </w:r>
      <w:r>
        <w:rPr>
          <w:rFonts w:hint="default" w:ascii="Times New Roman" w:hAnsi="Times New Roman" w:eastAsia="仿宋_GB2312" w:cs="Times New Roman"/>
          <w:b w:val="0"/>
          <w:bCs w:val="0"/>
          <w:color w:val="000000"/>
          <w:sz w:val="32"/>
          <w:szCs w:val="32"/>
          <w:highlight w:val="none"/>
        </w:rPr>
        <w:t>万元，实际支出</w:t>
      </w:r>
      <w:r>
        <w:rPr>
          <w:rFonts w:hint="default" w:ascii="Times New Roman" w:hAnsi="Times New Roman" w:eastAsia="仿宋_GB2312" w:cs="Times New Roman"/>
          <w:b w:val="0"/>
          <w:bCs w:val="0"/>
          <w:color w:val="000000"/>
          <w:sz w:val="32"/>
          <w:szCs w:val="32"/>
          <w:highlight w:val="none"/>
          <w:lang w:val="en-US" w:eastAsia="zh-CN"/>
        </w:rPr>
        <w:t>135.19</w:t>
      </w:r>
      <w:r>
        <w:rPr>
          <w:rFonts w:hint="default" w:ascii="Times New Roman" w:hAnsi="Times New Roman" w:eastAsia="仿宋_GB2312" w:cs="Times New Roman"/>
          <w:b w:val="0"/>
          <w:bCs w:val="0"/>
          <w:color w:val="000000"/>
          <w:sz w:val="32"/>
          <w:szCs w:val="32"/>
          <w:highlight w:val="none"/>
        </w:rPr>
        <w:t>万元，资金预算执行率为</w:t>
      </w:r>
      <w:r>
        <w:rPr>
          <w:rFonts w:hint="default" w:ascii="Times New Roman" w:hAnsi="Times New Roman" w:eastAsia="仿宋_GB2312" w:cs="Times New Roman"/>
          <w:b w:val="0"/>
          <w:bCs w:val="0"/>
          <w:color w:val="000000"/>
          <w:sz w:val="32"/>
          <w:szCs w:val="32"/>
          <w:highlight w:val="none"/>
          <w:lang w:val="en-US" w:eastAsia="zh-CN"/>
        </w:rPr>
        <w:t>91.2</w:t>
      </w:r>
      <w:r>
        <w:rPr>
          <w:rFonts w:hint="default" w:ascii="Times New Roman" w:hAnsi="Times New Roman" w:eastAsia="仿宋_GB2312" w:cs="Times New Roman"/>
          <w:b w:val="0"/>
          <w:bCs w:val="0"/>
          <w:color w:val="000000"/>
          <w:sz w:val="32"/>
          <w:szCs w:val="32"/>
          <w:highlight w:val="none"/>
        </w:rPr>
        <w:t>2%。主要用于医保政策宣传、基金监管、经办服务提升、医药服务价格调整、干部培训和医保信息化标准化建设等。</w:t>
      </w:r>
    </w:p>
    <w:p w14:paraId="6A2653DA">
      <w:pPr>
        <w:spacing w:line="578" w:lineRule="exact"/>
        <w:ind w:firstLine="640" w:firstLineChars="200"/>
        <w:rPr>
          <w:rFonts w:hint="default" w:ascii="Times New Roman" w:hAnsi="Times New Roman" w:eastAsia="仿宋_GB2312" w:cs="Times New Roman"/>
          <w:b w:val="0"/>
          <w:bCs w:val="0"/>
          <w:color w:val="000000"/>
          <w:sz w:val="32"/>
          <w:szCs w:val="32"/>
          <w:highlight w:val="none"/>
        </w:rPr>
      </w:pPr>
      <w:r>
        <w:rPr>
          <w:rFonts w:hint="default" w:ascii="Times New Roman" w:hAnsi="Times New Roman" w:eastAsia="楷体_GB2312" w:cs="Times New Roman"/>
          <w:b w:val="0"/>
          <w:bCs w:val="0"/>
          <w:szCs w:val="32"/>
          <w:lang w:val="zh-CN"/>
        </w:rPr>
        <w:t>（三）</w:t>
      </w:r>
      <w:r>
        <w:rPr>
          <w:rFonts w:hint="default" w:ascii="Times New Roman" w:hAnsi="Times New Roman" w:eastAsia="楷体_GB2312" w:cs="Times New Roman"/>
          <w:b w:val="0"/>
          <w:bCs w:val="0"/>
          <w:szCs w:val="32"/>
          <w:lang w:val="zh-CN" w:eastAsia="zh-CN"/>
        </w:rPr>
        <w:t>2025</w:t>
      </w:r>
      <w:r>
        <w:rPr>
          <w:rFonts w:hint="default" w:ascii="Times New Roman" w:hAnsi="Times New Roman" w:eastAsia="楷体_GB2312" w:cs="Times New Roman"/>
          <w:b w:val="0"/>
          <w:bCs w:val="0"/>
          <w:szCs w:val="32"/>
          <w:lang w:val="zh-CN"/>
        </w:rPr>
        <w:t>年末资金结转结余情况。</w:t>
      </w:r>
    </w:p>
    <w:p w14:paraId="41E29966">
      <w:pPr>
        <w:spacing w:line="578" w:lineRule="exact"/>
        <w:ind w:firstLine="640" w:firstLineChars="200"/>
        <w:rPr>
          <w:rFonts w:hint="default" w:ascii="Times New Roman" w:hAnsi="Times New Roman" w:eastAsia="仿宋_GB2312" w:cs="Times New Roman"/>
          <w:b w:val="0"/>
          <w:bCs w:val="0"/>
          <w:color w:val="000000"/>
          <w:sz w:val="32"/>
          <w:szCs w:val="32"/>
          <w:highlight w:val="none"/>
        </w:rPr>
      </w:pPr>
      <w:r>
        <w:rPr>
          <w:rFonts w:hint="default" w:ascii="Times New Roman" w:hAnsi="Times New Roman" w:eastAsia="仿宋_GB2312" w:cs="Times New Roman"/>
          <w:b w:val="0"/>
          <w:bCs w:val="0"/>
          <w:color w:val="000000"/>
          <w:sz w:val="32"/>
          <w:szCs w:val="32"/>
          <w:highlight w:val="none"/>
          <w:lang w:eastAsia="zh-CN"/>
        </w:rPr>
        <w:t>2025</w:t>
      </w:r>
      <w:r>
        <w:rPr>
          <w:rFonts w:hint="default" w:ascii="Times New Roman" w:hAnsi="Times New Roman" w:eastAsia="仿宋_GB2312" w:cs="Times New Roman"/>
          <w:b w:val="0"/>
          <w:bCs w:val="0"/>
          <w:color w:val="000000"/>
          <w:sz w:val="32"/>
          <w:szCs w:val="32"/>
          <w:highlight w:val="none"/>
        </w:rPr>
        <w:t>年年末医疗服务与保障能力提升</w:t>
      </w:r>
      <w:r>
        <w:rPr>
          <w:rFonts w:hint="eastAsia" w:ascii="Times New Roman" w:hAnsi="Times New Roman" w:cs="Times New Roman"/>
          <w:b w:val="0"/>
          <w:bCs w:val="0"/>
          <w:color w:val="000000"/>
          <w:sz w:val="32"/>
          <w:szCs w:val="32"/>
          <w:highlight w:val="none"/>
          <w:lang w:eastAsia="zh-CN"/>
        </w:rPr>
        <w:t>中央财政</w:t>
      </w:r>
      <w:r>
        <w:rPr>
          <w:rFonts w:hint="default" w:ascii="Times New Roman" w:hAnsi="Times New Roman" w:eastAsia="仿宋_GB2312" w:cs="Times New Roman"/>
          <w:b w:val="0"/>
          <w:bCs w:val="0"/>
          <w:color w:val="000000"/>
          <w:sz w:val="32"/>
          <w:szCs w:val="32"/>
          <w:highlight w:val="none"/>
        </w:rPr>
        <w:t>补助资金结余</w:t>
      </w:r>
      <w:r>
        <w:rPr>
          <w:rFonts w:hint="default" w:ascii="Times New Roman" w:hAnsi="Times New Roman" w:eastAsia="仿宋_GB2312" w:cs="Times New Roman"/>
          <w:b w:val="0"/>
          <w:bCs w:val="0"/>
          <w:color w:val="000000"/>
          <w:sz w:val="32"/>
          <w:szCs w:val="32"/>
          <w:highlight w:val="none"/>
          <w:lang w:val="en-US" w:eastAsia="zh-CN"/>
        </w:rPr>
        <w:t>13.01</w:t>
      </w:r>
      <w:r>
        <w:rPr>
          <w:rFonts w:hint="default" w:ascii="Times New Roman" w:hAnsi="Times New Roman" w:eastAsia="仿宋_GB2312" w:cs="Times New Roman"/>
          <w:b w:val="0"/>
          <w:bCs w:val="0"/>
          <w:color w:val="000000"/>
          <w:sz w:val="32"/>
          <w:szCs w:val="32"/>
          <w:highlight w:val="none"/>
        </w:rPr>
        <w:t>万元。</w:t>
      </w:r>
    </w:p>
    <w:p w14:paraId="39F95E43">
      <w:pPr>
        <w:numPr>
          <w:ilvl w:val="0"/>
          <w:numId w:val="2"/>
        </w:numPr>
        <w:spacing w:line="578" w:lineRule="exact"/>
        <w:ind w:firstLine="640" w:firstLineChars="200"/>
        <w:rPr>
          <w:rFonts w:hint="default" w:ascii="Times New Roman" w:hAnsi="Times New Roman" w:eastAsia="黑体" w:cs="Times New Roman"/>
          <w:b w:val="0"/>
          <w:bCs w:val="0"/>
          <w:color w:val="000000"/>
          <w:sz w:val="32"/>
          <w:szCs w:val="32"/>
          <w:highlight w:val="none"/>
        </w:rPr>
      </w:pPr>
      <w:r>
        <w:rPr>
          <w:rFonts w:hint="default" w:ascii="Times New Roman" w:hAnsi="Times New Roman" w:eastAsia="黑体" w:cs="Times New Roman"/>
          <w:b w:val="0"/>
          <w:bCs w:val="0"/>
          <w:color w:val="000000"/>
          <w:sz w:val="32"/>
          <w:szCs w:val="32"/>
          <w:highlight w:val="none"/>
        </w:rPr>
        <w:t>支出情况分析</w:t>
      </w:r>
    </w:p>
    <w:p w14:paraId="7C38B667">
      <w:pPr>
        <w:numPr>
          <w:ilvl w:val="0"/>
          <w:numId w:val="0"/>
        </w:numPr>
        <w:spacing w:line="578" w:lineRule="exact"/>
        <w:ind w:firstLine="640" w:firstLineChars="200"/>
        <w:rPr>
          <w:rFonts w:hint="default" w:ascii="Times New Roman" w:hAnsi="Times New Roman" w:eastAsia="黑体" w:cs="Times New Roman"/>
          <w:b w:val="0"/>
          <w:bCs w:val="0"/>
          <w:color w:val="000000"/>
          <w:sz w:val="32"/>
          <w:szCs w:val="32"/>
          <w:highlight w:val="none"/>
        </w:rPr>
      </w:pPr>
      <w:r>
        <w:rPr>
          <w:rFonts w:hint="default" w:ascii="Times New Roman" w:hAnsi="Times New Roman" w:eastAsia="楷体_GB2312" w:cs="Times New Roman"/>
          <w:b w:val="0"/>
          <w:bCs w:val="0"/>
          <w:szCs w:val="32"/>
          <w:lang w:val="zh-CN"/>
        </w:rPr>
        <w:t>（一）总体绩效目标完成情况分析。</w:t>
      </w:r>
    </w:p>
    <w:p w14:paraId="7E820C89">
      <w:pPr>
        <w:spacing w:line="578" w:lineRule="exact"/>
        <w:ind w:firstLine="640" w:firstLineChars="200"/>
        <w:rPr>
          <w:rFonts w:hint="default" w:ascii="Times New Roman" w:hAnsi="Times New Roman" w:eastAsia="仿宋_GB2312" w:cs="Times New Roman"/>
          <w:b w:val="0"/>
          <w:bCs w:val="0"/>
          <w:color w:val="000000"/>
          <w:sz w:val="32"/>
          <w:szCs w:val="32"/>
          <w:highlight w:val="none"/>
        </w:rPr>
      </w:pPr>
      <w:r>
        <w:rPr>
          <w:rFonts w:hint="default" w:ascii="Times New Roman" w:hAnsi="Times New Roman" w:eastAsia="仿宋_GB2312" w:cs="Times New Roman"/>
          <w:b w:val="0"/>
          <w:bCs w:val="0"/>
          <w:color w:val="000000"/>
          <w:sz w:val="32"/>
          <w:szCs w:val="32"/>
          <w:highlight w:val="none"/>
          <w:lang w:eastAsia="zh-CN"/>
        </w:rPr>
        <w:t>2025</w:t>
      </w:r>
      <w:r>
        <w:rPr>
          <w:rFonts w:hint="default" w:ascii="Times New Roman" w:hAnsi="Times New Roman" w:eastAsia="仿宋_GB2312" w:cs="Times New Roman"/>
          <w:b w:val="0"/>
          <w:bCs w:val="0"/>
          <w:color w:val="000000"/>
          <w:sz w:val="32"/>
          <w:szCs w:val="32"/>
          <w:highlight w:val="none"/>
        </w:rPr>
        <w:t>年，以习近平新时代中国特色社会主义思想为指导，认真落实国家、省决策部署，按照资金绩效总体目标要求，认真组织</w:t>
      </w:r>
      <w:r>
        <w:rPr>
          <w:rFonts w:hint="default" w:ascii="Times New Roman" w:hAnsi="Times New Roman" w:eastAsia="仿宋_GB2312" w:cs="Times New Roman"/>
          <w:b w:val="0"/>
          <w:bCs w:val="0"/>
          <w:color w:val="auto"/>
          <w:sz w:val="32"/>
          <w:szCs w:val="32"/>
          <w:highlight w:val="none"/>
        </w:rPr>
        <w:t>实施医保重点改革项目。通过稳步落实药品医用耗材集采政策</w:t>
      </w:r>
      <w:r>
        <w:rPr>
          <w:rFonts w:hint="default" w:ascii="Times New Roman" w:hAnsi="Times New Roman" w:eastAsia="仿宋_GB2312" w:cs="Times New Roman"/>
          <w:b w:val="0"/>
          <w:bCs w:val="0"/>
          <w:color w:val="auto"/>
          <w:sz w:val="32"/>
          <w:szCs w:val="32"/>
          <w:highlight w:val="none"/>
          <w:shd w:val="clear" w:color="000000" w:fill="FFFFFF"/>
        </w:rPr>
        <w:t>，持续</w:t>
      </w:r>
      <w:r>
        <w:rPr>
          <w:rFonts w:hint="default" w:ascii="Times New Roman" w:hAnsi="Times New Roman" w:eastAsia="仿宋_GB2312" w:cs="Times New Roman"/>
          <w:b w:val="0"/>
          <w:bCs w:val="0"/>
          <w:color w:val="auto"/>
          <w:sz w:val="32"/>
          <w:szCs w:val="32"/>
          <w:highlight w:val="none"/>
        </w:rPr>
        <w:t>加强医药服务和价格管理，全面深化医保支付方式改革</w:t>
      </w:r>
      <w:r>
        <w:rPr>
          <w:rFonts w:hint="default" w:ascii="Times New Roman" w:hAnsi="Times New Roman" w:eastAsia="仿宋_GB2312" w:cs="Times New Roman"/>
          <w:b w:val="0"/>
          <w:bCs w:val="0"/>
          <w:color w:val="auto"/>
          <w:sz w:val="32"/>
          <w:szCs w:val="32"/>
          <w:highlight w:val="none"/>
          <w:shd w:val="clear" w:color="000000" w:fill="FFFFFF"/>
        </w:rPr>
        <w:t>，</w:t>
      </w:r>
      <w:r>
        <w:rPr>
          <w:rFonts w:hint="default" w:ascii="Times New Roman" w:hAnsi="Times New Roman" w:eastAsia="仿宋_GB2312" w:cs="Times New Roman"/>
          <w:b w:val="0"/>
          <w:bCs w:val="0"/>
          <w:color w:val="000000"/>
          <w:sz w:val="32"/>
          <w:szCs w:val="32"/>
          <w:highlight w:val="none"/>
        </w:rPr>
        <w:t>奋力提升医保公共服务，持续加大医保基金监管力度，不断完善医保信息化标准化建设等，有效提升了我市医疗保障服务能力，切实发挥了中央转移资金使用效益，如期完成了</w:t>
      </w:r>
      <w:r>
        <w:rPr>
          <w:rFonts w:hint="default" w:ascii="Times New Roman" w:hAnsi="Times New Roman" w:eastAsia="仿宋_GB2312" w:cs="Times New Roman"/>
          <w:b w:val="0"/>
          <w:bCs w:val="0"/>
          <w:color w:val="000000"/>
          <w:sz w:val="32"/>
          <w:szCs w:val="32"/>
          <w:highlight w:val="none"/>
          <w:lang w:eastAsia="zh-CN"/>
        </w:rPr>
        <w:t>2025</w:t>
      </w:r>
      <w:r>
        <w:rPr>
          <w:rFonts w:hint="default" w:ascii="Times New Roman" w:hAnsi="Times New Roman" w:eastAsia="仿宋_GB2312" w:cs="Times New Roman"/>
          <w:b w:val="0"/>
          <w:bCs w:val="0"/>
          <w:color w:val="000000"/>
          <w:sz w:val="32"/>
          <w:szCs w:val="32"/>
          <w:highlight w:val="none"/>
        </w:rPr>
        <w:t>年度总体绩效目标。</w:t>
      </w:r>
    </w:p>
    <w:p w14:paraId="1BDECE69">
      <w:pPr>
        <w:numPr>
          <w:ilvl w:val="0"/>
          <w:numId w:val="3"/>
        </w:numPr>
        <w:spacing w:line="578" w:lineRule="exact"/>
        <w:ind w:firstLine="640" w:firstLineChars="200"/>
        <w:outlineLvl w:val="0"/>
        <w:rPr>
          <w:rFonts w:hint="default" w:ascii="Times New Roman" w:hAnsi="Times New Roman" w:eastAsia="楷体_GB2312" w:cs="Times New Roman"/>
          <w:b w:val="0"/>
          <w:bCs w:val="0"/>
          <w:color w:val="000000"/>
          <w:sz w:val="32"/>
          <w:szCs w:val="32"/>
          <w:highlight w:val="none"/>
        </w:rPr>
      </w:pPr>
      <w:r>
        <w:rPr>
          <w:rFonts w:hint="default" w:ascii="Times New Roman" w:hAnsi="Times New Roman" w:eastAsia="楷体_GB2312" w:cs="Times New Roman"/>
          <w:b w:val="0"/>
          <w:bCs w:val="0"/>
          <w:color w:val="000000"/>
          <w:sz w:val="32"/>
          <w:szCs w:val="32"/>
          <w:highlight w:val="none"/>
        </w:rPr>
        <w:t>绩效指标完成情况分析。</w:t>
      </w:r>
    </w:p>
    <w:p w14:paraId="4F5CBD21">
      <w:pPr>
        <w:overflowPunct w:val="0"/>
        <w:adjustRightInd w:val="0"/>
        <w:snapToGrid w:val="0"/>
        <w:spacing w:line="360" w:lineRule="auto"/>
        <w:ind w:firstLine="640" w:firstLineChars="200"/>
        <w:rPr>
          <w:rFonts w:ascii="Times New Roman" w:hAnsi="Times New Roman" w:eastAsia="仿宋_GB2312" w:cs="Times New Roman"/>
          <w:b w:val="0"/>
          <w:bCs w:val="0"/>
          <w:color w:val="000000"/>
          <w:sz w:val="32"/>
          <w:szCs w:val="32"/>
          <w:highlight w:val="none"/>
        </w:rPr>
      </w:pPr>
      <w:r>
        <w:rPr>
          <w:rFonts w:hint="default" w:ascii="Times New Roman" w:hAnsi="Times New Roman" w:eastAsia="仿宋_GB2312" w:cs="Times New Roman"/>
          <w:b w:val="0"/>
          <w:bCs w:val="0"/>
          <w:sz w:val="32"/>
          <w:szCs w:val="32"/>
          <w:highlight w:val="none"/>
        </w:rPr>
        <w:t>1.基本医保参保</w:t>
      </w:r>
      <w:r>
        <w:rPr>
          <w:rFonts w:hint="default" w:ascii="Times New Roman" w:hAnsi="Times New Roman" w:eastAsia="仿宋_GB2312" w:cs="Times New Roman"/>
          <w:b w:val="0"/>
          <w:bCs w:val="0"/>
          <w:sz w:val="32"/>
          <w:szCs w:val="32"/>
          <w:highlight w:val="none"/>
          <w:lang w:val="en-US" w:eastAsia="zh-CN"/>
        </w:rPr>
        <w:t>人数</w:t>
      </w:r>
      <w:r>
        <w:rPr>
          <w:rFonts w:ascii="Times New Roman" w:hAnsi="Times New Roman" w:eastAsia="仿宋_GB2312" w:cs="Times New Roman"/>
          <w:b w:val="0"/>
          <w:bCs w:val="0"/>
          <w:sz w:val="32"/>
          <w:szCs w:val="32"/>
          <w:highlight w:val="none"/>
        </w:rPr>
        <w:t>。</w:t>
      </w:r>
      <w:bookmarkStart w:id="0" w:name="OLE_LINK15"/>
      <w:bookmarkStart w:id="1" w:name="OLE_LINK16"/>
      <w:r>
        <w:rPr>
          <w:rFonts w:hint="default" w:ascii="Times New Roman" w:hAnsi="Times New Roman" w:eastAsia="仿宋_GB2312" w:cs="Times New Roman"/>
          <w:b w:val="0"/>
          <w:bCs w:val="0"/>
          <w:sz w:val="32"/>
          <w:szCs w:val="32"/>
          <w:highlight w:val="none"/>
          <w:lang w:val="en-US" w:eastAsia="zh-CN"/>
        </w:rPr>
        <w:t>指标值110万人，完成值109.</w:t>
      </w:r>
      <w:r>
        <w:rPr>
          <w:rFonts w:hint="eastAsia" w:ascii="Times New Roman" w:hAnsi="Times New Roman" w:cs="Times New Roman"/>
          <w:b w:val="0"/>
          <w:bCs w:val="0"/>
          <w:sz w:val="32"/>
          <w:szCs w:val="32"/>
          <w:highlight w:val="none"/>
          <w:lang w:val="en-US" w:eastAsia="zh-CN"/>
        </w:rPr>
        <w:t>8</w:t>
      </w:r>
      <w:r>
        <w:rPr>
          <w:rFonts w:hint="default" w:ascii="Times New Roman" w:hAnsi="Times New Roman" w:eastAsia="仿宋_GB2312" w:cs="Times New Roman"/>
          <w:b w:val="0"/>
          <w:bCs w:val="0"/>
          <w:sz w:val="32"/>
          <w:szCs w:val="32"/>
          <w:highlight w:val="none"/>
          <w:lang w:val="en-US" w:eastAsia="zh-CN"/>
        </w:rPr>
        <w:t>万人，</w:t>
      </w:r>
      <w:r>
        <w:rPr>
          <w:rFonts w:ascii="Times New Roman" w:hAnsi="Times New Roman" w:eastAsia="仿宋_GB2312" w:cs="Times New Roman"/>
          <w:b w:val="0"/>
          <w:bCs w:val="0"/>
          <w:sz w:val="32"/>
          <w:szCs w:val="32"/>
          <w:highlight w:val="none"/>
        </w:rPr>
        <w:t>得</w:t>
      </w:r>
      <w:r>
        <w:rPr>
          <w:rFonts w:hint="eastAsia" w:ascii="Times New Roman" w:hAnsi="Times New Roman" w:cs="Times New Roman"/>
          <w:b w:val="0"/>
          <w:bCs w:val="0"/>
          <w:sz w:val="32"/>
          <w:szCs w:val="32"/>
          <w:highlight w:val="none"/>
          <w:lang w:eastAsia="zh-CN"/>
        </w:rPr>
        <w:t>分</w:t>
      </w:r>
      <w:r>
        <w:rPr>
          <w:rFonts w:hint="default" w:ascii="Times New Roman" w:hAnsi="Times New Roman" w:eastAsia="仿宋_GB2312" w:cs="Times New Roman"/>
          <w:b w:val="0"/>
          <w:bCs w:val="0"/>
          <w:sz w:val="32"/>
          <w:szCs w:val="32"/>
          <w:highlight w:val="none"/>
          <w:lang w:val="en-US" w:eastAsia="zh-CN"/>
        </w:rPr>
        <w:t>4.</w:t>
      </w:r>
      <w:r>
        <w:rPr>
          <w:rFonts w:hint="eastAsia" w:ascii="Times New Roman" w:hAnsi="Times New Roman" w:cs="Times New Roman"/>
          <w:b w:val="0"/>
          <w:bCs w:val="0"/>
          <w:sz w:val="32"/>
          <w:szCs w:val="32"/>
          <w:highlight w:val="none"/>
          <w:lang w:val="en-US" w:eastAsia="zh-CN"/>
        </w:rPr>
        <w:t>98</w:t>
      </w:r>
      <w:r>
        <w:rPr>
          <w:rFonts w:hint="default" w:ascii="Times New Roman" w:hAnsi="Times New Roman" w:eastAsia="仿宋_GB2312" w:cs="Times New Roman"/>
          <w:b w:val="0"/>
          <w:bCs w:val="0"/>
          <w:sz w:val="32"/>
          <w:szCs w:val="32"/>
          <w:highlight w:val="none"/>
        </w:rPr>
        <w:t>分</w:t>
      </w:r>
      <w:bookmarkEnd w:id="0"/>
      <w:bookmarkEnd w:id="1"/>
      <w:r>
        <w:rPr>
          <w:rFonts w:hint="default" w:ascii="Times New Roman" w:hAnsi="Times New Roman" w:eastAsia="仿宋_GB2312" w:cs="Times New Roman"/>
          <w:b w:val="0"/>
          <w:bCs w:val="0"/>
          <w:color w:val="000000"/>
          <w:sz w:val="32"/>
          <w:szCs w:val="32"/>
          <w:highlight w:val="none"/>
        </w:rPr>
        <w:t>。</w:t>
      </w:r>
    </w:p>
    <w:p w14:paraId="1354BC98">
      <w:pPr>
        <w:overflowPunct w:val="0"/>
        <w:adjustRightInd w:val="0"/>
        <w:snapToGrid w:val="0"/>
        <w:spacing w:line="360" w:lineRule="auto"/>
        <w:ind w:firstLine="640" w:firstLineChars="200"/>
        <w:rPr>
          <w:rFonts w:hint="default" w:ascii="Times New Roman" w:hAnsi="Times New Roman" w:eastAsia="仿宋_GB2312" w:cs="Times New Roman"/>
          <w:b w:val="0"/>
          <w:bCs w:val="0"/>
          <w:color w:val="000000"/>
          <w:sz w:val="32"/>
          <w:szCs w:val="32"/>
          <w:highlight w:val="none"/>
        </w:rPr>
      </w:pPr>
      <w:r>
        <w:rPr>
          <w:rFonts w:hint="default" w:ascii="Times New Roman" w:hAnsi="Times New Roman" w:eastAsia="仿宋_GB2312" w:cs="Times New Roman"/>
          <w:b w:val="0"/>
          <w:bCs w:val="0"/>
          <w:color w:val="000000"/>
          <w:sz w:val="32"/>
          <w:szCs w:val="32"/>
          <w:highlight w:val="none"/>
        </w:rPr>
        <w:t>2.村（社区）级医保服务、有网点提供帮办、代办服务的村（社区）覆盖率为</w:t>
      </w:r>
      <w:r>
        <w:rPr>
          <w:rFonts w:ascii="Times New Roman" w:hAnsi="Times New Roman" w:eastAsia="仿宋_GB2312" w:cs="Times New Roman"/>
          <w:b w:val="0"/>
          <w:bCs w:val="0"/>
          <w:color w:val="000000"/>
          <w:sz w:val="32"/>
          <w:szCs w:val="32"/>
          <w:highlight w:val="none"/>
        </w:rPr>
        <w:t>100%</w:t>
      </w:r>
      <w:r>
        <w:rPr>
          <w:rFonts w:hint="default" w:ascii="Times New Roman" w:hAnsi="Times New Roman" w:eastAsia="仿宋_GB2312" w:cs="Times New Roman"/>
          <w:b w:val="0"/>
          <w:bCs w:val="0"/>
          <w:color w:val="000000"/>
          <w:sz w:val="32"/>
          <w:szCs w:val="32"/>
          <w:highlight w:val="none"/>
        </w:rPr>
        <w:t>，大于</w:t>
      </w:r>
      <w:r>
        <w:rPr>
          <w:rFonts w:ascii="Times New Roman" w:hAnsi="Times New Roman" w:eastAsia="仿宋_GB2312" w:cs="Times New Roman"/>
          <w:b w:val="0"/>
          <w:bCs w:val="0"/>
          <w:color w:val="000000"/>
          <w:sz w:val="32"/>
          <w:szCs w:val="32"/>
          <w:highlight w:val="none"/>
        </w:rPr>
        <w:t>60%</w:t>
      </w:r>
      <w:r>
        <w:rPr>
          <w:rFonts w:hint="default" w:ascii="Times New Roman" w:hAnsi="Times New Roman" w:eastAsia="仿宋_GB2312" w:cs="Times New Roman"/>
          <w:b w:val="0"/>
          <w:bCs w:val="0"/>
          <w:color w:val="000000"/>
          <w:sz w:val="32"/>
          <w:szCs w:val="32"/>
          <w:highlight w:val="none"/>
        </w:rPr>
        <w:t>，得</w:t>
      </w:r>
      <w:r>
        <w:rPr>
          <w:rFonts w:hint="eastAsia" w:ascii="Times New Roman" w:hAnsi="Times New Roman" w:cs="Times New Roman"/>
          <w:b w:val="0"/>
          <w:bCs w:val="0"/>
          <w:sz w:val="32"/>
          <w:szCs w:val="32"/>
          <w:highlight w:val="none"/>
          <w:lang w:eastAsia="zh-CN"/>
        </w:rPr>
        <w:t>分</w:t>
      </w:r>
      <w:r>
        <w:rPr>
          <w:rFonts w:hint="default" w:ascii="Times New Roman" w:hAnsi="Times New Roman" w:eastAsia="仿宋_GB2312" w:cs="Times New Roman"/>
          <w:b w:val="0"/>
          <w:bCs w:val="0"/>
          <w:color w:val="000000"/>
          <w:sz w:val="32"/>
          <w:szCs w:val="32"/>
          <w:highlight w:val="none"/>
          <w:lang w:val="en-US" w:eastAsia="zh-CN"/>
        </w:rPr>
        <w:t>5</w:t>
      </w:r>
      <w:r>
        <w:rPr>
          <w:rFonts w:hint="default" w:ascii="Times New Roman" w:hAnsi="Times New Roman" w:eastAsia="仿宋_GB2312" w:cs="Times New Roman"/>
          <w:b w:val="0"/>
          <w:bCs w:val="0"/>
          <w:color w:val="000000"/>
          <w:sz w:val="32"/>
          <w:szCs w:val="32"/>
          <w:highlight w:val="none"/>
        </w:rPr>
        <w:t>分。</w:t>
      </w:r>
    </w:p>
    <w:p w14:paraId="1826F384">
      <w:pPr>
        <w:overflowPunct w:val="0"/>
        <w:adjustRightInd w:val="0"/>
        <w:snapToGrid w:val="0"/>
        <w:spacing w:line="360" w:lineRule="auto"/>
        <w:ind w:firstLine="640" w:firstLineChars="200"/>
        <w:rPr>
          <w:rFonts w:hint="default" w:ascii="Times New Roman" w:hAnsi="Times New Roman" w:eastAsia="仿宋_GB2312" w:cs="Times New Roman"/>
          <w:b w:val="0"/>
          <w:bCs w:val="0"/>
          <w:color w:val="000000"/>
          <w:sz w:val="32"/>
          <w:szCs w:val="32"/>
          <w:highlight w:val="none"/>
        </w:rPr>
      </w:pPr>
      <w:r>
        <w:rPr>
          <w:rFonts w:hint="default" w:ascii="Times New Roman" w:hAnsi="Times New Roman" w:eastAsia="仿宋_GB2312" w:cs="Times New Roman"/>
          <w:b w:val="0"/>
          <w:bCs w:val="0"/>
          <w:color w:val="000000"/>
          <w:sz w:val="32"/>
          <w:szCs w:val="32"/>
          <w:highlight w:val="none"/>
          <w:lang w:val="en-US" w:eastAsia="zh-CN"/>
        </w:rPr>
        <w:t>3.举办医保信息会。2025年度举办长护险信息会一次，全国医保信息化培训会一次，得</w:t>
      </w:r>
      <w:r>
        <w:rPr>
          <w:rFonts w:hint="eastAsia" w:ascii="Times New Roman" w:hAnsi="Times New Roman" w:cs="Times New Roman"/>
          <w:b w:val="0"/>
          <w:bCs w:val="0"/>
          <w:sz w:val="32"/>
          <w:szCs w:val="32"/>
          <w:highlight w:val="none"/>
          <w:lang w:eastAsia="zh-CN"/>
        </w:rPr>
        <w:t>分</w:t>
      </w:r>
      <w:r>
        <w:rPr>
          <w:rFonts w:hint="default" w:ascii="Times New Roman" w:hAnsi="Times New Roman" w:eastAsia="仿宋_GB2312" w:cs="Times New Roman"/>
          <w:b w:val="0"/>
          <w:bCs w:val="0"/>
          <w:color w:val="000000"/>
          <w:sz w:val="32"/>
          <w:szCs w:val="32"/>
          <w:highlight w:val="none"/>
          <w:lang w:val="en-US" w:eastAsia="zh-CN"/>
        </w:rPr>
        <w:t>5分。</w:t>
      </w:r>
    </w:p>
    <w:p w14:paraId="185906CA">
      <w:pPr>
        <w:overflowPunct w:val="0"/>
        <w:adjustRightInd w:val="0"/>
        <w:snapToGrid w:val="0"/>
        <w:spacing w:line="360" w:lineRule="auto"/>
        <w:ind w:firstLine="640" w:firstLineChars="200"/>
        <w:rPr>
          <w:rFonts w:hint="default" w:ascii="Times New Roman" w:hAnsi="Times New Roman" w:eastAsia="仿宋_GB2312" w:cs="Times New Roman"/>
          <w:b w:val="0"/>
          <w:bCs w:val="0"/>
          <w:color w:val="000000"/>
          <w:sz w:val="32"/>
          <w:szCs w:val="32"/>
          <w:highlight w:val="none"/>
        </w:rPr>
      </w:pPr>
      <w:r>
        <w:rPr>
          <w:rFonts w:hint="default" w:ascii="Times New Roman" w:hAnsi="Times New Roman" w:eastAsia="仿宋_GB2312" w:cs="Times New Roman"/>
          <w:b w:val="0"/>
          <w:bCs w:val="0"/>
          <w:color w:val="000000"/>
          <w:sz w:val="32"/>
          <w:szCs w:val="32"/>
          <w:highlight w:val="none"/>
          <w:lang w:val="en-US" w:eastAsia="zh-CN"/>
        </w:rPr>
        <w:t>4</w:t>
      </w:r>
      <w:r>
        <w:rPr>
          <w:rFonts w:hint="default" w:ascii="Times New Roman" w:hAnsi="Times New Roman" w:eastAsia="仿宋_GB2312" w:cs="Times New Roman"/>
          <w:b w:val="0"/>
          <w:bCs w:val="0"/>
          <w:color w:val="000000"/>
          <w:sz w:val="32"/>
          <w:szCs w:val="32"/>
          <w:highlight w:val="none"/>
        </w:rPr>
        <w:t>.医保信息系统正常运行率100%，大于90%，得分</w:t>
      </w:r>
      <w:r>
        <w:rPr>
          <w:rFonts w:hint="default" w:ascii="Times New Roman" w:hAnsi="Times New Roman" w:eastAsia="仿宋_GB2312" w:cs="Times New Roman"/>
          <w:b w:val="0"/>
          <w:bCs w:val="0"/>
          <w:color w:val="000000"/>
          <w:sz w:val="32"/>
          <w:szCs w:val="32"/>
          <w:highlight w:val="none"/>
          <w:lang w:val="en-US" w:eastAsia="zh-CN"/>
        </w:rPr>
        <w:t>5</w:t>
      </w:r>
      <w:r>
        <w:rPr>
          <w:rFonts w:hint="default" w:ascii="Times New Roman" w:hAnsi="Times New Roman" w:eastAsia="仿宋_GB2312" w:cs="Times New Roman"/>
          <w:b w:val="0"/>
          <w:bCs w:val="0"/>
          <w:color w:val="000000"/>
          <w:sz w:val="32"/>
          <w:szCs w:val="32"/>
          <w:highlight w:val="none"/>
        </w:rPr>
        <w:t>分。</w:t>
      </w:r>
    </w:p>
    <w:p w14:paraId="1D02576A">
      <w:pPr>
        <w:overflowPunct w:val="0"/>
        <w:adjustRightInd w:val="0"/>
        <w:snapToGrid w:val="0"/>
        <w:spacing w:line="360" w:lineRule="auto"/>
        <w:ind w:firstLine="640" w:firstLineChars="200"/>
        <w:rPr>
          <w:rFonts w:hint="default" w:ascii="Times New Roman" w:hAnsi="Times New Roman" w:eastAsia="仿宋_GB2312" w:cs="Times New Roman"/>
          <w:b w:val="0"/>
          <w:bCs w:val="0"/>
          <w:color w:val="000000"/>
          <w:sz w:val="32"/>
          <w:szCs w:val="32"/>
          <w:highlight w:val="none"/>
        </w:rPr>
      </w:pPr>
      <w:r>
        <w:rPr>
          <w:rFonts w:hint="default" w:ascii="Times New Roman" w:hAnsi="Times New Roman" w:eastAsia="仿宋_GB2312" w:cs="Times New Roman"/>
          <w:b w:val="0"/>
          <w:bCs w:val="0"/>
          <w:color w:val="000000"/>
          <w:sz w:val="32"/>
          <w:szCs w:val="32"/>
          <w:highlight w:val="none"/>
          <w:lang w:val="en-US" w:eastAsia="zh-CN"/>
        </w:rPr>
        <w:t>5.</w:t>
      </w:r>
      <w:r>
        <w:rPr>
          <w:rFonts w:hint="default" w:ascii="Times New Roman" w:hAnsi="Times New Roman" w:eastAsia="仿宋_GB2312" w:cs="Times New Roman"/>
          <w:b w:val="0"/>
          <w:bCs w:val="0"/>
          <w:color w:val="000000"/>
          <w:sz w:val="32"/>
          <w:szCs w:val="32"/>
          <w:highlight w:val="none"/>
        </w:rPr>
        <w:t>推进医保支付方式改革。2025年，我市已统一执行四川DRG目录，得</w:t>
      </w:r>
      <w:r>
        <w:rPr>
          <w:rFonts w:hint="eastAsia" w:ascii="Times New Roman" w:hAnsi="Times New Roman" w:cs="Times New Roman"/>
          <w:b w:val="0"/>
          <w:bCs w:val="0"/>
          <w:sz w:val="32"/>
          <w:szCs w:val="32"/>
          <w:highlight w:val="none"/>
          <w:lang w:eastAsia="zh-CN"/>
        </w:rPr>
        <w:t>分</w:t>
      </w:r>
      <w:r>
        <w:rPr>
          <w:rFonts w:hint="default" w:ascii="Times New Roman" w:hAnsi="Times New Roman" w:eastAsia="仿宋_GB2312" w:cs="Times New Roman"/>
          <w:b w:val="0"/>
          <w:bCs w:val="0"/>
          <w:color w:val="000000"/>
          <w:sz w:val="32"/>
          <w:szCs w:val="32"/>
          <w:highlight w:val="none"/>
          <w:lang w:val="en-US" w:eastAsia="zh-CN"/>
        </w:rPr>
        <w:t>5</w:t>
      </w:r>
      <w:r>
        <w:rPr>
          <w:rFonts w:hint="default" w:ascii="Times New Roman" w:hAnsi="Times New Roman" w:eastAsia="仿宋_GB2312" w:cs="Times New Roman"/>
          <w:b w:val="0"/>
          <w:bCs w:val="0"/>
          <w:color w:val="000000"/>
          <w:sz w:val="32"/>
          <w:szCs w:val="32"/>
          <w:highlight w:val="none"/>
        </w:rPr>
        <w:t>分。</w:t>
      </w:r>
    </w:p>
    <w:p w14:paraId="0711D8A5">
      <w:pPr>
        <w:overflowPunct w:val="0"/>
        <w:adjustRightInd w:val="0"/>
        <w:snapToGrid w:val="0"/>
        <w:spacing w:line="360" w:lineRule="auto"/>
        <w:ind w:firstLine="640" w:firstLineChars="200"/>
        <w:rPr>
          <w:rFonts w:hint="default" w:ascii="Times New Roman" w:hAnsi="Times New Roman" w:eastAsia="仿宋_GB2312" w:cs="Times New Roman"/>
          <w:b w:val="0"/>
          <w:bCs w:val="0"/>
          <w:color w:val="000000"/>
          <w:sz w:val="32"/>
          <w:szCs w:val="32"/>
          <w:highlight w:val="none"/>
          <w:lang w:val="en-US" w:eastAsia="zh-CN"/>
        </w:rPr>
      </w:pPr>
      <w:r>
        <w:rPr>
          <w:rFonts w:hint="default" w:ascii="Times New Roman" w:hAnsi="Times New Roman" w:eastAsia="仿宋_GB2312" w:cs="Times New Roman"/>
          <w:b w:val="0"/>
          <w:bCs w:val="0"/>
          <w:color w:val="000000"/>
          <w:sz w:val="32"/>
          <w:szCs w:val="32"/>
          <w:highlight w:val="none"/>
          <w:lang w:val="en-US" w:eastAsia="zh-CN"/>
        </w:rPr>
        <w:t>6.国谈药等相关药品落地数据报送及时率。本年度报送及时率100%，得</w:t>
      </w:r>
      <w:r>
        <w:rPr>
          <w:rFonts w:hint="eastAsia" w:ascii="Times New Roman" w:hAnsi="Times New Roman" w:cs="Times New Roman"/>
          <w:b w:val="0"/>
          <w:bCs w:val="0"/>
          <w:sz w:val="32"/>
          <w:szCs w:val="32"/>
          <w:highlight w:val="none"/>
          <w:lang w:eastAsia="zh-CN"/>
        </w:rPr>
        <w:t>分</w:t>
      </w:r>
      <w:r>
        <w:rPr>
          <w:rFonts w:hint="default" w:ascii="Times New Roman" w:hAnsi="Times New Roman" w:eastAsia="仿宋_GB2312" w:cs="Times New Roman"/>
          <w:b w:val="0"/>
          <w:bCs w:val="0"/>
          <w:color w:val="000000"/>
          <w:sz w:val="32"/>
          <w:szCs w:val="32"/>
          <w:highlight w:val="none"/>
          <w:lang w:val="en-US" w:eastAsia="zh-CN"/>
        </w:rPr>
        <w:t>5分。</w:t>
      </w:r>
    </w:p>
    <w:p w14:paraId="4B1DA531">
      <w:pPr>
        <w:overflowPunct w:val="0"/>
        <w:adjustRightInd w:val="0"/>
        <w:snapToGrid w:val="0"/>
        <w:spacing w:line="360" w:lineRule="auto"/>
        <w:ind w:firstLine="640" w:firstLineChars="200"/>
        <w:rPr>
          <w:rFonts w:hint="default" w:ascii="Times New Roman" w:hAnsi="Times New Roman" w:eastAsia="仿宋_GB2312" w:cs="Times New Roman"/>
          <w:b w:val="0"/>
          <w:bCs w:val="0"/>
          <w:sz w:val="32"/>
          <w:szCs w:val="32"/>
          <w:highlight w:val="none"/>
        </w:rPr>
      </w:pPr>
      <w:r>
        <w:rPr>
          <w:rFonts w:hint="default" w:ascii="Times New Roman" w:hAnsi="Times New Roman" w:eastAsia="仿宋_GB2312" w:cs="Times New Roman"/>
          <w:b w:val="0"/>
          <w:bCs w:val="0"/>
          <w:color w:val="000000"/>
          <w:sz w:val="32"/>
          <w:szCs w:val="32"/>
          <w:highlight w:val="none"/>
          <w:lang w:val="en-US" w:eastAsia="zh-CN"/>
        </w:rPr>
        <w:t>7</w:t>
      </w:r>
      <w:r>
        <w:rPr>
          <w:rFonts w:hint="default" w:ascii="Times New Roman" w:hAnsi="Times New Roman" w:eastAsia="仿宋_GB2312" w:cs="Times New Roman"/>
          <w:b w:val="0"/>
          <w:bCs w:val="0"/>
          <w:color w:val="000000"/>
          <w:sz w:val="32"/>
          <w:szCs w:val="32"/>
          <w:highlight w:val="none"/>
        </w:rPr>
        <w:t>.</w:t>
      </w:r>
      <w:r>
        <w:rPr>
          <w:rFonts w:hint="default" w:ascii="Times New Roman" w:hAnsi="Times New Roman" w:eastAsia="仿宋_GB2312" w:cs="Times New Roman"/>
          <w:b w:val="0"/>
          <w:bCs w:val="0"/>
          <w:sz w:val="32"/>
          <w:szCs w:val="32"/>
          <w:highlight w:val="none"/>
        </w:rPr>
        <w:t>医保目录管理规范性。</w:t>
      </w:r>
      <w:r>
        <w:rPr>
          <w:rFonts w:ascii="Times New Roman" w:hAnsi="Times New Roman" w:eastAsia="仿宋_GB2312" w:cs="Times New Roman"/>
          <w:b w:val="0"/>
          <w:bCs w:val="0"/>
          <w:sz w:val="32"/>
          <w:szCs w:val="32"/>
          <w:highlight w:val="none"/>
        </w:rPr>
        <w:t>202</w:t>
      </w:r>
      <w:r>
        <w:rPr>
          <w:rFonts w:hint="default" w:ascii="Times New Roman" w:hAnsi="Times New Roman" w:eastAsia="仿宋_GB2312" w:cs="Times New Roman"/>
          <w:b w:val="0"/>
          <w:bCs w:val="0"/>
          <w:sz w:val="32"/>
          <w:szCs w:val="32"/>
          <w:highlight w:val="none"/>
        </w:rPr>
        <w:t>5年未出现违反目录管理政策的情况，得</w:t>
      </w:r>
      <w:r>
        <w:rPr>
          <w:rFonts w:hint="eastAsia" w:ascii="Times New Roman" w:hAnsi="Times New Roman" w:cs="Times New Roman"/>
          <w:b w:val="0"/>
          <w:bCs w:val="0"/>
          <w:sz w:val="32"/>
          <w:szCs w:val="32"/>
          <w:highlight w:val="none"/>
          <w:lang w:eastAsia="zh-CN"/>
        </w:rPr>
        <w:t>分</w:t>
      </w:r>
      <w:r>
        <w:rPr>
          <w:rFonts w:hint="default" w:ascii="Times New Roman" w:hAnsi="Times New Roman" w:eastAsia="仿宋_GB2312" w:cs="Times New Roman"/>
          <w:b w:val="0"/>
          <w:bCs w:val="0"/>
          <w:sz w:val="32"/>
          <w:szCs w:val="32"/>
          <w:highlight w:val="none"/>
          <w:lang w:val="en-US" w:eastAsia="zh-CN"/>
        </w:rPr>
        <w:t>5</w:t>
      </w:r>
      <w:r>
        <w:rPr>
          <w:rFonts w:hint="default" w:ascii="Times New Roman" w:hAnsi="Times New Roman" w:eastAsia="仿宋_GB2312" w:cs="Times New Roman"/>
          <w:b w:val="0"/>
          <w:bCs w:val="0"/>
          <w:sz w:val="32"/>
          <w:szCs w:val="32"/>
          <w:highlight w:val="none"/>
        </w:rPr>
        <w:t>分。</w:t>
      </w:r>
    </w:p>
    <w:p w14:paraId="705224ED">
      <w:pPr>
        <w:overflowPunct w:val="0"/>
        <w:adjustRightInd w:val="0"/>
        <w:snapToGrid w:val="0"/>
        <w:spacing w:line="360" w:lineRule="auto"/>
        <w:ind w:firstLine="640" w:firstLineChars="200"/>
        <w:rPr>
          <w:rFonts w:hint="default" w:ascii="Times New Roman" w:hAnsi="Times New Roman" w:eastAsia="仿宋_GB2312" w:cs="Times New Roman"/>
          <w:b w:val="0"/>
          <w:bCs w:val="0"/>
          <w:sz w:val="32"/>
          <w:szCs w:val="32"/>
          <w:highlight w:val="none"/>
          <w:lang w:val="en-US" w:eastAsia="zh-CN"/>
        </w:rPr>
      </w:pPr>
      <w:r>
        <w:rPr>
          <w:rFonts w:hint="default" w:ascii="Times New Roman" w:hAnsi="Times New Roman" w:eastAsia="仿宋_GB2312" w:cs="Times New Roman"/>
          <w:b w:val="0"/>
          <w:bCs w:val="0"/>
          <w:sz w:val="32"/>
          <w:szCs w:val="32"/>
          <w:highlight w:val="none"/>
          <w:lang w:val="en-US" w:eastAsia="zh-CN"/>
        </w:rPr>
        <w:t>8.</w:t>
      </w:r>
      <w:r>
        <w:rPr>
          <w:rFonts w:hint="default" w:ascii="Times New Roman" w:hAnsi="Times New Roman" w:eastAsia="仿宋_GB2312" w:cs="Times New Roman"/>
          <w:b w:val="0"/>
          <w:bCs w:val="0"/>
          <w:color w:val="000000"/>
          <w:sz w:val="32"/>
          <w:szCs w:val="32"/>
          <w:highlight w:val="none"/>
        </w:rPr>
        <w:t>统筹地区结算</w:t>
      </w:r>
      <w:r>
        <w:rPr>
          <w:rFonts w:hint="default" w:ascii="Times New Roman" w:hAnsi="Times New Roman" w:eastAsia="仿宋_GB2312" w:cs="Times New Roman"/>
          <w:b w:val="0"/>
          <w:bCs w:val="0"/>
          <w:color w:val="000000"/>
          <w:sz w:val="32"/>
          <w:szCs w:val="32"/>
          <w:highlight w:val="none"/>
          <w:lang w:val="en-US" w:eastAsia="zh-CN"/>
        </w:rPr>
        <w:t>效率</w:t>
      </w:r>
      <w:r>
        <w:rPr>
          <w:rFonts w:hint="default" w:ascii="Times New Roman" w:hAnsi="Times New Roman" w:eastAsia="仿宋_GB2312" w:cs="Times New Roman"/>
          <w:b w:val="0"/>
          <w:bCs w:val="0"/>
          <w:color w:val="000000"/>
          <w:sz w:val="32"/>
          <w:szCs w:val="32"/>
          <w:highlight w:val="none"/>
        </w:rPr>
        <w:t>。2025年，我市已实现即时结算，得</w:t>
      </w:r>
      <w:r>
        <w:rPr>
          <w:rFonts w:hint="eastAsia" w:ascii="Times New Roman" w:hAnsi="Times New Roman" w:cs="Times New Roman"/>
          <w:b w:val="0"/>
          <w:bCs w:val="0"/>
          <w:sz w:val="32"/>
          <w:szCs w:val="32"/>
          <w:highlight w:val="none"/>
          <w:lang w:eastAsia="zh-CN"/>
        </w:rPr>
        <w:t>分</w:t>
      </w:r>
      <w:r>
        <w:rPr>
          <w:rFonts w:hint="default" w:ascii="Times New Roman" w:hAnsi="Times New Roman" w:eastAsia="仿宋_GB2312" w:cs="Times New Roman"/>
          <w:b w:val="0"/>
          <w:bCs w:val="0"/>
          <w:color w:val="000000"/>
          <w:sz w:val="32"/>
          <w:szCs w:val="32"/>
          <w:highlight w:val="none"/>
        </w:rPr>
        <w:t>5分</w:t>
      </w:r>
      <w:r>
        <w:rPr>
          <w:rFonts w:ascii="Times New Roman" w:hAnsi="Times New Roman" w:eastAsia="仿宋_GB2312" w:cs="Times New Roman"/>
          <w:b w:val="0"/>
          <w:bCs w:val="0"/>
          <w:color w:val="000000"/>
          <w:sz w:val="32"/>
          <w:szCs w:val="32"/>
          <w:highlight w:val="none"/>
        </w:rPr>
        <w:t>。</w:t>
      </w:r>
    </w:p>
    <w:p w14:paraId="3C9381DD">
      <w:pPr>
        <w:overflowPunct w:val="0"/>
        <w:adjustRightInd w:val="0"/>
        <w:snapToGrid w:val="0"/>
        <w:spacing w:line="360" w:lineRule="auto"/>
        <w:ind w:firstLine="640" w:firstLineChars="200"/>
        <w:rPr>
          <w:rFonts w:hint="default" w:ascii="Times New Roman" w:hAnsi="Times New Roman" w:eastAsia="仿宋_GB2312" w:cs="Times New Roman"/>
          <w:b w:val="0"/>
          <w:bCs w:val="0"/>
          <w:color w:val="000000"/>
          <w:sz w:val="32"/>
          <w:szCs w:val="32"/>
          <w:highlight w:val="none"/>
        </w:rPr>
      </w:pPr>
      <w:r>
        <w:rPr>
          <w:rFonts w:hint="default" w:ascii="Times New Roman" w:hAnsi="Times New Roman" w:eastAsia="仿宋_GB2312" w:cs="Times New Roman"/>
          <w:b w:val="0"/>
          <w:bCs w:val="0"/>
          <w:color w:val="000000"/>
          <w:sz w:val="32"/>
          <w:szCs w:val="32"/>
          <w:highlight w:val="none"/>
          <w:lang w:val="en-US" w:eastAsia="zh-CN"/>
        </w:rPr>
        <w:t>9</w:t>
      </w:r>
      <w:r>
        <w:rPr>
          <w:rFonts w:hint="default" w:ascii="Times New Roman" w:hAnsi="Times New Roman" w:eastAsia="仿宋_GB2312" w:cs="Times New Roman"/>
          <w:b w:val="0"/>
          <w:bCs w:val="0"/>
          <w:color w:val="000000"/>
          <w:sz w:val="32"/>
          <w:szCs w:val="32"/>
          <w:highlight w:val="none"/>
        </w:rPr>
        <w:t>.</w:t>
      </w:r>
      <w:r>
        <w:rPr>
          <w:rFonts w:ascii="Times New Roman" w:hAnsi="Times New Roman" w:eastAsia="仿宋_GB2312" w:cs="Times New Roman"/>
          <w:b w:val="0"/>
          <w:bCs w:val="0"/>
          <w:color w:val="000000"/>
          <w:sz w:val="32"/>
          <w:szCs w:val="32"/>
          <w:highlight w:val="none"/>
        </w:rPr>
        <w:t xml:space="preserve"> </w:t>
      </w:r>
      <w:r>
        <w:rPr>
          <w:rFonts w:hint="default" w:ascii="Times New Roman" w:hAnsi="Times New Roman" w:eastAsia="仿宋_GB2312" w:cs="Times New Roman"/>
          <w:b w:val="0"/>
          <w:bCs w:val="0"/>
          <w:color w:val="000000"/>
          <w:sz w:val="32"/>
          <w:szCs w:val="32"/>
          <w:highlight w:val="none"/>
          <w:lang w:val="en-US" w:eastAsia="zh-CN"/>
        </w:rPr>
        <w:t>定点医药机构监督检查和年度考核。在规定时间内按时完成</w:t>
      </w:r>
      <w:r>
        <w:rPr>
          <w:rFonts w:hint="eastAsia" w:ascii="Times New Roman" w:hAnsi="Times New Roman" w:cs="Times New Roman"/>
          <w:b w:val="0"/>
          <w:bCs w:val="0"/>
          <w:color w:val="000000"/>
          <w:sz w:val="32"/>
          <w:szCs w:val="32"/>
          <w:highlight w:val="none"/>
          <w:lang w:val="en-US" w:eastAsia="zh-CN"/>
        </w:rPr>
        <w:t>两定医疗机构监督管理、年度考核工作</w:t>
      </w:r>
      <w:r>
        <w:rPr>
          <w:rFonts w:hint="default" w:ascii="Times New Roman" w:hAnsi="Times New Roman" w:eastAsia="仿宋_GB2312" w:cs="Times New Roman"/>
          <w:b w:val="0"/>
          <w:bCs w:val="0"/>
          <w:color w:val="000000"/>
          <w:sz w:val="32"/>
          <w:szCs w:val="32"/>
          <w:highlight w:val="none"/>
          <w:lang w:val="en-US" w:eastAsia="zh-CN"/>
        </w:rPr>
        <w:t>，得</w:t>
      </w:r>
      <w:r>
        <w:rPr>
          <w:rFonts w:hint="eastAsia" w:ascii="Times New Roman" w:hAnsi="Times New Roman" w:cs="Times New Roman"/>
          <w:b w:val="0"/>
          <w:bCs w:val="0"/>
          <w:sz w:val="32"/>
          <w:szCs w:val="32"/>
          <w:highlight w:val="none"/>
          <w:lang w:eastAsia="zh-CN"/>
        </w:rPr>
        <w:t>分</w:t>
      </w:r>
      <w:r>
        <w:rPr>
          <w:rFonts w:hint="default" w:ascii="Times New Roman" w:hAnsi="Times New Roman" w:eastAsia="仿宋_GB2312" w:cs="Times New Roman"/>
          <w:b w:val="0"/>
          <w:bCs w:val="0"/>
          <w:color w:val="000000"/>
          <w:sz w:val="32"/>
          <w:szCs w:val="32"/>
          <w:highlight w:val="none"/>
          <w:lang w:val="en-US" w:eastAsia="zh-CN"/>
        </w:rPr>
        <w:t>5分。</w:t>
      </w:r>
    </w:p>
    <w:p w14:paraId="54473846">
      <w:pPr>
        <w:overflowPunct w:val="0"/>
        <w:adjustRightInd w:val="0"/>
        <w:snapToGrid w:val="0"/>
        <w:spacing w:line="360" w:lineRule="auto"/>
        <w:ind w:firstLine="640" w:firstLineChars="200"/>
        <w:rPr>
          <w:rFonts w:hint="default" w:ascii="Times New Roman" w:hAnsi="Times New Roman" w:eastAsia="仿宋_GB2312" w:cs="Times New Roman"/>
          <w:b w:val="0"/>
          <w:bCs w:val="0"/>
          <w:sz w:val="32"/>
          <w:szCs w:val="32"/>
          <w:highlight w:val="none"/>
          <w:lang w:eastAsia="zh-CN"/>
        </w:rPr>
      </w:pPr>
      <w:r>
        <w:rPr>
          <w:rFonts w:hint="default" w:ascii="Times New Roman" w:hAnsi="Times New Roman" w:eastAsia="仿宋_GB2312" w:cs="Times New Roman"/>
          <w:b w:val="0"/>
          <w:bCs w:val="0"/>
          <w:color w:val="000000"/>
          <w:sz w:val="32"/>
          <w:szCs w:val="32"/>
          <w:highlight w:val="none"/>
          <w:lang w:val="en-US" w:eastAsia="zh-CN"/>
        </w:rPr>
        <w:t>10</w:t>
      </w:r>
      <w:r>
        <w:rPr>
          <w:rFonts w:hint="default" w:ascii="Times New Roman" w:hAnsi="Times New Roman" w:eastAsia="仿宋_GB2312" w:cs="Times New Roman"/>
          <w:b w:val="0"/>
          <w:bCs w:val="0"/>
          <w:color w:val="000000"/>
          <w:sz w:val="32"/>
          <w:szCs w:val="32"/>
          <w:highlight w:val="none"/>
        </w:rPr>
        <w:t>.</w:t>
      </w:r>
      <w:r>
        <w:rPr>
          <w:rFonts w:hint="default" w:ascii="Times New Roman" w:hAnsi="Times New Roman" w:eastAsia="仿宋_GB2312" w:cs="Times New Roman"/>
          <w:b w:val="0"/>
          <w:bCs w:val="0"/>
          <w:sz w:val="32"/>
          <w:szCs w:val="32"/>
          <w:highlight w:val="none"/>
        </w:rPr>
        <w:t>医保信息系统运行维护响应时间。医保信息系统运行维护响应时间合同规定为</w:t>
      </w:r>
      <w:r>
        <w:rPr>
          <w:rFonts w:ascii="Times New Roman" w:hAnsi="Times New Roman" w:eastAsia="仿宋_GB2312" w:cs="Times New Roman"/>
          <w:b w:val="0"/>
          <w:bCs w:val="0"/>
          <w:sz w:val="32"/>
          <w:szCs w:val="32"/>
          <w:highlight w:val="none"/>
        </w:rPr>
        <w:t>30</w:t>
      </w:r>
      <w:r>
        <w:rPr>
          <w:rFonts w:hint="default" w:ascii="Times New Roman" w:hAnsi="Times New Roman" w:eastAsia="仿宋_GB2312" w:cs="Times New Roman"/>
          <w:b w:val="0"/>
          <w:bCs w:val="0"/>
          <w:sz w:val="32"/>
          <w:szCs w:val="32"/>
          <w:highlight w:val="none"/>
        </w:rPr>
        <w:t>分钟，系统</w:t>
      </w:r>
      <w:r>
        <w:rPr>
          <w:rFonts w:ascii="Times New Roman" w:hAnsi="Times New Roman" w:eastAsia="仿宋_GB2312" w:cs="Times New Roman"/>
          <w:b w:val="0"/>
          <w:bCs w:val="0"/>
          <w:sz w:val="32"/>
          <w:szCs w:val="32"/>
          <w:highlight w:val="none"/>
        </w:rPr>
        <w:t>运行维护</w:t>
      </w:r>
      <w:r>
        <w:rPr>
          <w:rFonts w:hint="default" w:ascii="Times New Roman" w:hAnsi="Times New Roman" w:eastAsia="仿宋_GB2312" w:cs="Times New Roman"/>
          <w:b w:val="0"/>
          <w:bCs w:val="0"/>
          <w:sz w:val="32"/>
          <w:szCs w:val="32"/>
          <w:highlight w:val="none"/>
        </w:rPr>
        <w:t>实际响应时间为立即处理，小于30分钟。得</w:t>
      </w:r>
      <w:r>
        <w:rPr>
          <w:rFonts w:hint="eastAsia" w:ascii="Times New Roman" w:hAnsi="Times New Roman" w:cs="Times New Roman"/>
          <w:b w:val="0"/>
          <w:bCs w:val="0"/>
          <w:sz w:val="32"/>
          <w:szCs w:val="32"/>
          <w:highlight w:val="none"/>
          <w:lang w:eastAsia="zh-CN"/>
        </w:rPr>
        <w:t>分</w:t>
      </w:r>
      <w:r>
        <w:rPr>
          <w:rFonts w:hint="default" w:ascii="Times New Roman" w:hAnsi="Times New Roman" w:eastAsia="仿宋_GB2312" w:cs="Times New Roman"/>
          <w:b w:val="0"/>
          <w:bCs w:val="0"/>
          <w:sz w:val="32"/>
          <w:szCs w:val="32"/>
          <w:highlight w:val="none"/>
          <w:lang w:val="en-US" w:eastAsia="zh-CN"/>
        </w:rPr>
        <w:t>5</w:t>
      </w:r>
      <w:r>
        <w:rPr>
          <w:rFonts w:hint="default" w:ascii="Times New Roman" w:hAnsi="Times New Roman" w:eastAsia="仿宋_GB2312" w:cs="Times New Roman"/>
          <w:b w:val="0"/>
          <w:bCs w:val="0"/>
          <w:sz w:val="32"/>
          <w:szCs w:val="32"/>
          <w:highlight w:val="none"/>
        </w:rPr>
        <w:t>分</w:t>
      </w:r>
      <w:r>
        <w:rPr>
          <w:rFonts w:hint="default" w:ascii="Times New Roman" w:hAnsi="Times New Roman" w:eastAsia="仿宋_GB2312" w:cs="Times New Roman"/>
          <w:b w:val="0"/>
          <w:bCs w:val="0"/>
          <w:sz w:val="32"/>
          <w:szCs w:val="32"/>
          <w:highlight w:val="none"/>
          <w:lang w:eastAsia="zh-CN"/>
        </w:rPr>
        <w:t>。</w:t>
      </w:r>
    </w:p>
    <w:p w14:paraId="36692D03">
      <w:pPr>
        <w:overflowPunct w:val="0"/>
        <w:adjustRightInd w:val="0"/>
        <w:snapToGrid w:val="0"/>
        <w:spacing w:line="360" w:lineRule="auto"/>
        <w:ind w:firstLine="640" w:firstLineChars="200"/>
        <w:rPr>
          <w:rFonts w:hint="default" w:ascii="Times New Roman" w:hAnsi="Times New Roman" w:eastAsia="仿宋_GB2312" w:cs="Times New Roman"/>
          <w:b w:val="0"/>
          <w:bCs w:val="0"/>
          <w:sz w:val="32"/>
          <w:szCs w:val="32"/>
          <w:highlight w:val="none"/>
        </w:rPr>
      </w:pPr>
      <w:r>
        <w:rPr>
          <w:rFonts w:hint="default" w:ascii="Times New Roman" w:hAnsi="Times New Roman" w:eastAsia="仿宋_GB2312" w:cs="Times New Roman"/>
          <w:b w:val="0"/>
          <w:bCs w:val="0"/>
          <w:sz w:val="32"/>
          <w:szCs w:val="32"/>
          <w:highlight w:val="none"/>
          <w:lang w:val="en-US" w:eastAsia="zh-CN"/>
        </w:rPr>
        <w:t>11</w:t>
      </w:r>
      <w:r>
        <w:rPr>
          <w:rFonts w:hint="default" w:ascii="Times New Roman" w:hAnsi="Times New Roman" w:eastAsia="仿宋_GB2312" w:cs="Times New Roman"/>
          <w:b w:val="0"/>
          <w:bCs w:val="0"/>
          <w:sz w:val="32"/>
          <w:szCs w:val="32"/>
          <w:highlight w:val="none"/>
        </w:rPr>
        <w:t>.</w:t>
      </w:r>
      <w:r>
        <w:rPr>
          <w:rFonts w:hint="default" w:ascii="Times New Roman" w:hAnsi="Times New Roman" w:eastAsia="仿宋_GB2312" w:cs="Times New Roman"/>
          <w:b w:val="0"/>
          <w:bCs w:val="0"/>
          <w:color w:val="000000"/>
          <w:sz w:val="32"/>
          <w:szCs w:val="32"/>
          <w:highlight w:val="none"/>
        </w:rPr>
        <w:t xml:space="preserve"> </w:t>
      </w:r>
      <w:r>
        <w:rPr>
          <w:rFonts w:hint="default" w:ascii="Times New Roman" w:hAnsi="Times New Roman" w:eastAsia="仿宋_GB2312" w:cs="Times New Roman"/>
          <w:b w:val="0"/>
          <w:bCs w:val="0"/>
          <w:sz w:val="32"/>
          <w:szCs w:val="32"/>
          <w:highlight w:val="none"/>
        </w:rPr>
        <w:t>医保信息系统数据安全事件响应时间。医保信息系统数据安全事件响应时间</w:t>
      </w:r>
      <w:bookmarkStart w:id="2" w:name="OLE_LINK18"/>
      <w:bookmarkStart w:id="3" w:name="OLE_LINK17"/>
      <w:r>
        <w:rPr>
          <w:rFonts w:hint="default" w:ascii="Times New Roman" w:hAnsi="Times New Roman" w:eastAsia="仿宋_GB2312" w:cs="Times New Roman"/>
          <w:b w:val="0"/>
          <w:bCs w:val="0"/>
          <w:sz w:val="32"/>
          <w:szCs w:val="32"/>
          <w:highlight w:val="none"/>
        </w:rPr>
        <w:t>合同规定为30分钟，2025年由于未发生数据安全事件，实际响应时间为0，</w:t>
      </w:r>
      <w:bookmarkEnd w:id="2"/>
      <w:bookmarkEnd w:id="3"/>
      <w:r>
        <w:rPr>
          <w:rFonts w:hint="default" w:ascii="Times New Roman" w:hAnsi="Times New Roman" w:eastAsia="仿宋_GB2312" w:cs="Times New Roman"/>
          <w:b w:val="0"/>
          <w:bCs w:val="0"/>
          <w:sz w:val="32"/>
          <w:szCs w:val="32"/>
          <w:highlight w:val="none"/>
        </w:rPr>
        <w:t>小于60分钟。得</w:t>
      </w:r>
      <w:r>
        <w:rPr>
          <w:rFonts w:hint="eastAsia" w:ascii="Times New Roman" w:hAnsi="Times New Roman" w:cs="Times New Roman"/>
          <w:b w:val="0"/>
          <w:bCs w:val="0"/>
          <w:sz w:val="32"/>
          <w:szCs w:val="32"/>
          <w:highlight w:val="none"/>
          <w:lang w:eastAsia="zh-CN"/>
        </w:rPr>
        <w:t>分</w:t>
      </w:r>
      <w:r>
        <w:rPr>
          <w:rFonts w:hint="default" w:ascii="Times New Roman" w:hAnsi="Times New Roman" w:eastAsia="仿宋_GB2312" w:cs="Times New Roman"/>
          <w:b w:val="0"/>
          <w:bCs w:val="0"/>
          <w:sz w:val="32"/>
          <w:szCs w:val="32"/>
          <w:highlight w:val="none"/>
          <w:lang w:val="en-US" w:eastAsia="zh-CN"/>
        </w:rPr>
        <w:t>5</w:t>
      </w:r>
      <w:r>
        <w:rPr>
          <w:rFonts w:hint="default" w:ascii="Times New Roman" w:hAnsi="Times New Roman" w:eastAsia="仿宋_GB2312" w:cs="Times New Roman"/>
          <w:b w:val="0"/>
          <w:bCs w:val="0"/>
          <w:sz w:val="32"/>
          <w:szCs w:val="32"/>
          <w:highlight w:val="none"/>
        </w:rPr>
        <w:t>分。</w:t>
      </w:r>
    </w:p>
    <w:p w14:paraId="0977A34A">
      <w:pPr>
        <w:overflowPunct w:val="0"/>
        <w:adjustRightInd w:val="0"/>
        <w:snapToGrid w:val="0"/>
        <w:spacing w:line="360" w:lineRule="auto"/>
        <w:ind w:firstLine="640" w:firstLineChars="200"/>
        <w:rPr>
          <w:rFonts w:hint="default" w:ascii="Times New Roman" w:hAnsi="Times New Roman" w:eastAsia="仿宋_GB2312" w:cs="Times New Roman"/>
          <w:b w:val="0"/>
          <w:bCs w:val="0"/>
          <w:sz w:val="32"/>
          <w:szCs w:val="32"/>
          <w:highlight w:val="none"/>
          <w:lang w:val="en-US" w:eastAsia="zh-CN"/>
        </w:rPr>
      </w:pPr>
      <w:r>
        <w:rPr>
          <w:rFonts w:hint="default" w:ascii="Times New Roman" w:hAnsi="Times New Roman" w:eastAsia="仿宋_GB2312" w:cs="Times New Roman"/>
          <w:b w:val="0"/>
          <w:bCs w:val="0"/>
          <w:sz w:val="32"/>
          <w:szCs w:val="32"/>
          <w:highlight w:val="none"/>
          <w:lang w:val="en-US" w:eastAsia="zh-CN"/>
        </w:rPr>
        <w:t>12.</w:t>
      </w:r>
      <w:r>
        <w:rPr>
          <w:rFonts w:hint="default" w:ascii="Times New Roman" w:hAnsi="Times New Roman" w:eastAsia="仿宋_GB2312" w:cs="Times New Roman"/>
          <w:b w:val="0"/>
          <w:bCs w:val="0"/>
          <w:color w:val="000000"/>
          <w:sz w:val="32"/>
          <w:szCs w:val="32"/>
          <w:highlight w:val="none"/>
        </w:rPr>
        <w:t>公立医疗机构药品耗材平台采购率。药品网采率为93%，大于90%，高值医用耗材网采率为86%，大于80%，但为达到100%，得分</w:t>
      </w:r>
      <w:r>
        <w:rPr>
          <w:rFonts w:hint="default" w:ascii="Times New Roman" w:hAnsi="Times New Roman" w:eastAsia="仿宋_GB2312" w:cs="Times New Roman"/>
          <w:b w:val="0"/>
          <w:bCs w:val="0"/>
          <w:color w:val="000000"/>
          <w:sz w:val="32"/>
          <w:szCs w:val="32"/>
          <w:highlight w:val="none"/>
          <w:lang w:val="en-US" w:eastAsia="zh-CN"/>
        </w:rPr>
        <w:t>5</w:t>
      </w:r>
      <w:r>
        <w:rPr>
          <w:rFonts w:hint="default" w:ascii="Times New Roman" w:hAnsi="Times New Roman" w:eastAsia="仿宋_GB2312" w:cs="Times New Roman"/>
          <w:b w:val="0"/>
          <w:bCs w:val="0"/>
          <w:color w:val="000000"/>
          <w:sz w:val="32"/>
          <w:szCs w:val="32"/>
          <w:highlight w:val="none"/>
        </w:rPr>
        <w:t>分。</w:t>
      </w:r>
    </w:p>
    <w:p w14:paraId="241BC58B">
      <w:pPr>
        <w:overflowPunct w:val="0"/>
        <w:adjustRightInd w:val="0"/>
        <w:snapToGrid w:val="0"/>
        <w:spacing w:line="360" w:lineRule="auto"/>
        <w:ind w:firstLine="640" w:firstLineChars="200"/>
        <w:rPr>
          <w:rFonts w:hint="default" w:ascii="Times New Roman" w:hAnsi="Times New Roman" w:eastAsia="仿宋_GB2312" w:cs="Times New Roman"/>
          <w:b w:val="0"/>
          <w:bCs w:val="0"/>
          <w:color w:val="000000"/>
          <w:sz w:val="32"/>
          <w:szCs w:val="32"/>
          <w:highlight w:val="none"/>
        </w:rPr>
      </w:pPr>
      <w:r>
        <w:rPr>
          <w:rFonts w:hint="default" w:ascii="Times New Roman" w:hAnsi="Times New Roman" w:eastAsia="仿宋_GB2312" w:cs="Times New Roman"/>
          <w:b w:val="0"/>
          <w:bCs w:val="0"/>
          <w:color w:val="000000"/>
          <w:sz w:val="32"/>
          <w:szCs w:val="32"/>
          <w:highlight w:val="none"/>
          <w:lang w:val="en-US" w:eastAsia="zh-CN"/>
        </w:rPr>
        <w:t>13</w:t>
      </w:r>
      <w:r>
        <w:rPr>
          <w:rFonts w:hint="default" w:ascii="Times New Roman" w:hAnsi="Times New Roman" w:eastAsia="仿宋_GB2312" w:cs="Times New Roman"/>
          <w:b w:val="0"/>
          <w:bCs w:val="0"/>
          <w:color w:val="000000"/>
          <w:sz w:val="32"/>
          <w:szCs w:val="32"/>
          <w:highlight w:val="none"/>
        </w:rPr>
        <w:t>.</w:t>
      </w:r>
      <w:r>
        <w:rPr>
          <w:rFonts w:hint="default" w:ascii="Times New Roman" w:hAnsi="Times New Roman" w:eastAsia="仿宋_GB2312" w:cs="Times New Roman"/>
          <w:b w:val="0"/>
          <w:bCs w:val="0"/>
          <w:sz w:val="32"/>
          <w:szCs w:val="32"/>
          <w:highlight w:val="none"/>
        </w:rPr>
        <w:t>基金预警和风险防控能力。2025年，我市职工、居民医保基金均为低风险级别，得</w:t>
      </w:r>
      <w:r>
        <w:rPr>
          <w:rFonts w:hint="eastAsia" w:ascii="Times New Roman" w:hAnsi="Times New Roman" w:cs="Times New Roman"/>
          <w:b w:val="0"/>
          <w:bCs w:val="0"/>
          <w:sz w:val="32"/>
          <w:szCs w:val="32"/>
          <w:highlight w:val="none"/>
          <w:lang w:eastAsia="zh-CN"/>
        </w:rPr>
        <w:t>分</w:t>
      </w:r>
      <w:r>
        <w:rPr>
          <w:rFonts w:hint="default" w:ascii="Times New Roman" w:hAnsi="Times New Roman" w:eastAsia="仿宋_GB2312" w:cs="Times New Roman"/>
          <w:b w:val="0"/>
          <w:bCs w:val="0"/>
          <w:sz w:val="32"/>
          <w:szCs w:val="32"/>
          <w:highlight w:val="none"/>
          <w:lang w:val="en-US" w:eastAsia="zh-CN"/>
        </w:rPr>
        <w:t>5</w:t>
      </w:r>
      <w:r>
        <w:rPr>
          <w:rFonts w:hint="default" w:ascii="Times New Roman" w:hAnsi="Times New Roman" w:eastAsia="仿宋_GB2312" w:cs="Times New Roman"/>
          <w:b w:val="0"/>
          <w:bCs w:val="0"/>
          <w:sz w:val="32"/>
          <w:szCs w:val="32"/>
          <w:highlight w:val="none"/>
        </w:rPr>
        <w:t>分。</w:t>
      </w:r>
    </w:p>
    <w:p w14:paraId="22A249BD">
      <w:pPr>
        <w:overflowPunct w:val="0"/>
        <w:adjustRightInd w:val="0"/>
        <w:snapToGrid w:val="0"/>
        <w:spacing w:line="360" w:lineRule="auto"/>
        <w:ind w:firstLine="640" w:firstLineChars="200"/>
        <w:rPr>
          <w:rFonts w:hint="default" w:ascii="Times New Roman" w:hAnsi="Times New Roman" w:eastAsia="仿宋_GB2312" w:cs="Times New Roman"/>
          <w:b w:val="0"/>
          <w:bCs w:val="0"/>
          <w:color w:val="000000"/>
          <w:sz w:val="32"/>
          <w:szCs w:val="32"/>
          <w:highlight w:val="none"/>
        </w:rPr>
      </w:pPr>
      <w:r>
        <w:rPr>
          <w:rFonts w:hint="default" w:ascii="Times New Roman" w:hAnsi="Times New Roman" w:eastAsia="仿宋_GB2312" w:cs="Times New Roman"/>
          <w:b w:val="0"/>
          <w:bCs w:val="0"/>
          <w:color w:val="000000"/>
          <w:sz w:val="32"/>
          <w:szCs w:val="32"/>
          <w:highlight w:val="none"/>
          <w:lang w:val="en-US" w:eastAsia="zh-CN"/>
        </w:rPr>
        <w:t>14</w:t>
      </w:r>
      <w:r>
        <w:rPr>
          <w:rFonts w:hint="default" w:ascii="Times New Roman" w:hAnsi="Times New Roman" w:eastAsia="仿宋_GB2312" w:cs="Times New Roman"/>
          <w:b w:val="0"/>
          <w:bCs w:val="0"/>
          <w:color w:val="000000"/>
          <w:sz w:val="32"/>
          <w:szCs w:val="32"/>
          <w:highlight w:val="none"/>
        </w:rPr>
        <w:t>.</w:t>
      </w:r>
      <w:r>
        <w:rPr>
          <w:rFonts w:hint="default" w:ascii="Times New Roman" w:hAnsi="Times New Roman" w:eastAsia="仿宋_GB2312" w:cs="Times New Roman"/>
          <w:b w:val="0"/>
          <w:bCs w:val="0"/>
          <w:sz w:val="32"/>
          <w:szCs w:val="32"/>
          <w:highlight w:val="none"/>
        </w:rPr>
        <w:t>医保基金监管能力。</w:t>
      </w:r>
      <w:r>
        <w:rPr>
          <w:rFonts w:hint="default" w:ascii="Times New Roman" w:hAnsi="Times New Roman" w:eastAsia="仿宋_GB2312" w:cs="Times New Roman"/>
          <w:b w:val="0"/>
          <w:bCs w:val="0"/>
          <w:sz w:val="32"/>
          <w:szCs w:val="32"/>
          <w:highlight w:val="none"/>
          <w:lang w:val="en-US" w:eastAsia="zh-CN"/>
        </w:rPr>
        <w:t>有所提升</w:t>
      </w:r>
      <w:r>
        <w:rPr>
          <w:rFonts w:hint="default" w:ascii="Times New Roman" w:hAnsi="Times New Roman" w:eastAsia="仿宋_GB2312" w:cs="Times New Roman"/>
          <w:b w:val="0"/>
          <w:bCs w:val="0"/>
          <w:sz w:val="32"/>
          <w:szCs w:val="32"/>
          <w:highlight w:val="none"/>
        </w:rPr>
        <w:t>，得</w:t>
      </w:r>
      <w:r>
        <w:rPr>
          <w:rFonts w:hint="eastAsia" w:ascii="Times New Roman" w:hAnsi="Times New Roman" w:cs="Times New Roman"/>
          <w:b w:val="0"/>
          <w:bCs w:val="0"/>
          <w:sz w:val="32"/>
          <w:szCs w:val="32"/>
          <w:highlight w:val="none"/>
          <w:lang w:eastAsia="zh-CN"/>
        </w:rPr>
        <w:t>分</w:t>
      </w:r>
      <w:r>
        <w:rPr>
          <w:rFonts w:hint="default" w:ascii="Times New Roman" w:hAnsi="Times New Roman" w:eastAsia="仿宋_GB2312" w:cs="Times New Roman"/>
          <w:b w:val="0"/>
          <w:bCs w:val="0"/>
          <w:sz w:val="32"/>
          <w:szCs w:val="32"/>
          <w:highlight w:val="none"/>
          <w:lang w:val="en-US" w:eastAsia="zh-CN"/>
        </w:rPr>
        <w:t>5</w:t>
      </w:r>
      <w:r>
        <w:rPr>
          <w:rFonts w:hint="default" w:ascii="Times New Roman" w:hAnsi="Times New Roman" w:eastAsia="仿宋_GB2312" w:cs="Times New Roman"/>
          <w:b w:val="0"/>
          <w:bCs w:val="0"/>
          <w:sz w:val="32"/>
          <w:szCs w:val="32"/>
          <w:highlight w:val="none"/>
        </w:rPr>
        <w:t>分。</w:t>
      </w:r>
    </w:p>
    <w:p w14:paraId="78CDAF7D">
      <w:pPr>
        <w:overflowPunct w:val="0"/>
        <w:adjustRightInd w:val="0"/>
        <w:snapToGrid w:val="0"/>
        <w:spacing w:line="360" w:lineRule="auto"/>
        <w:ind w:firstLine="640" w:firstLineChars="200"/>
        <w:rPr>
          <w:rFonts w:hint="default" w:ascii="Times New Roman" w:hAnsi="Times New Roman" w:eastAsia="仿宋_GB2312" w:cs="Times New Roman"/>
          <w:b w:val="0"/>
          <w:bCs w:val="0"/>
          <w:color w:val="000000"/>
          <w:sz w:val="32"/>
          <w:szCs w:val="32"/>
          <w:highlight w:val="none"/>
        </w:rPr>
      </w:pPr>
      <w:r>
        <w:rPr>
          <w:rFonts w:hint="default" w:ascii="Times New Roman" w:hAnsi="Times New Roman" w:eastAsia="仿宋_GB2312" w:cs="Times New Roman"/>
          <w:b w:val="0"/>
          <w:bCs w:val="0"/>
          <w:color w:val="000000"/>
          <w:sz w:val="32"/>
          <w:szCs w:val="32"/>
          <w:highlight w:val="none"/>
        </w:rPr>
        <w:t>1</w:t>
      </w:r>
      <w:r>
        <w:rPr>
          <w:rFonts w:hint="default" w:ascii="Times New Roman" w:hAnsi="Times New Roman" w:eastAsia="仿宋_GB2312" w:cs="Times New Roman"/>
          <w:b w:val="0"/>
          <w:bCs w:val="0"/>
          <w:color w:val="000000"/>
          <w:sz w:val="32"/>
          <w:szCs w:val="32"/>
          <w:highlight w:val="none"/>
          <w:lang w:val="en-US" w:eastAsia="zh-CN"/>
        </w:rPr>
        <w:t>5</w:t>
      </w:r>
      <w:r>
        <w:rPr>
          <w:rFonts w:hint="default" w:ascii="Times New Roman" w:hAnsi="Times New Roman" w:eastAsia="仿宋_GB2312" w:cs="Times New Roman"/>
          <w:b w:val="0"/>
          <w:bCs w:val="0"/>
          <w:color w:val="000000"/>
          <w:sz w:val="32"/>
          <w:szCs w:val="32"/>
          <w:highlight w:val="none"/>
        </w:rPr>
        <w:t>.</w:t>
      </w:r>
      <w:r>
        <w:rPr>
          <w:rFonts w:hint="default" w:ascii="Times New Roman" w:hAnsi="Times New Roman" w:eastAsia="仿宋_GB2312" w:cs="Times New Roman"/>
          <w:b w:val="0"/>
          <w:bCs w:val="0"/>
          <w:sz w:val="32"/>
          <w:szCs w:val="32"/>
          <w:highlight w:val="none"/>
        </w:rPr>
        <w:t>医保经办服务能力。</w:t>
      </w:r>
      <w:r>
        <w:rPr>
          <w:rFonts w:hint="default" w:ascii="Times New Roman" w:hAnsi="Times New Roman" w:eastAsia="仿宋_GB2312" w:cs="Times New Roman"/>
          <w:b w:val="0"/>
          <w:bCs w:val="0"/>
          <w:sz w:val="32"/>
          <w:szCs w:val="32"/>
          <w:highlight w:val="none"/>
          <w:lang w:val="en-US" w:eastAsia="zh-CN"/>
        </w:rPr>
        <w:t>有所提升</w:t>
      </w:r>
      <w:r>
        <w:rPr>
          <w:rFonts w:hint="default" w:ascii="Times New Roman" w:hAnsi="Times New Roman" w:eastAsia="仿宋_GB2312" w:cs="Times New Roman"/>
          <w:b w:val="0"/>
          <w:bCs w:val="0"/>
          <w:sz w:val="32"/>
          <w:szCs w:val="32"/>
          <w:highlight w:val="none"/>
        </w:rPr>
        <w:t>，得</w:t>
      </w:r>
      <w:r>
        <w:rPr>
          <w:rFonts w:hint="eastAsia" w:ascii="Times New Roman" w:hAnsi="Times New Roman" w:cs="Times New Roman"/>
          <w:b w:val="0"/>
          <w:bCs w:val="0"/>
          <w:sz w:val="32"/>
          <w:szCs w:val="32"/>
          <w:highlight w:val="none"/>
          <w:lang w:eastAsia="zh-CN"/>
        </w:rPr>
        <w:t>分</w:t>
      </w:r>
      <w:r>
        <w:rPr>
          <w:rFonts w:hint="default" w:ascii="Times New Roman" w:hAnsi="Times New Roman" w:eastAsia="仿宋_GB2312" w:cs="Times New Roman"/>
          <w:b w:val="0"/>
          <w:bCs w:val="0"/>
          <w:sz w:val="32"/>
          <w:szCs w:val="32"/>
          <w:highlight w:val="none"/>
          <w:lang w:val="en-US" w:eastAsia="zh-CN"/>
        </w:rPr>
        <w:t>5</w:t>
      </w:r>
      <w:r>
        <w:rPr>
          <w:rFonts w:hint="default" w:ascii="Times New Roman" w:hAnsi="Times New Roman" w:eastAsia="仿宋_GB2312" w:cs="Times New Roman"/>
          <w:b w:val="0"/>
          <w:bCs w:val="0"/>
          <w:sz w:val="32"/>
          <w:szCs w:val="32"/>
          <w:highlight w:val="none"/>
        </w:rPr>
        <w:t>分。</w:t>
      </w:r>
    </w:p>
    <w:p w14:paraId="2B95E2A9">
      <w:pPr>
        <w:overflowPunct w:val="0"/>
        <w:adjustRightInd w:val="0"/>
        <w:snapToGrid w:val="0"/>
        <w:spacing w:line="360" w:lineRule="auto"/>
        <w:ind w:firstLine="640" w:firstLineChars="200"/>
        <w:rPr>
          <w:rFonts w:hint="default" w:ascii="Times New Roman" w:hAnsi="Times New Roman" w:eastAsia="仿宋_GB2312" w:cs="Times New Roman"/>
          <w:b w:val="0"/>
          <w:bCs w:val="0"/>
          <w:sz w:val="32"/>
          <w:szCs w:val="32"/>
          <w:highlight w:val="none"/>
          <w:lang w:val="en-US" w:eastAsia="zh-CN"/>
        </w:rPr>
      </w:pPr>
      <w:r>
        <w:rPr>
          <w:rFonts w:hint="default" w:ascii="Times New Roman" w:hAnsi="Times New Roman" w:eastAsia="仿宋_GB2312" w:cs="Times New Roman"/>
          <w:b w:val="0"/>
          <w:bCs w:val="0"/>
          <w:sz w:val="32"/>
          <w:szCs w:val="32"/>
          <w:highlight w:val="none"/>
        </w:rPr>
        <w:t>1</w:t>
      </w:r>
      <w:r>
        <w:rPr>
          <w:rFonts w:hint="default" w:ascii="Times New Roman" w:hAnsi="Times New Roman" w:eastAsia="仿宋_GB2312" w:cs="Times New Roman"/>
          <w:b w:val="0"/>
          <w:bCs w:val="0"/>
          <w:sz w:val="32"/>
          <w:szCs w:val="32"/>
          <w:highlight w:val="none"/>
          <w:lang w:val="en-US" w:eastAsia="zh-CN"/>
        </w:rPr>
        <w:t>6</w:t>
      </w:r>
      <w:r>
        <w:rPr>
          <w:rFonts w:hint="default" w:ascii="Times New Roman" w:hAnsi="Times New Roman" w:eastAsia="仿宋_GB2312" w:cs="Times New Roman"/>
          <w:b w:val="0"/>
          <w:bCs w:val="0"/>
          <w:sz w:val="32"/>
          <w:szCs w:val="32"/>
          <w:highlight w:val="none"/>
        </w:rPr>
        <w:t>.异地就医人员纳入本地同质化管理情况</w:t>
      </w:r>
      <w:r>
        <w:rPr>
          <w:rFonts w:hint="default" w:ascii="Times New Roman" w:hAnsi="Times New Roman" w:eastAsia="仿宋_GB2312" w:cs="Times New Roman"/>
          <w:b w:val="0"/>
          <w:bCs w:val="0"/>
          <w:sz w:val="32"/>
          <w:szCs w:val="32"/>
          <w:highlight w:val="none"/>
          <w:lang w:eastAsia="zh-CN"/>
        </w:rPr>
        <w:t>，</w:t>
      </w:r>
      <w:r>
        <w:rPr>
          <w:rFonts w:hint="default" w:ascii="Times New Roman" w:hAnsi="Times New Roman" w:eastAsia="仿宋_GB2312" w:cs="Times New Roman"/>
          <w:b w:val="0"/>
          <w:bCs w:val="0"/>
          <w:sz w:val="32"/>
          <w:szCs w:val="32"/>
          <w:highlight w:val="none"/>
          <w:lang w:val="en-US" w:eastAsia="zh-CN"/>
        </w:rPr>
        <w:t>有所提升，得</w:t>
      </w:r>
      <w:r>
        <w:rPr>
          <w:rFonts w:hint="eastAsia" w:ascii="Times New Roman" w:hAnsi="Times New Roman" w:cs="Times New Roman"/>
          <w:b w:val="0"/>
          <w:bCs w:val="0"/>
          <w:sz w:val="32"/>
          <w:szCs w:val="32"/>
          <w:highlight w:val="none"/>
          <w:lang w:eastAsia="zh-CN"/>
        </w:rPr>
        <w:t>分</w:t>
      </w:r>
      <w:r>
        <w:rPr>
          <w:rFonts w:hint="default" w:ascii="Times New Roman" w:hAnsi="Times New Roman" w:eastAsia="仿宋_GB2312" w:cs="Times New Roman"/>
          <w:b w:val="0"/>
          <w:bCs w:val="0"/>
          <w:sz w:val="32"/>
          <w:szCs w:val="32"/>
          <w:highlight w:val="none"/>
          <w:lang w:val="en-US" w:eastAsia="zh-CN"/>
        </w:rPr>
        <w:t>5分。</w:t>
      </w:r>
    </w:p>
    <w:p w14:paraId="5A3B2E5F">
      <w:pPr>
        <w:overflowPunct w:val="0"/>
        <w:adjustRightInd w:val="0"/>
        <w:snapToGrid w:val="0"/>
        <w:spacing w:line="360" w:lineRule="auto"/>
        <w:ind w:firstLine="640" w:firstLineChars="200"/>
        <w:rPr>
          <w:rFonts w:hint="default" w:ascii="Times New Roman" w:hAnsi="Times New Roman" w:eastAsia="仿宋_GB2312" w:cs="Times New Roman"/>
          <w:b w:val="0"/>
          <w:bCs w:val="0"/>
          <w:sz w:val="32"/>
          <w:szCs w:val="32"/>
          <w:highlight w:val="none"/>
          <w:lang w:val="en-US" w:eastAsia="zh-CN"/>
        </w:rPr>
      </w:pPr>
      <w:r>
        <w:rPr>
          <w:rFonts w:hint="default" w:ascii="Times New Roman" w:hAnsi="Times New Roman" w:eastAsia="仿宋_GB2312" w:cs="Times New Roman"/>
          <w:b w:val="0"/>
          <w:bCs w:val="0"/>
          <w:sz w:val="32"/>
          <w:szCs w:val="32"/>
          <w:highlight w:val="none"/>
          <w:lang w:val="en-US" w:eastAsia="zh-CN"/>
        </w:rPr>
        <w:t>17.医保标准化水平。有所提升，得</w:t>
      </w:r>
      <w:r>
        <w:rPr>
          <w:rFonts w:hint="eastAsia" w:ascii="Times New Roman" w:hAnsi="Times New Roman" w:cs="Times New Roman"/>
          <w:b w:val="0"/>
          <w:bCs w:val="0"/>
          <w:sz w:val="32"/>
          <w:szCs w:val="32"/>
          <w:highlight w:val="none"/>
          <w:lang w:eastAsia="zh-CN"/>
        </w:rPr>
        <w:t>分</w:t>
      </w:r>
      <w:r>
        <w:rPr>
          <w:rFonts w:hint="default" w:ascii="Times New Roman" w:hAnsi="Times New Roman" w:eastAsia="仿宋_GB2312" w:cs="Times New Roman"/>
          <w:b w:val="0"/>
          <w:bCs w:val="0"/>
          <w:sz w:val="32"/>
          <w:szCs w:val="32"/>
          <w:highlight w:val="none"/>
          <w:lang w:val="en-US" w:eastAsia="zh-CN"/>
        </w:rPr>
        <w:t>5分。</w:t>
      </w:r>
    </w:p>
    <w:p w14:paraId="63052940">
      <w:pPr>
        <w:overflowPunct w:val="0"/>
        <w:adjustRightInd w:val="0"/>
        <w:snapToGrid w:val="0"/>
        <w:spacing w:line="360" w:lineRule="auto"/>
        <w:ind w:firstLine="640" w:firstLineChars="200"/>
        <w:rPr>
          <w:rFonts w:hint="default" w:ascii="Times New Roman" w:hAnsi="Times New Roman" w:eastAsia="仿宋_GB2312" w:cs="Times New Roman"/>
          <w:b w:val="0"/>
          <w:bCs w:val="0"/>
          <w:sz w:val="32"/>
          <w:szCs w:val="32"/>
          <w:highlight w:val="none"/>
        </w:rPr>
      </w:pPr>
      <w:r>
        <w:rPr>
          <w:rFonts w:hint="default" w:ascii="Times New Roman" w:hAnsi="Times New Roman" w:eastAsia="仿宋_GB2312" w:cs="Times New Roman"/>
          <w:b w:val="0"/>
          <w:bCs w:val="0"/>
          <w:sz w:val="32"/>
          <w:szCs w:val="32"/>
          <w:highlight w:val="none"/>
          <w:lang w:val="en-US" w:eastAsia="zh-CN"/>
        </w:rPr>
        <w:t>18.</w:t>
      </w:r>
      <w:r>
        <w:rPr>
          <w:rFonts w:hint="default" w:ascii="Times New Roman" w:hAnsi="Times New Roman" w:eastAsia="仿宋_GB2312" w:cs="Times New Roman"/>
          <w:b w:val="0"/>
          <w:bCs w:val="0"/>
          <w:sz w:val="32"/>
          <w:szCs w:val="32"/>
          <w:highlight w:val="none"/>
        </w:rPr>
        <w:t>参保人员对医保服务的满意度。我市2025年参保人员对医保服务的满意度为100%，大于85%。得</w:t>
      </w:r>
      <w:r>
        <w:rPr>
          <w:rFonts w:hint="eastAsia" w:ascii="Times New Roman" w:hAnsi="Times New Roman" w:cs="Times New Roman"/>
          <w:b w:val="0"/>
          <w:bCs w:val="0"/>
          <w:sz w:val="32"/>
          <w:szCs w:val="32"/>
          <w:highlight w:val="none"/>
          <w:lang w:eastAsia="zh-CN"/>
        </w:rPr>
        <w:t>分</w:t>
      </w:r>
      <w:r>
        <w:rPr>
          <w:rFonts w:hint="default" w:ascii="Times New Roman" w:hAnsi="Times New Roman" w:eastAsia="仿宋_GB2312" w:cs="Times New Roman"/>
          <w:b w:val="0"/>
          <w:bCs w:val="0"/>
          <w:sz w:val="32"/>
          <w:szCs w:val="32"/>
          <w:highlight w:val="none"/>
          <w:lang w:val="en-US" w:eastAsia="zh-CN"/>
        </w:rPr>
        <w:t>5</w:t>
      </w:r>
      <w:r>
        <w:rPr>
          <w:rFonts w:hint="default" w:ascii="Times New Roman" w:hAnsi="Times New Roman" w:eastAsia="仿宋_GB2312" w:cs="Times New Roman"/>
          <w:b w:val="0"/>
          <w:bCs w:val="0"/>
          <w:sz w:val="32"/>
          <w:szCs w:val="32"/>
          <w:highlight w:val="none"/>
        </w:rPr>
        <w:t>分。</w:t>
      </w:r>
    </w:p>
    <w:p w14:paraId="25327D31">
      <w:pPr>
        <w:overflowPunct w:val="0"/>
        <w:adjustRightInd w:val="0"/>
        <w:snapToGrid w:val="0"/>
        <w:spacing w:line="360" w:lineRule="auto"/>
        <w:ind w:firstLine="640" w:firstLineChars="200"/>
        <w:rPr>
          <w:rFonts w:hint="default" w:ascii="Times New Roman" w:hAnsi="Times New Roman" w:eastAsia="仿宋_GB2312" w:cs="Times New Roman"/>
          <w:b w:val="0"/>
          <w:bCs w:val="0"/>
          <w:sz w:val="32"/>
          <w:szCs w:val="32"/>
          <w:highlight w:val="none"/>
        </w:rPr>
      </w:pPr>
      <w:r>
        <w:rPr>
          <w:rFonts w:hint="default" w:ascii="Times New Roman" w:hAnsi="Times New Roman" w:eastAsia="仿宋_GB2312" w:cs="Times New Roman"/>
          <w:b w:val="0"/>
          <w:bCs w:val="0"/>
          <w:sz w:val="32"/>
          <w:szCs w:val="32"/>
          <w:highlight w:val="none"/>
          <w:lang w:val="en-US" w:eastAsia="zh-CN"/>
        </w:rPr>
        <w:t>19</w:t>
      </w:r>
      <w:r>
        <w:rPr>
          <w:rFonts w:hint="default" w:ascii="Times New Roman" w:hAnsi="Times New Roman" w:eastAsia="仿宋_GB2312" w:cs="Times New Roman"/>
          <w:b w:val="0"/>
          <w:bCs w:val="0"/>
          <w:sz w:val="32"/>
          <w:szCs w:val="32"/>
          <w:highlight w:val="none"/>
        </w:rPr>
        <w:t>.医疗服务与保障能力提升中央财政补助资金预算执行率。我</w:t>
      </w:r>
      <w:r>
        <w:rPr>
          <w:rFonts w:hint="default" w:ascii="Times New Roman" w:hAnsi="Times New Roman" w:eastAsia="仿宋_GB2312" w:cs="Times New Roman"/>
          <w:b w:val="0"/>
          <w:bCs w:val="0"/>
          <w:sz w:val="32"/>
          <w:szCs w:val="32"/>
          <w:highlight w:val="none"/>
          <w:lang w:eastAsia="zh-CN"/>
        </w:rPr>
        <w:t>中心预算执行率</w:t>
      </w:r>
      <w:r>
        <w:rPr>
          <w:rFonts w:hint="default" w:ascii="Times New Roman" w:hAnsi="Times New Roman" w:eastAsia="仿宋_GB2312" w:cs="Times New Roman"/>
          <w:b w:val="0"/>
          <w:bCs w:val="0"/>
          <w:sz w:val="32"/>
          <w:szCs w:val="32"/>
          <w:highlight w:val="none"/>
        </w:rPr>
        <w:t>为</w:t>
      </w:r>
      <w:r>
        <w:rPr>
          <w:rFonts w:hint="default" w:ascii="Times New Roman" w:hAnsi="Times New Roman" w:eastAsia="仿宋_GB2312" w:cs="Times New Roman"/>
          <w:b w:val="0"/>
          <w:bCs w:val="0"/>
          <w:sz w:val="32"/>
          <w:szCs w:val="32"/>
          <w:highlight w:val="none"/>
          <w:lang w:val="en-US" w:eastAsia="zh-CN"/>
        </w:rPr>
        <w:t>91.22</w:t>
      </w:r>
      <w:r>
        <w:rPr>
          <w:rFonts w:hint="default" w:ascii="Times New Roman" w:hAnsi="Times New Roman" w:eastAsia="仿宋_GB2312" w:cs="Times New Roman"/>
          <w:b w:val="0"/>
          <w:bCs w:val="0"/>
          <w:sz w:val="32"/>
          <w:szCs w:val="32"/>
          <w:highlight w:val="none"/>
        </w:rPr>
        <w:t>%，大于80%，但未达到100%，扣0.</w:t>
      </w:r>
      <w:r>
        <w:rPr>
          <w:rFonts w:hint="default" w:ascii="Times New Roman" w:hAnsi="Times New Roman" w:eastAsia="仿宋_GB2312" w:cs="Times New Roman"/>
          <w:b w:val="0"/>
          <w:bCs w:val="0"/>
          <w:sz w:val="32"/>
          <w:szCs w:val="32"/>
          <w:highlight w:val="none"/>
          <w:lang w:val="en-US" w:eastAsia="zh-CN"/>
        </w:rPr>
        <w:t>88</w:t>
      </w:r>
      <w:r>
        <w:rPr>
          <w:rFonts w:hint="default" w:ascii="Times New Roman" w:hAnsi="Times New Roman" w:eastAsia="仿宋_GB2312" w:cs="Times New Roman"/>
          <w:b w:val="0"/>
          <w:bCs w:val="0"/>
          <w:sz w:val="32"/>
          <w:szCs w:val="32"/>
          <w:highlight w:val="none"/>
        </w:rPr>
        <w:t>分</w:t>
      </w:r>
      <w:r>
        <w:rPr>
          <w:rFonts w:hint="default" w:ascii="Times New Roman" w:hAnsi="Times New Roman" w:eastAsia="仿宋_GB2312" w:cs="Times New Roman"/>
          <w:b w:val="0"/>
          <w:bCs w:val="0"/>
          <w:sz w:val="32"/>
          <w:szCs w:val="32"/>
          <w:highlight w:val="none"/>
          <w:lang w:eastAsia="zh-CN"/>
        </w:rPr>
        <w:t>，</w:t>
      </w:r>
      <w:r>
        <w:rPr>
          <w:rFonts w:hint="default" w:ascii="Times New Roman" w:hAnsi="Times New Roman" w:eastAsia="仿宋_GB2312" w:cs="Times New Roman"/>
          <w:b w:val="0"/>
          <w:bCs w:val="0"/>
          <w:sz w:val="32"/>
          <w:szCs w:val="32"/>
          <w:highlight w:val="none"/>
        </w:rPr>
        <w:t>得</w:t>
      </w:r>
      <w:r>
        <w:rPr>
          <w:rFonts w:hint="eastAsia" w:ascii="Times New Roman" w:hAnsi="Times New Roman" w:cs="Times New Roman"/>
          <w:b w:val="0"/>
          <w:bCs w:val="0"/>
          <w:sz w:val="32"/>
          <w:szCs w:val="32"/>
          <w:highlight w:val="none"/>
          <w:lang w:eastAsia="zh-CN"/>
        </w:rPr>
        <w:t>分</w:t>
      </w:r>
      <w:r>
        <w:rPr>
          <w:rFonts w:hint="default" w:ascii="Times New Roman" w:hAnsi="Times New Roman" w:eastAsia="仿宋_GB2312" w:cs="Times New Roman"/>
          <w:b w:val="0"/>
          <w:bCs w:val="0"/>
          <w:sz w:val="32"/>
          <w:szCs w:val="32"/>
          <w:highlight w:val="none"/>
        </w:rPr>
        <w:t>9.</w:t>
      </w:r>
      <w:r>
        <w:rPr>
          <w:rFonts w:hint="default" w:ascii="Times New Roman" w:hAnsi="Times New Roman" w:eastAsia="仿宋_GB2312" w:cs="Times New Roman"/>
          <w:b w:val="0"/>
          <w:bCs w:val="0"/>
          <w:sz w:val="32"/>
          <w:szCs w:val="32"/>
          <w:highlight w:val="none"/>
          <w:lang w:val="en-US" w:eastAsia="zh-CN"/>
        </w:rPr>
        <w:t>12</w:t>
      </w:r>
      <w:r>
        <w:rPr>
          <w:rFonts w:hint="default" w:ascii="Times New Roman" w:hAnsi="Times New Roman" w:eastAsia="仿宋_GB2312" w:cs="Times New Roman"/>
          <w:b w:val="0"/>
          <w:bCs w:val="0"/>
          <w:sz w:val="32"/>
          <w:szCs w:val="32"/>
          <w:highlight w:val="none"/>
        </w:rPr>
        <w:t>分。</w:t>
      </w:r>
    </w:p>
    <w:p w14:paraId="685BA77E">
      <w:pPr>
        <w:overflowPunct w:val="0"/>
        <w:adjustRightInd w:val="0"/>
        <w:snapToGrid w:val="0"/>
        <w:spacing w:line="360" w:lineRule="auto"/>
        <w:ind w:firstLine="640" w:firstLineChars="200"/>
        <w:rPr>
          <w:rFonts w:hint="default" w:ascii="Times New Roman" w:hAnsi="Times New Roman" w:eastAsia="方正仿宋_GBK" w:cs="Times New Roman"/>
          <w:b w:val="0"/>
          <w:bCs w:val="0"/>
          <w:sz w:val="32"/>
          <w:szCs w:val="32"/>
          <w:highlight w:val="none"/>
          <w:lang w:val="en-US" w:eastAsia="zh-CN"/>
        </w:rPr>
      </w:pPr>
      <w:r>
        <w:rPr>
          <w:rFonts w:hint="eastAsia" w:ascii="Times New Roman" w:hAnsi="Times New Roman" w:cs="Times New Roman"/>
          <w:b w:val="0"/>
          <w:bCs w:val="0"/>
          <w:sz w:val="32"/>
          <w:szCs w:val="32"/>
          <w:highlight w:val="none"/>
          <w:lang w:eastAsia="zh-CN"/>
        </w:rPr>
        <w:t>综上，</w:t>
      </w:r>
      <w:r>
        <w:rPr>
          <w:rFonts w:hint="default" w:eastAsia="方正仿宋_GBK"/>
          <w:b w:val="0"/>
          <w:bCs w:val="0"/>
          <w:sz w:val="32"/>
          <w:szCs w:val="32"/>
          <w:highlight w:val="none"/>
        </w:rPr>
        <w:t>医疗服务与保障能力提升</w:t>
      </w:r>
      <w:r>
        <w:rPr>
          <w:rFonts w:hint="eastAsia" w:eastAsia="方正仿宋_GBK"/>
          <w:b w:val="0"/>
          <w:bCs w:val="0"/>
          <w:sz w:val="32"/>
          <w:szCs w:val="32"/>
          <w:highlight w:val="none"/>
          <w:lang w:val="en-US" w:eastAsia="zh-CN"/>
        </w:rPr>
        <w:t>中央财政</w:t>
      </w:r>
      <w:r>
        <w:rPr>
          <w:rFonts w:hint="default" w:eastAsia="方正仿宋_GBK"/>
          <w:b w:val="0"/>
          <w:bCs w:val="0"/>
          <w:sz w:val="32"/>
          <w:szCs w:val="32"/>
          <w:highlight w:val="none"/>
        </w:rPr>
        <w:t>补助资金</w:t>
      </w:r>
      <w:r>
        <w:rPr>
          <w:rFonts w:hint="eastAsia" w:eastAsia="方正仿宋_GBK"/>
          <w:b w:val="0"/>
          <w:bCs w:val="0"/>
          <w:sz w:val="32"/>
          <w:szCs w:val="32"/>
          <w:highlight w:val="none"/>
          <w:lang w:eastAsia="zh-CN"/>
        </w:rPr>
        <w:t>自评得分</w:t>
      </w:r>
      <w:r>
        <w:rPr>
          <w:rFonts w:hint="eastAsia" w:eastAsia="方正仿宋_GBK"/>
          <w:b w:val="0"/>
          <w:bCs w:val="0"/>
          <w:sz w:val="32"/>
          <w:szCs w:val="32"/>
          <w:highlight w:val="none"/>
          <w:lang w:val="en-US" w:eastAsia="zh-CN"/>
        </w:rPr>
        <w:t>99.1分。</w:t>
      </w:r>
    </w:p>
    <w:p w14:paraId="0D034549">
      <w:pPr>
        <w:numPr>
          <w:ilvl w:val="0"/>
          <w:numId w:val="2"/>
        </w:numPr>
        <w:spacing w:line="578" w:lineRule="exact"/>
        <w:ind w:firstLine="640" w:firstLineChars="200"/>
        <w:rPr>
          <w:rFonts w:hint="default" w:ascii="Times New Roman" w:hAnsi="Times New Roman" w:eastAsia="黑体" w:cs="Times New Roman"/>
          <w:b w:val="0"/>
          <w:bCs w:val="0"/>
          <w:color w:val="000000"/>
          <w:sz w:val="32"/>
          <w:szCs w:val="32"/>
          <w:highlight w:val="none"/>
        </w:rPr>
      </w:pPr>
      <w:r>
        <w:rPr>
          <w:rFonts w:hint="default" w:ascii="Times New Roman" w:hAnsi="Times New Roman" w:eastAsia="黑体" w:cs="Times New Roman"/>
          <w:b w:val="0"/>
          <w:bCs w:val="0"/>
          <w:color w:val="000000"/>
          <w:sz w:val="32"/>
          <w:szCs w:val="32"/>
          <w:highlight w:val="none"/>
        </w:rPr>
        <w:t>存在的主要问题及改进措施</w:t>
      </w:r>
    </w:p>
    <w:p w14:paraId="43BA3DD8">
      <w:pPr>
        <w:spacing w:line="578" w:lineRule="exact"/>
        <w:ind w:firstLine="640" w:firstLineChars="200"/>
        <w:rPr>
          <w:rFonts w:hint="default" w:ascii="Times New Roman" w:hAnsi="Times New Roman" w:eastAsia="楷体_GB2312" w:cs="Times New Roman"/>
          <w:b w:val="0"/>
          <w:bCs w:val="0"/>
          <w:color w:val="000000"/>
          <w:sz w:val="32"/>
          <w:szCs w:val="32"/>
          <w:highlight w:val="none"/>
        </w:rPr>
      </w:pPr>
      <w:r>
        <w:rPr>
          <w:rFonts w:hint="default" w:ascii="Times New Roman" w:hAnsi="Times New Roman" w:eastAsia="楷体_GB2312" w:cs="Times New Roman"/>
          <w:b w:val="0"/>
          <w:bCs w:val="0"/>
          <w:color w:val="000000"/>
          <w:sz w:val="32"/>
          <w:szCs w:val="32"/>
          <w:highlight w:val="none"/>
        </w:rPr>
        <w:t>（一）存在的主要问题。</w:t>
      </w:r>
    </w:p>
    <w:p w14:paraId="7EB79DCE">
      <w:pPr>
        <w:pageBreakBefore w:val="0"/>
        <w:widowControl/>
        <w:kinsoku/>
        <w:wordWrap/>
        <w:overflowPunct/>
        <w:topLinePunct w:val="0"/>
        <w:autoSpaceDE/>
        <w:autoSpaceDN/>
        <w:bidi w:val="0"/>
        <w:adjustRightInd w:val="0"/>
        <w:snapToGrid w:val="0"/>
        <w:spacing w:line="560" w:lineRule="exact"/>
        <w:ind w:firstLine="640" w:firstLineChars="200"/>
        <w:contextualSpacing/>
        <w:textAlignment w:val="auto"/>
        <w:rPr>
          <w:rFonts w:hint="default" w:ascii="Times New Roman" w:hAnsi="Times New Roman" w:eastAsia="仿宋_GB2312" w:cs="Times New Roman"/>
          <w:b w:val="0"/>
          <w:bCs w:val="0"/>
          <w:sz w:val="32"/>
          <w:szCs w:val="32"/>
          <w:highlight w:val="none"/>
          <w:lang w:val="zh-CN"/>
        </w:rPr>
      </w:pPr>
      <w:r>
        <w:rPr>
          <w:rFonts w:hint="default" w:ascii="Times New Roman" w:hAnsi="Times New Roman" w:eastAsia="仿宋_GB2312" w:cs="Times New Roman"/>
          <w:b w:val="0"/>
          <w:bCs w:val="0"/>
          <w:sz w:val="32"/>
          <w:szCs w:val="32"/>
          <w:highlight w:val="none"/>
          <w:lang w:eastAsia="zh-CN"/>
        </w:rPr>
        <w:t>2025</w:t>
      </w:r>
      <w:r>
        <w:rPr>
          <w:rFonts w:hint="default" w:ascii="Times New Roman" w:hAnsi="Times New Roman" w:eastAsia="仿宋_GB2312" w:cs="Times New Roman"/>
          <w:b w:val="0"/>
          <w:bCs w:val="0"/>
          <w:sz w:val="32"/>
          <w:szCs w:val="32"/>
          <w:highlight w:val="none"/>
        </w:rPr>
        <w:t>年</w:t>
      </w:r>
      <w:r>
        <w:rPr>
          <w:rFonts w:hint="default" w:eastAsia="仿宋_GB2312"/>
          <w:b w:val="0"/>
          <w:bCs w:val="0"/>
          <w:sz w:val="32"/>
          <w:szCs w:val="32"/>
        </w:rPr>
        <w:t>项目预算执行率有待提高，</w:t>
      </w:r>
      <w:bookmarkStart w:id="4" w:name="OLE_LINK2"/>
      <w:bookmarkStart w:id="5" w:name="OLE_LINK7"/>
      <w:r>
        <w:rPr>
          <w:rFonts w:hint="default" w:eastAsia="仿宋_GB2312"/>
          <w:b w:val="0"/>
          <w:bCs w:val="0"/>
          <w:sz w:val="32"/>
          <w:szCs w:val="32"/>
          <w:highlight w:val="none"/>
        </w:rPr>
        <w:t>医疗服务与保障能力提升</w:t>
      </w:r>
      <w:r>
        <w:rPr>
          <w:rFonts w:hint="default" w:eastAsia="仿宋_GB2312"/>
          <w:b w:val="0"/>
          <w:bCs w:val="0"/>
          <w:sz w:val="32"/>
          <w:szCs w:val="32"/>
          <w:highlight w:val="none"/>
          <w:lang w:val="en-US" w:eastAsia="zh-CN"/>
        </w:rPr>
        <w:t>中央财政</w:t>
      </w:r>
      <w:r>
        <w:rPr>
          <w:rFonts w:hint="default" w:eastAsia="仿宋_GB2312"/>
          <w:b w:val="0"/>
          <w:bCs w:val="0"/>
          <w:sz w:val="32"/>
          <w:szCs w:val="32"/>
          <w:highlight w:val="none"/>
        </w:rPr>
        <w:t>补助资金因</w:t>
      </w:r>
      <w:r>
        <w:rPr>
          <w:rFonts w:hint="default" w:eastAsia="仿宋_GB2312"/>
          <w:b w:val="0"/>
          <w:bCs w:val="0"/>
          <w:sz w:val="32"/>
          <w:szCs w:val="32"/>
          <w:highlight w:val="none"/>
          <w:lang w:val="en-US" w:eastAsia="zh-CN"/>
        </w:rPr>
        <w:t>受二次分配、多层级</w:t>
      </w:r>
      <w:r>
        <w:rPr>
          <w:rFonts w:hint="default" w:eastAsia="仿宋_GB2312"/>
          <w:b w:val="0"/>
          <w:bCs w:val="0"/>
          <w:sz w:val="32"/>
          <w:szCs w:val="32"/>
          <w:highlight w:val="none"/>
        </w:rPr>
        <w:t>审核</w:t>
      </w:r>
      <w:bookmarkEnd w:id="4"/>
      <w:r>
        <w:rPr>
          <w:rFonts w:hint="default" w:eastAsia="仿宋_GB2312"/>
          <w:b w:val="0"/>
          <w:bCs w:val="0"/>
          <w:sz w:val="32"/>
          <w:szCs w:val="32"/>
          <w:highlight w:val="none"/>
        </w:rPr>
        <w:t>等因素影响</w:t>
      </w:r>
      <w:bookmarkEnd w:id="5"/>
      <w:r>
        <w:rPr>
          <w:rFonts w:hint="default" w:eastAsia="仿宋_GB2312"/>
          <w:b w:val="0"/>
          <w:bCs w:val="0"/>
          <w:sz w:val="32"/>
          <w:szCs w:val="32"/>
          <w:highlight w:val="none"/>
        </w:rPr>
        <w:t>，预算执行率</w:t>
      </w:r>
      <w:r>
        <w:rPr>
          <w:rFonts w:hint="default" w:eastAsia="仿宋_GB2312"/>
          <w:b w:val="0"/>
          <w:bCs w:val="0"/>
          <w:sz w:val="32"/>
          <w:szCs w:val="32"/>
          <w:highlight w:val="none"/>
          <w:lang w:val="en-US" w:eastAsia="zh-CN"/>
        </w:rPr>
        <w:t>为91.22</w:t>
      </w:r>
      <w:r>
        <w:rPr>
          <w:rFonts w:hint="default" w:eastAsia="仿宋_GB2312"/>
          <w:b w:val="0"/>
          <w:bCs w:val="0"/>
          <w:sz w:val="32"/>
          <w:szCs w:val="32"/>
          <w:highlight w:val="none"/>
        </w:rPr>
        <w:t>%。</w:t>
      </w:r>
    </w:p>
    <w:p w14:paraId="3BDA287E">
      <w:pPr>
        <w:spacing w:line="578" w:lineRule="exact"/>
        <w:ind w:firstLine="640" w:firstLineChars="200"/>
        <w:rPr>
          <w:rFonts w:hint="default" w:ascii="Times New Roman" w:hAnsi="Times New Roman" w:eastAsia="楷体_GB2312" w:cs="Times New Roman"/>
          <w:b w:val="0"/>
          <w:bCs w:val="0"/>
          <w:color w:val="000000"/>
          <w:sz w:val="32"/>
          <w:szCs w:val="32"/>
          <w:highlight w:val="none"/>
        </w:rPr>
      </w:pPr>
      <w:r>
        <w:rPr>
          <w:rFonts w:hint="default" w:ascii="Times New Roman" w:hAnsi="Times New Roman" w:eastAsia="楷体_GB2312" w:cs="Times New Roman"/>
          <w:b w:val="0"/>
          <w:bCs w:val="0"/>
          <w:color w:val="000000"/>
          <w:sz w:val="32"/>
          <w:szCs w:val="32"/>
          <w:highlight w:val="none"/>
        </w:rPr>
        <w:t>（二）改进措施。</w:t>
      </w:r>
    </w:p>
    <w:p w14:paraId="21730C3B">
      <w:pPr>
        <w:spacing w:line="578" w:lineRule="exact"/>
        <w:ind w:firstLine="640" w:firstLineChars="200"/>
        <w:rPr>
          <w:rFonts w:hint="default" w:ascii="Times New Roman" w:hAnsi="Times New Roman" w:eastAsia="仿宋_GB2312" w:cs="Times New Roman"/>
          <w:b w:val="0"/>
          <w:bCs w:val="0"/>
          <w:color w:val="000000"/>
          <w:sz w:val="32"/>
          <w:szCs w:val="32"/>
          <w:highlight w:val="none"/>
        </w:rPr>
      </w:pPr>
      <w:r>
        <w:rPr>
          <w:rFonts w:hint="default" w:ascii="Times New Roman" w:hAnsi="Times New Roman" w:eastAsia="仿宋_GB2312" w:cs="Times New Roman"/>
          <w:b w:val="0"/>
          <w:bCs w:val="0"/>
          <w:color w:val="000000"/>
          <w:sz w:val="32"/>
          <w:szCs w:val="32"/>
          <w:highlight w:val="none"/>
        </w:rPr>
        <w:t>一是</w:t>
      </w:r>
      <w:r>
        <w:rPr>
          <w:rFonts w:hint="eastAsia" w:ascii="Times New Roman" w:hAnsi="Times New Roman" w:cs="Times New Roman"/>
          <w:b w:val="0"/>
          <w:bCs w:val="0"/>
          <w:color w:val="000000"/>
          <w:sz w:val="32"/>
          <w:szCs w:val="32"/>
          <w:highlight w:val="none"/>
          <w:lang w:val="en-US" w:eastAsia="zh-CN"/>
        </w:rPr>
        <w:t>2025 年该项目</w:t>
      </w:r>
      <w:r>
        <w:rPr>
          <w:rFonts w:hint="default" w:ascii="Times New Roman" w:hAnsi="Times New Roman" w:eastAsia="仿宋_GB2312" w:cs="Times New Roman"/>
          <w:b w:val="0"/>
          <w:bCs w:val="0"/>
          <w:color w:val="000000"/>
          <w:sz w:val="32"/>
          <w:szCs w:val="32"/>
          <w:highlight w:val="none"/>
        </w:rPr>
        <w:t>结余资金</w:t>
      </w:r>
      <w:r>
        <w:rPr>
          <w:rFonts w:hint="eastAsia" w:ascii="Times New Roman" w:hAnsi="Times New Roman" w:cs="Times New Roman"/>
          <w:b w:val="0"/>
          <w:bCs w:val="0"/>
          <w:color w:val="000000"/>
          <w:sz w:val="32"/>
          <w:szCs w:val="32"/>
          <w:highlight w:val="none"/>
          <w:lang w:eastAsia="zh-CN"/>
        </w:rPr>
        <w:t>已</w:t>
      </w:r>
      <w:r>
        <w:rPr>
          <w:rFonts w:hint="default" w:ascii="Times New Roman" w:hAnsi="Times New Roman" w:eastAsia="仿宋_GB2312" w:cs="Times New Roman"/>
          <w:b w:val="0"/>
          <w:bCs w:val="0"/>
          <w:color w:val="000000"/>
          <w:sz w:val="32"/>
          <w:szCs w:val="32"/>
          <w:highlight w:val="none"/>
        </w:rPr>
        <w:t>下达</w:t>
      </w:r>
      <w:r>
        <w:rPr>
          <w:rFonts w:hint="eastAsia" w:ascii="Times New Roman" w:hAnsi="Times New Roman" w:cs="Times New Roman"/>
          <w:b w:val="0"/>
          <w:bCs w:val="0"/>
          <w:color w:val="000000"/>
          <w:sz w:val="32"/>
          <w:szCs w:val="32"/>
          <w:highlight w:val="none"/>
          <w:lang w:eastAsia="zh-CN"/>
        </w:rPr>
        <w:t>，根据项目资金用途及时安排</w:t>
      </w:r>
      <w:r>
        <w:rPr>
          <w:rFonts w:hint="default" w:ascii="Times New Roman" w:hAnsi="Times New Roman" w:eastAsia="仿宋_GB2312" w:cs="Times New Roman"/>
          <w:b w:val="0"/>
          <w:bCs w:val="0"/>
          <w:color w:val="000000"/>
          <w:sz w:val="32"/>
          <w:szCs w:val="32"/>
          <w:highlight w:val="none"/>
        </w:rPr>
        <w:t>拨付。二是加强与</w:t>
      </w:r>
      <w:r>
        <w:rPr>
          <w:rFonts w:hint="eastAsia" w:cs="Times New Roman"/>
          <w:b w:val="0"/>
          <w:bCs w:val="0"/>
          <w:color w:val="000000"/>
          <w:sz w:val="32"/>
          <w:szCs w:val="32"/>
          <w:highlight w:val="none"/>
          <w:lang w:eastAsia="zh-CN"/>
        </w:rPr>
        <w:t>市级</w:t>
      </w:r>
      <w:r>
        <w:rPr>
          <w:rFonts w:hint="default" w:ascii="Times New Roman" w:hAnsi="Times New Roman" w:eastAsia="仿宋_GB2312" w:cs="Times New Roman"/>
          <w:b w:val="0"/>
          <w:bCs w:val="0"/>
          <w:color w:val="000000"/>
          <w:sz w:val="32"/>
          <w:szCs w:val="32"/>
          <w:highlight w:val="none"/>
        </w:rPr>
        <w:t>财政部门沟通协调，</w:t>
      </w:r>
      <w:r>
        <w:rPr>
          <w:rFonts w:hint="eastAsia" w:ascii="Times New Roman" w:hAnsi="Times New Roman" w:cs="Times New Roman"/>
          <w:b w:val="0"/>
          <w:bCs w:val="0"/>
          <w:color w:val="000000"/>
          <w:sz w:val="32"/>
          <w:szCs w:val="32"/>
          <w:highlight w:val="none"/>
          <w:lang w:eastAsia="zh-CN"/>
        </w:rPr>
        <w:t>做好</w:t>
      </w:r>
      <w:r>
        <w:rPr>
          <w:rFonts w:hint="eastAsia" w:ascii="Times New Roman" w:hAnsi="Times New Roman" w:cs="Times New Roman"/>
          <w:b w:val="0"/>
          <w:bCs w:val="0"/>
          <w:color w:val="000000"/>
          <w:sz w:val="32"/>
          <w:szCs w:val="32"/>
          <w:highlight w:val="none"/>
          <w:lang w:val="en-US" w:eastAsia="zh-CN"/>
        </w:rPr>
        <w:t>2026年该项目资金分配和使用，加强绩效管理</w:t>
      </w:r>
      <w:r>
        <w:rPr>
          <w:rFonts w:hint="default" w:ascii="Times New Roman" w:hAnsi="Times New Roman" w:eastAsia="仿宋_GB2312" w:cs="Times New Roman"/>
          <w:b w:val="0"/>
          <w:bCs w:val="0"/>
          <w:color w:val="000000"/>
          <w:sz w:val="32"/>
          <w:szCs w:val="32"/>
          <w:highlight w:val="none"/>
        </w:rPr>
        <w:t>。</w:t>
      </w:r>
    </w:p>
    <w:p w14:paraId="273E8CC3">
      <w:pPr>
        <w:spacing w:line="578" w:lineRule="exact"/>
        <w:ind w:firstLine="640" w:firstLineChars="200"/>
        <w:rPr>
          <w:rFonts w:hint="default" w:ascii="Times New Roman" w:hAnsi="Times New Roman" w:eastAsia="黑体" w:cs="Times New Roman"/>
          <w:b w:val="0"/>
          <w:bCs w:val="0"/>
          <w:color w:val="000000"/>
          <w:sz w:val="32"/>
          <w:szCs w:val="32"/>
          <w:highlight w:val="none"/>
        </w:rPr>
      </w:pPr>
      <w:r>
        <w:rPr>
          <w:rFonts w:hint="default" w:ascii="Times New Roman" w:hAnsi="Times New Roman" w:eastAsia="黑体" w:cs="Times New Roman"/>
          <w:b w:val="0"/>
          <w:bCs w:val="0"/>
          <w:color w:val="000000"/>
          <w:sz w:val="32"/>
          <w:szCs w:val="32"/>
          <w:highlight w:val="none"/>
        </w:rPr>
        <w:t>四、经验做法和意见建议</w:t>
      </w:r>
    </w:p>
    <w:p w14:paraId="6F7AFA5E">
      <w:pPr>
        <w:widowControl w:val="0"/>
        <w:spacing w:line="578" w:lineRule="exact"/>
        <w:ind w:firstLine="640" w:firstLineChars="200"/>
        <w:jc w:val="both"/>
        <w:rPr>
          <w:rFonts w:hint="default" w:ascii="Times New Roman" w:hAnsi="Times New Roman" w:eastAsia="仿宋_GB2312" w:cs="Times New Roman"/>
          <w:b w:val="0"/>
          <w:bCs w:val="0"/>
          <w:color w:val="000000"/>
          <w:kern w:val="2"/>
          <w:sz w:val="32"/>
          <w:szCs w:val="32"/>
          <w:highlight w:val="none"/>
          <w:lang w:val="en-US" w:eastAsia="zh-CN" w:bidi="ar-SA"/>
        </w:rPr>
      </w:pPr>
      <w:r>
        <w:rPr>
          <w:rFonts w:hint="default" w:ascii="Times New Roman" w:hAnsi="Times New Roman" w:eastAsia="仿宋_GB2312" w:cs="Times New Roman"/>
          <w:b w:val="0"/>
          <w:bCs w:val="0"/>
          <w:color w:val="000000"/>
          <w:kern w:val="2"/>
          <w:sz w:val="32"/>
          <w:szCs w:val="32"/>
          <w:highlight w:val="none"/>
          <w:lang w:val="en-US" w:eastAsia="zh-CN" w:bidi="ar-SA"/>
        </w:rPr>
        <w:t>无。</w:t>
      </w:r>
    </w:p>
    <w:p w14:paraId="6D9916C6">
      <w:pPr>
        <w:spacing w:line="578" w:lineRule="exact"/>
        <w:ind w:firstLine="640" w:firstLineChars="200"/>
        <w:rPr>
          <w:rFonts w:hint="default" w:ascii="Times New Roman" w:hAnsi="Times New Roman" w:eastAsia="黑体" w:cs="Times New Roman"/>
          <w:b w:val="0"/>
          <w:bCs w:val="0"/>
          <w:color w:val="000000"/>
          <w:sz w:val="32"/>
          <w:szCs w:val="32"/>
          <w:highlight w:val="none"/>
        </w:rPr>
      </w:pPr>
      <w:r>
        <w:rPr>
          <w:rFonts w:hint="default" w:ascii="Times New Roman" w:hAnsi="Times New Roman" w:eastAsia="黑体" w:cs="Times New Roman"/>
          <w:b w:val="0"/>
          <w:bCs w:val="0"/>
          <w:color w:val="000000"/>
          <w:sz w:val="32"/>
          <w:szCs w:val="32"/>
          <w:highlight w:val="none"/>
        </w:rPr>
        <w:t>五、其他需要说明的问题</w:t>
      </w:r>
    </w:p>
    <w:p w14:paraId="6CF9CD62">
      <w:pPr>
        <w:spacing w:line="578" w:lineRule="exact"/>
        <w:ind w:firstLine="640" w:firstLineChars="200"/>
        <w:rPr>
          <w:rFonts w:hint="default" w:ascii="Times New Roman" w:hAnsi="Times New Roman" w:eastAsia="仿宋_GB2312" w:cs="Times New Roman"/>
          <w:b w:val="0"/>
          <w:bCs w:val="0"/>
          <w:color w:val="000000"/>
          <w:sz w:val="32"/>
          <w:szCs w:val="32"/>
          <w:highlight w:val="none"/>
        </w:rPr>
      </w:pPr>
      <w:r>
        <w:rPr>
          <w:rFonts w:hint="default" w:ascii="Times New Roman" w:hAnsi="Times New Roman" w:eastAsia="仿宋_GB2312" w:cs="Times New Roman"/>
          <w:b w:val="0"/>
          <w:bCs w:val="0"/>
          <w:color w:val="000000"/>
          <w:sz w:val="32"/>
          <w:szCs w:val="32"/>
          <w:highlight w:val="none"/>
        </w:rPr>
        <w:t>无。</w:t>
      </w:r>
    </w:p>
    <w:p w14:paraId="3DDE1F63">
      <w:pPr>
        <w:ind w:firstLine="640" w:firstLineChars="200"/>
        <w:rPr>
          <w:rFonts w:hint="default" w:ascii="Times New Roman" w:hAnsi="Times New Roman" w:eastAsia="仿宋_GB2312" w:cs="Times New Roman"/>
          <w:b w:val="0"/>
          <w:bCs w:val="0"/>
          <w:sz w:val="32"/>
          <w:szCs w:val="32"/>
          <w:highlight w:val="none"/>
        </w:rPr>
      </w:pPr>
    </w:p>
    <w:p w14:paraId="7A786E10">
      <w:pPr>
        <w:widowControl w:val="0"/>
        <w:spacing w:line="560" w:lineRule="exact"/>
        <w:ind w:left="0" w:leftChars="0" w:firstLine="640" w:firstLineChars="200"/>
        <w:jc w:val="both"/>
        <w:rPr>
          <w:rFonts w:hint="default" w:ascii="Times New Roman" w:hAnsi="Times New Roman" w:eastAsia="仿宋_GB2312" w:cs="Times New Roman"/>
          <w:b w:val="0"/>
          <w:bCs w:val="0"/>
          <w:kern w:val="2"/>
          <w:sz w:val="32"/>
          <w:szCs w:val="32"/>
          <w:lang w:val="en-US" w:eastAsia="zh-CN" w:bidi="ar-SA"/>
        </w:rPr>
      </w:pPr>
    </w:p>
    <w:p w14:paraId="12E7E401">
      <w:pPr>
        <w:widowControl w:val="0"/>
        <w:spacing w:line="560" w:lineRule="exact"/>
        <w:ind w:left="0" w:leftChars="0" w:firstLine="640" w:firstLineChars="200"/>
        <w:jc w:val="both"/>
        <w:rPr>
          <w:rFonts w:hint="default" w:ascii="Times New Roman" w:hAnsi="Times New Roman" w:eastAsia="仿宋_GB2312" w:cs="Times New Roman"/>
          <w:b w:val="0"/>
          <w:bCs w:val="0"/>
          <w:kern w:val="2"/>
          <w:sz w:val="32"/>
          <w:szCs w:val="32"/>
          <w:lang w:val="en-US" w:eastAsia="zh-CN" w:bidi="ar-SA"/>
        </w:rPr>
      </w:pPr>
    </w:p>
    <w:p w14:paraId="23E4952C">
      <w:pPr>
        <w:widowControl w:val="0"/>
        <w:spacing w:line="560" w:lineRule="exact"/>
        <w:ind w:left="0" w:leftChars="0" w:firstLine="640" w:firstLineChars="200"/>
        <w:jc w:val="both"/>
        <w:rPr>
          <w:rFonts w:hint="default" w:ascii="Times New Roman" w:hAnsi="Times New Roman" w:eastAsia="仿宋_GB2312" w:cs="Times New Roman"/>
          <w:b w:val="0"/>
          <w:bCs w:val="0"/>
          <w:kern w:val="2"/>
          <w:sz w:val="32"/>
          <w:szCs w:val="32"/>
          <w:lang w:val="en-US" w:eastAsia="zh-CN" w:bidi="ar-SA"/>
        </w:rPr>
      </w:pPr>
    </w:p>
    <w:p w14:paraId="52E16EC4">
      <w:pPr>
        <w:spacing w:line="600" w:lineRule="exact"/>
        <w:ind w:firstLine="0" w:firstLineChars="0"/>
        <w:rPr>
          <w:rFonts w:ascii="Times New Roman" w:hAnsi="Times New Roman" w:eastAsia="方正小标宋简体" w:cs="Times New Roman"/>
          <w:b w:val="0"/>
          <w:bCs w:val="0"/>
          <w:color w:val="auto"/>
          <w:kern w:val="2"/>
          <w:sz w:val="40"/>
          <w:szCs w:val="40"/>
          <w:lang w:val="en-US"/>
        </w:rPr>
      </w:pPr>
    </w:p>
    <w:p w14:paraId="413BBA0C">
      <w:pPr>
        <w:widowControl/>
        <w:spacing w:line="578" w:lineRule="exact"/>
        <w:ind w:firstLine="880" w:firstLineChars="200"/>
        <w:contextualSpacing/>
        <w:jc w:val="center"/>
        <w:rPr>
          <w:rFonts w:ascii="Times New Roman" w:hAnsi="Times New Roman" w:eastAsia="方正小标宋_GBK" w:cs="Times New Roman"/>
          <w:b w:val="0"/>
          <w:bCs w:val="0"/>
          <w:sz w:val="44"/>
          <w:szCs w:val="44"/>
          <w:shd w:val="clear" w:color="auto" w:fill="FFFFFF"/>
        </w:rPr>
      </w:pPr>
      <w:r>
        <w:rPr>
          <w:rFonts w:ascii="Times New Roman" w:hAnsi="Times New Roman" w:eastAsia="方正小标宋_GBK" w:cs="Times New Roman"/>
          <w:b w:val="0"/>
          <w:bCs w:val="0"/>
          <w:sz w:val="44"/>
          <w:szCs w:val="44"/>
          <w:shd w:val="clear" w:color="auto" w:fill="FFFFFF"/>
        </w:rPr>
        <w:t>攀枝花市医疗保障事务中心</w:t>
      </w:r>
    </w:p>
    <w:p w14:paraId="10441DA7">
      <w:pPr>
        <w:widowControl/>
        <w:spacing w:line="578" w:lineRule="exact"/>
        <w:ind w:firstLine="880" w:firstLineChars="200"/>
        <w:contextualSpacing/>
        <w:jc w:val="center"/>
        <w:rPr>
          <w:rFonts w:ascii="Times New Roman" w:hAnsi="Times New Roman" w:eastAsia="方正小标宋_GBK" w:cs="Times New Roman"/>
          <w:b w:val="0"/>
          <w:bCs w:val="0"/>
          <w:color w:val="000000"/>
          <w:kern w:val="0"/>
          <w:sz w:val="44"/>
          <w:szCs w:val="44"/>
          <w:shd w:val="clear" w:color="auto" w:fill="FFFFFF"/>
          <w:lang w:val="zh-CN" w:eastAsia="zh-CN" w:bidi="ar-SA"/>
        </w:rPr>
      </w:pPr>
      <w:r>
        <w:rPr>
          <w:rFonts w:ascii="Times New Roman" w:hAnsi="Times New Roman" w:eastAsia="方正小标宋_GBK" w:cs="Times New Roman"/>
          <w:b w:val="0"/>
          <w:bCs w:val="0"/>
          <w:sz w:val="44"/>
          <w:szCs w:val="44"/>
          <w:shd w:val="clear" w:color="auto" w:fill="FFFFFF"/>
        </w:rPr>
        <w:t>医保定点医药机构监管经费项目</w:t>
      </w:r>
      <w:r>
        <w:rPr>
          <w:rFonts w:ascii="Times New Roman" w:hAnsi="Times New Roman" w:eastAsia="方正小标宋_GBK" w:cs="Times New Roman"/>
          <w:b w:val="0"/>
          <w:bCs w:val="0"/>
          <w:color w:val="000000"/>
          <w:kern w:val="0"/>
          <w:sz w:val="44"/>
          <w:szCs w:val="44"/>
          <w:shd w:val="clear" w:color="auto" w:fill="FFFFFF"/>
          <w:lang w:val="zh-CN" w:eastAsia="zh-CN" w:bidi="ar-SA"/>
        </w:rPr>
        <w:t>支出</w:t>
      </w:r>
    </w:p>
    <w:p w14:paraId="48361537">
      <w:pPr>
        <w:widowControl/>
        <w:spacing w:line="578" w:lineRule="exact"/>
        <w:ind w:firstLine="880" w:firstLineChars="200"/>
        <w:contextualSpacing/>
        <w:jc w:val="center"/>
        <w:rPr>
          <w:rFonts w:ascii="Times New Roman" w:hAnsi="Times New Roman" w:eastAsia="仿宋_GB2312" w:cs="Times New Roman"/>
          <w:b w:val="0"/>
          <w:bCs w:val="0"/>
          <w:color w:val="auto"/>
          <w:kern w:val="2"/>
          <w:sz w:val="32"/>
          <w:szCs w:val="32"/>
          <w:lang w:val="zh-CN" w:eastAsia="zh-CN" w:bidi="ar-SA"/>
        </w:rPr>
      </w:pPr>
      <w:r>
        <w:rPr>
          <w:rFonts w:ascii="Times New Roman" w:hAnsi="Times New Roman" w:eastAsia="方正小标宋_GBK" w:cs="Times New Roman"/>
          <w:b w:val="0"/>
          <w:bCs w:val="0"/>
          <w:color w:val="000000"/>
          <w:kern w:val="0"/>
          <w:sz w:val="44"/>
          <w:szCs w:val="44"/>
          <w:shd w:val="clear" w:color="auto" w:fill="FFFFFF"/>
          <w:lang w:val="zh-CN" w:eastAsia="zh-CN" w:bidi="ar-SA"/>
        </w:rPr>
        <w:t>绩效自评报告</w:t>
      </w:r>
    </w:p>
    <w:p w14:paraId="4AE4BCE6">
      <w:pPr>
        <w:widowControl w:val="0"/>
        <w:spacing w:line="578" w:lineRule="exact"/>
        <w:ind w:firstLine="640" w:firstLineChars="200"/>
        <w:jc w:val="center"/>
        <w:rPr>
          <w:rFonts w:ascii="Times New Roman" w:hAnsi="Times New Roman" w:eastAsia="宋体" w:cs="Times New Roman"/>
          <w:b w:val="0"/>
          <w:bCs w:val="0"/>
          <w:color w:val="auto"/>
          <w:kern w:val="2"/>
          <w:sz w:val="32"/>
          <w:szCs w:val="32"/>
          <w:lang w:val="zh-CN" w:eastAsia="zh-CN" w:bidi="ar-SA"/>
        </w:rPr>
      </w:pPr>
    </w:p>
    <w:p w14:paraId="739E6DF9">
      <w:pPr>
        <w:adjustRightInd w:val="0"/>
        <w:snapToGrid w:val="0"/>
        <w:spacing w:line="578" w:lineRule="exact"/>
        <w:ind w:firstLine="640" w:firstLineChars="200"/>
        <w:rPr>
          <w:rFonts w:ascii="Times New Roman" w:hAnsi="Times New Roman" w:eastAsia="黑体" w:cs="Times New Roman"/>
          <w:b w:val="0"/>
          <w:bCs w:val="0"/>
          <w:szCs w:val="32"/>
          <w:lang w:val="zh-CN"/>
        </w:rPr>
      </w:pPr>
      <w:r>
        <w:rPr>
          <w:rFonts w:ascii="Times New Roman" w:hAnsi="Times New Roman" w:eastAsia="黑体" w:cs="Times New Roman"/>
          <w:b w:val="0"/>
          <w:bCs w:val="0"/>
          <w:szCs w:val="32"/>
        </w:rPr>
        <w:t>一、</w:t>
      </w:r>
      <w:r>
        <w:rPr>
          <w:rFonts w:ascii="Times New Roman" w:hAnsi="Times New Roman" w:eastAsia="黑体" w:cs="Times New Roman"/>
          <w:b w:val="0"/>
          <w:bCs w:val="0"/>
          <w:szCs w:val="32"/>
          <w:lang w:val="zh-CN"/>
        </w:rPr>
        <w:t>项目概况</w:t>
      </w:r>
    </w:p>
    <w:p w14:paraId="37221FBF">
      <w:pPr>
        <w:adjustRightInd w:val="0"/>
        <w:snapToGrid w:val="0"/>
        <w:spacing w:line="578" w:lineRule="exact"/>
        <w:ind w:firstLine="640" w:firstLineChars="200"/>
        <w:rPr>
          <w:rFonts w:ascii="Times New Roman" w:hAnsi="Times New Roman" w:cs="Times New Roman"/>
          <w:b w:val="0"/>
          <w:bCs w:val="0"/>
          <w:szCs w:val="32"/>
          <w:lang w:val="zh-CN"/>
        </w:rPr>
      </w:pPr>
      <w:r>
        <w:rPr>
          <w:rFonts w:ascii="Times New Roman" w:hAnsi="Times New Roman" w:eastAsia="楷体_GB2312" w:cs="Times New Roman"/>
          <w:b w:val="0"/>
          <w:bCs w:val="0"/>
          <w:szCs w:val="32"/>
          <w:lang w:val="zh-CN"/>
        </w:rPr>
        <w:t>（一）项目基本情况。</w:t>
      </w:r>
    </w:p>
    <w:p w14:paraId="3C6EB33B">
      <w:pPr>
        <w:spacing w:line="578" w:lineRule="exact"/>
        <w:ind w:firstLine="640" w:firstLineChars="200"/>
        <w:rPr>
          <w:rFonts w:ascii="Times New Roman" w:hAnsi="Times New Roman" w:cs="Times New Roman"/>
          <w:b w:val="0"/>
          <w:bCs w:val="0"/>
          <w:szCs w:val="32"/>
          <w:lang w:val="zh-CN"/>
        </w:rPr>
      </w:pPr>
      <w:r>
        <w:rPr>
          <w:rFonts w:ascii="Times New Roman" w:hAnsi="Times New Roman" w:cs="Times New Roman"/>
          <w:b w:val="0"/>
          <w:bCs w:val="0"/>
          <w:szCs w:val="32"/>
        </w:rPr>
        <w:t>1.</w:t>
      </w:r>
      <w:r>
        <w:rPr>
          <w:rFonts w:ascii="Times New Roman" w:hAnsi="Times New Roman" w:cs="Times New Roman"/>
          <w:b w:val="0"/>
          <w:bCs w:val="0"/>
          <w:szCs w:val="32"/>
          <w:lang w:val="zh-CN"/>
        </w:rPr>
        <w:t>说明项目主管部门（单位）在该项目管理中的职能</w:t>
      </w:r>
    </w:p>
    <w:p w14:paraId="3961E2B4">
      <w:pPr>
        <w:spacing w:line="578" w:lineRule="exact"/>
        <w:ind w:firstLine="640" w:firstLineChars="200"/>
        <w:rPr>
          <w:rFonts w:ascii="Times New Roman" w:hAnsi="Times New Roman" w:cs="Times New Roman"/>
          <w:b w:val="0"/>
          <w:bCs w:val="0"/>
          <w:szCs w:val="32"/>
          <w:lang w:val="zh-CN"/>
        </w:rPr>
      </w:pPr>
      <w:r>
        <w:rPr>
          <w:rFonts w:ascii="Times New Roman" w:hAnsi="Times New Roman" w:cs="Times New Roman"/>
          <w:b w:val="0"/>
          <w:bCs w:val="0"/>
          <w:szCs w:val="32"/>
        </w:rPr>
        <w:t>本项目主管部门为市医保局，其下属的市医保事务中心具体负责项目实施。在该项目管理中，市医保局发挥统筹规划、政策制定与监督指导职能，确保医保基金监管稽核工作沿着正确方向推进，</w:t>
      </w:r>
      <w:r>
        <w:rPr>
          <w:rFonts w:hint="eastAsia" w:ascii="Times New Roman" w:hAnsi="Times New Roman" w:cs="Times New Roman"/>
          <w:b w:val="0"/>
          <w:bCs w:val="0"/>
          <w:szCs w:val="32"/>
          <w:lang w:eastAsia="zh-CN"/>
        </w:rPr>
        <w:t>市医保事务中心</w:t>
      </w:r>
      <w:r>
        <w:rPr>
          <w:rFonts w:ascii="Times New Roman" w:hAnsi="Times New Roman" w:cs="Times New Roman"/>
          <w:b w:val="0"/>
          <w:bCs w:val="0"/>
          <w:szCs w:val="32"/>
        </w:rPr>
        <w:t>则承担组织人员、落实任务、执行监管稽核行动等实际操作层面的工作，保障医保基金监管稽核各项举措落地见效。</w:t>
      </w:r>
    </w:p>
    <w:p w14:paraId="2ED0DED9">
      <w:pPr>
        <w:adjustRightInd w:val="0"/>
        <w:snapToGrid w:val="0"/>
        <w:spacing w:line="578" w:lineRule="exact"/>
        <w:ind w:firstLine="640" w:firstLineChars="200"/>
        <w:rPr>
          <w:rFonts w:ascii="Times New Roman" w:hAnsi="Times New Roman" w:cs="Times New Roman"/>
          <w:b w:val="0"/>
          <w:bCs w:val="0"/>
          <w:szCs w:val="32"/>
        </w:rPr>
      </w:pPr>
      <w:r>
        <w:rPr>
          <w:rFonts w:ascii="Times New Roman" w:hAnsi="Times New Roman" w:cs="Times New Roman"/>
          <w:b w:val="0"/>
          <w:bCs w:val="0"/>
          <w:szCs w:val="32"/>
          <w:lang w:val="zh-CN"/>
        </w:rPr>
        <w:t>2. 项目立项、资金申报的依据。</w:t>
      </w:r>
    </w:p>
    <w:p w14:paraId="72F1D52A">
      <w:pPr>
        <w:adjustRightInd w:val="0"/>
        <w:snapToGrid w:val="0"/>
        <w:spacing w:line="578" w:lineRule="exact"/>
        <w:ind w:firstLine="640" w:firstLineChars="200"/>
        <w:rPr>
          <w:rFonts w:ascii="Times New Roman" w:hAnsi="Times New Roman" w:cs="Times New Roman"/>
          <w:b w:val="0"/>
          <w:bCs w:val="0"/>
          <w:szCs w:val="32"/>
          <w:lang w:val="zh-CN"/>
        </w:rPr>
      </w:pPr>
      <w:r>
        <w:rPr>
          <w:rFonts w:ascii="Times New Roman" w:hAnsi="Times New Roman" w:cs="Times New Roman"/>
          <w:b w:val="0"/>
          <w:bCs w:val="0"/>
          <w:szCs w:val="32"/>
        </w:rPr>
        <w:t>为国家、省关于强化医保基金监管，打击欺诈骗保行为，维护医保基金安全的系列政策文件，以及本市医保基金运行实际情况与监管需求。资金申报依据</w:t>
      </w:r>
      <w:r>
        <w:rPr>
          <w:rFonts w:hint="eastAsia" w:ascii="Times New Roman" w:hAnsi="Times New Roman" w:cs="Times New Roman"/>
          <w:b w:val="0"/>
          <w:bCs w:val="0"/>
          <w:szCs w:val="32"/>
          <w:lang w:eastAsia="zh-CN"/>
        </w:rPr>
        <w:t>市医保事务中心</w:t>
      </w:r>
      <w:r>
        <w:rPr>
          <w:rFonts w:ascii="Times New Roman" w:hAnsi="Times New Roman" w:cs="Times New Roman"/>
          <w:b w:val="0"/>
          <w:bCs w:val="0"/>
          <w:szCs w:val="32"/>
        </w:rPr>
        <w:t>年度工作计划，结合过往监管稽核工作成本、人员经费需求及新增监管任务要求，按照财政预算编制规范流程进行申报。</w:t>
      </w:r>
    </w:p>
    <w:p w14:paraId="065D4D74">
      <w:pPr>
        <w:adjustRightInd w:val="0"/>
        <w:snapToGrid w:val="0"/>
        <w:spacing w:line="578" w:lineRule="exact"/>
        <w:ind w:firstLine="640" w:firstLineChars="200"/>
        <w:rPr>
          <w:rFonts w:ascii="Times New Roman" w:hAnsi="Times New Roman" w:cs="Times New Roman"/>
          <w:b w:val="0"/>
          <w:bCs w:val="0"/>
          <w:szCs w:val="32"/>
          <w:lang w:val="zh-CN"/>
        </w:rPr>
      </w:pPr>
      <w:r>
        <w:rPr>
          <w:rFonts w:ascii="Times New Roman" w:hAnsi="Times New Roman" w:cs="Times New Roman"/>
          <w:b w:val="0"/>
          <w:bCs w:val="0"/>
          <w:szCs w:val="32"/>
          <w:lang w:val="zh-CN"/>
        </w:rPr>
        <w:t>3．资金管理办法制定情况，资金支持具体项目的条件、范围与支持方式概况。</w:t>
      </w:r>
    </w:p>
    <w:p w14:paraId="111AD6DE">
      <w:pPr>
        <w:adjustRightInd w:val="0"/>
        <w:snapToGrid w:val="0"/>
        <w:spacing w:line="578" w:lineRule="exact"/>
        <w:ind w:firstLine="640" w:firstLineChars="200"/>
        <w:rPr>
          <w:rFonts w:ascii="Times New Roman" w:hAnsi="Times New Roman" w:cs="Times New Roman"/>
          <w:b w:val="0"/>
          <w:bCs w:val="0"/>
          <w:szCs w:val="32"/>
          <w:lang w:val="zh-CN"/>
        </w:rPr>
      </w:pPr>
      <w:r>
        <w:rPr>
          <w:rFonts w:ascii="Times New Roman" w:hAnsi="Times New Roman" w:cs="Times New Roman"/>
          <w:b w:val="0"/>
          <w:bCs w:val="0"/>
          <w:szCs w:val="32"/>
        </w:rPr>
        <w:t>资金管理办法依据市级财政专项资金管理办法制定，明确专款专用原则。资金支持具体项目的条件为围绕医保基金监管稽核核心任务，涵盖人员经费保障、专业服务采购、实地检查行动开展等；范围覆盖全市医保定点医药机构、参保人员就医行为核查等领域；支持方式以财政直接拨款为主，保障各项监管稽核活动所需经费及时足额到位。</w:t>
      </w:r>
    </w:p>
    <w:p w14:paraId="77564752">
      <w:pPr>
        <w:adjustRightInd w:val="0"/>
        <w:snapToGrid w:val="0"/>
        <w:spacing w:line="578" w:lineRule="exact"/>
        <w:ind w:firstLine="640" w:firstLineChars="200"/>
        <w:rPr>
          <w:rFonts w:ascii="Times New Roman" w:hAnsi="Times New Roman" w:cs="Times New Roman"/>
          <w:b w:val="0"/>
          <w:bCs w:val="0"/>
          <w:szCs w:val="32"/>
          <w:lang w:val="zh-CN"/>
        </w:rPr>
      </w:pPr>
      <w:r>
        <w:rPr>
          <w:rFonts w:ascii="Times New Roman" w:hAnsi="Times New Roman" w:cs="Times New Roman"/>
          <w:b w:val="0"/>
          <w:bCs w:val="0"/>
          <w:szCs w:val="32"/>
          <w:lang w:val="zh-CN"/>
        </w:rPr>
        <w:t>4. 资金分配的原则及考虑因素。</w:t>
      </w:r>
    </w:p>
    <w:p w14:paraId="0FA6B51F">
      <w:pPr>
        <w:spacing w:line="578" w:lineRule="exact"/>
        <w:ind w:firstLine="640" w:firstLineChars="200"/>
        <w:rPr>
          <w:rFonts w:ascii="Times New Roman" w:hAnsi="Times New Roman" w:cs="Times New Roman"/>
          <w:b w:val="0"/>
          <w:bCs w:val="0"/>
          <w:szCs w:val="32"/>
          <w:lang w:val="zh-CN"/>
        </w:rPr>
      </w:pPr>
      <w:r>
        <w:rPr>
          <w:rFonts w:ascii="Times New Roman" w:hAnsi="Times New Roman" w:cs="Times New Roman"/>
          <w:b w:val="0"/>
          <w:bCs w:val="0"/>
          <w:szCs w:val="32"/>
        </w:rPr>
        <w:t>资金分配原则综合考虑工作任务优先级、人员投入规模、检查覆盖广度与深度等因素。优先保障</w:t>
      </w:r>
      <w:r>
        <w:rPr>
          <w:rFonts w:hint="default" w:ascii="Times New Roman" w:hAnsi="Times New Roman" w:cs="Times New Roman"/>
          <w:b w:val="0"/>
          <w:bCs w:val="0"/>
          <w:szCs w:val="32"/>
          <w:lang w:eastAsia="zh-CN"/>
        </w:rPr>
        <w:t>稽核工作人员</w:t>
      </w:r>
      <w:r>
        <w:rPr>
          <w:rFonts w:ascii="Times New Roman" w:hAnsi="Times New Roman" w:cs="Times New Roman"/>
          <w:b w:val="0"/>
          <w:bCs w:val="0"/>
          <w:szCs w:val="32"/>
        </w:rPr>
        <w:t>基本工资、五险一金等基本待遇，确保人员队伍稳定；依据不同检查项目难度、工作量分配差旅费、资料费等专项经费；根据第三方专业公司服务内容、技术含量分配服务采购资金，以实现资金效益最大化，保障医保基金监管稽核工作全面、高效开展。</w:t>
      </w:r>
    </w:p>
    <w:p w14:paraId="08BD3055">
      <w:pPr>
        <w:adjustRightInd w:val="0"/>
        <w:snapToGrid w:val="0"/>
        <w:spacing w:line="578" w:lineRule="exact"/>
        <w:ind w:firstLine="640" w:firstLineChars="200"/>
        <w:rPr>
          <w:rFonts w:ascii="Times New Roman" w:hAnsi="Times New Roman" w:eastAsia="楷体_GB2312" w:cs="Times New Roman"/>
          <w:b w:val="0"/>
          <w:bCs w:val="0"/>
          <w:szCs w:val="32"/>
          <w:lang w:val="zh-CN"/>
        </w:rPr>
      </w:pPr>
      <w:r>
        <w:rPr>
          <w:rFonts w:ascii="Times New Roman" w:hAnsi="Times New Roman" w:eastAsia="楷体_GB2312" w:cs="Times New Roman"/>
          <w:b w:val="0"/>
          <w:bCs w:val="0"/>
          <w:szCs w:val="32"/>
          <w:lang w:val="zh-CN"/>
        </w:rPr>
        <w:t>（二）项目绩效目标。</w:t>
      </w:r>
    </w:p>
    <w:p w14:paraId="7E416BB4">
      <w:pPr>
        <w:adjustRightInd w:val="0"/>
        <w:snapToGrid w:val="0"/>
        <w:spacing w:line="578" w:lineRule="exact"/>
        <w:ind w:firstLine="640" w:firstLineChars="200"/>
        <w:rPr>
          <w:rFonts w:ascii="Times New Roman" w:hAnsi="Times New Roman" w:cs="Times New Roman"/>
          <w:b w:val="0"/>
          <w:bCs w:val="0"/>
          <w:szCs w:val="32"/>
          <w:lang w:val="zh-CN"/>
        </w:rPr>
      </w:pPr>
      <w:r>
        <w:rPr>
          <w:rFonts w:ascii="Times New Roman" w:hAnsi="Times New Roman" w:cs="Times New Roman"/>
          <w:b w:val="0"/>
          <w:bCs w:val="0"/>
          <w:szCs w:val="32"/>
          <w:lang w:val="zh-CN"/>
        </w:rPr>
        <w:t>1. 项目主要内容。</w:t>
      </w:r>
    </w:p>
    <w:p w14:paraId="2EDF4D2B">
      <w:pPr>
        <w:spacing w:line="578" w:lineRule="exact"/>
        <w:ind w:firstLine="640" w:firstLineChars="200"/>
        <w:rPr>
          <w:rFonts w:ascii="Times New Roman" w:hAnsi="Times New Roman" w:cs="Times New Roman"/>
          <w:b w:val="0"/>
          <w:bCs w:val="0"/>
          <w:szCs w:val="32"/>
        </w:rPr>
      </w:pPr>
      <w:r>
        <w:rPr>
          <w:rFonts w:ascii="Times New Roman" w:hAnsi="Times New Roman" w:cs="Times New Roman"/>
          <w:b w:val="0"/>
          <w:bCs w:val="0"/>
          <w:szCs w:val="32"/>
        </w:rPr>
        <w:t>（1）用于</w:t>
      </w:r>
      <w:r>
        <w:rPr>
          <w:rFonts w:hint="default" w:ascii="Times New Roman" w:hAnsi="Times New Roman" w:cs="Times New Roman"/>
          <w:b w:val="0"/>
          <w:bCs w:val="0"/>
          <w:szCs w:val="32"/>
          <w:lang w:eastAsia="zh-CN"/>
        </w:rPr>
        <w:t>保障稽核工作人员</w:t>
      </w:r>
      <w:r>
        <w:rPr>
          <w:rFonts w:ascii="Times New Roman" w:hAnsi="Times New Roman" w:cs="Times New Roman"/>
          <w:b w:val="0"/>
          <w:bCs w:val="0"/>
          <w:szCs w:val="32"/>
        </w:rPr>
        <w:t>工资、社保缴费、公积金等支出。</w:t>
      </w:r>
    </w:p>
    <w:p w14:paraId="613E5BCC">
      <w:pPr>
        <w:spacing w:line="578" w:lineRule="exact"/>
        <w:ind w:firstLine="640" w:firstLineChars="200"/>
        <w:rPr>
          <w:rFonts w:ascii="Times New Roman" w:hAnsi="Times New Roman" w:cs="Times New Roman"/>
          <w:b w:val="0"/>
          <w:bCs w:val="0"/>
          <w:szCs w:val="32"/>
        </w:rPr>
      </w:pPr>
      <w:r>
        <w:rPr>
          <w:rFonts w:ascii="Times New Roman" w:hAnsi="Times New Roman" w:cs="Times New Roman"/>
          <w:b w:val="0"/>
          <w:bCs w:val="0"/>
          <w:szCs w:val="32"/>
        </w:rPr>
        <w:t>（2）在参保方面要加大宣传力度，提升参保率，实现全民参保。</w:t>
      </w:r>
    </w:p>
    <w:p w14:paraId="5903E48D">
      <w:pPr>
        <w:spacing w:line="578" w:lineRule="exact"/>
        <w:ind w:firstLine="640" w:firstLineChars="200"/>
        <w:rPr>
          <w:rFonts w:ascii="Times New Roman" w:hAnsi="Times New Roman" w:cs="Times New Roman"/>
          <w:b w:val="0"/>
          <w:bCs w:val="0"/>
          <w:szCs w:val="32"/>
        </w:rPr>
      </w:pPr>
      <w:r>
        <w:rPr>
          <w:rFonts w:ascii="Times New Roman" w:hAnsi="Times New Roman" w:cs="Times New Roman"/>
          <w:b w:val="0"/>
          <w:bCs w:val="0"/>
          <w:szCs w:val="32"/>
        </w:rPr>
        <w:t>（3）按一定比例抽查全市所有定点医疗机构上一年度住院病例的完整病案纸质资料和费用明细。</w:t>
      </w:r>
    </w:p>
    <w:p w14:paraId="410D9C34">
      <w:pPr>
        <w:spacing w:line="578" w:lineRule="exact"/>
        <w:ind w:firstLine="640" w:firstLineChars="200"/>
        <w:rPr>
          <w:rFonts w:ascii="Times New Roman" w:hAnsi="Times New Roman" w:cs="Times New Roman"/>
          <w:b w:val="0"/>
          <w:bCs w:val="0"/>
          <w:szCs w:val="32"/>
        </w:rPr>
      </w:pPr>
      <w:r>
        <w:rPr>
          <w:rFonts w:ascii="Times New Roman" w:hAnsi="Times New Roman" w:cs="Times New Roman"/>
          <w:b w:val="0"/>
          <w:bCs w:val="0"/>
          <w:szCs w:val="32"/>
        </w:rPr>
        <w:t>（4）不断提升市医保经办机构医保基金监管水平，坚决维护医保基金安全可持续发展。</w:t>
      </w:r>
    </w:p>
    <w:p w14:paraId="34DF0C30">
      <w:pPr>
        <w:spacing w:line="578" w:lineRule="exact"/>
        <w:ind w:firstLine="640" w:firstLineChars="200"/>
        <w:rPr>
          <w:rFonts w:ascii="Times New Roman" w:hAnsi="Times New Roman" w:cs="Times New Roman"/>
          <w:b w:val="0"/>
          <w:bCs w:val="0"/>
          <w:szCs w:val="32"/>
          <w:lang w:val="zh-CN"/>
        </w:rPr>
      </w:pPr>
      <w:r>
        <w:rPr>
          <w:rFonts w:ascii="Times New Roman" w:hAnsi="Times New Roman" w:cs="Times New Roman"/>
          <w:b w:val="0"/>
          <w:bCs w:val="0"/>
          <w:szCs w:val="32"/>
        </w:rPr>
        <w:t>（5）让全市参保群众懂得了人人参保、按时续保的重要意义，也对医保政策有了更深入全面的了解，在以后的生活中，能更好地从此项关乎自己切身利益的惠民政策中受益。同时，通过宣传，让医保机构、医疗机构、药店、用人单位和参保人员等医疗保障参与方在参保、就医、服务等方式遵守法律法规，提升医疗保障的社会影响力。</w:t>
      </w:r>
    </w:p>
    <w:p w14:paraId="7887F418">
      <w:pPr>
        <w:adjustRightInd w:val="0"/>
        <w:snapToGrid w:val="0"/>
        <w:spacing w:line="578" w:lineRule="exact"/>
        <w:ind w:firstLine="640" w:firstLineChars="200"/>
        <w:rPr>
          <w:rFonts w:ascii="Times New Roman" w:hAnsi="Times New Roman" w:cs="Times New Roman"/>
          <w:b w:val="0"/>
          <w:bCs w:val="0"/>
          <w:szCs w:val="32"/>
          <w:lang w:val="zh-CN"/>
        </w:rPr>
      </w:pPr>
      <w:r>
        <w:rPr>
          <w:rFonts w:ascii="Times New Roman" w:hAnsi="Times New Roman" w:cs="Times New Roman"/>
          <w:b w:val="0"/>
          <w:bCs w:val="0"/>
          <w:szCs w:val="32"/>
          <w:lang w:val="zh-CN"/>
        </w:rPr>
        <w:t>2. 项目应实现的具体绩效目标，包括目标的量化、细化情况以及项目实施进度计划等。</w:t>
      </w:r>
    </w:p>
    <w:p w14:paraId="44A44055">
      <w:pPr>
        <w:spacing w:line="578" w:lineRule="exact"/>
        <w:ind w:firstLine="640" w:firstLineChars="200"/>
        <w:rPr>
          <w:rFonts w:ascii="Times New Roman" w:hAnsi="Times New Roman" w:cs="Times New Roman"/>
          <w:b w:val="0"/>
          <w:bCs w:val="0"/>
          <w:szCs w:val="32"/>
        </w:rPr>
      </w:pPr>
      <w:r>
        <w:rPr>
          <w:rFonts w:ascii="Times New Roman" w:hAnsi="Times New Roman" w:cs="Times New Roman"/>
          <w:b w:val="0"/>
          <w:bCs w:val="0"/>
          <w:szCs w:val="32"/>
        </w:rPr>
        <w:t>截至202</w:t>
      </w:r>
      <w:r>
        <w:rPr>
          <w:rFonts w:hint="default" w:ascii="Times New Roman" w:hAnsi="Times New Roman" w:cs="Times New Roman"/>
          <w:b w:val="0"/>
          <w:bCs w:val="0"/>
          <w:szCs w:val="32"/>
          <w:lang w:val="en-US" w:eastAsia="zh-CN"/>
        </w:rPr>
        <w:t>5</w:t>
      </w:r>
      <w:r>
        <w:rPr>
          <w:rFonts w:ascii="Times New Roman" w:hAnsi="Times New Roman" w:cs="Times New Roman"/>
          <w:b w:val="0"/>
          <w:bCs w:val="0"/>
          <w:szCs w:val="32"/>
        </w:rPr>
        <w:t>年12月31日，实现基金监管人员力量提升；加大宣传力度，提升参保率，实现全民参保，让医保机构、医疗机构、药店、用人单位和参保人员等医疗保障参与方在参保、就医、服务等方式遵守法律法规，提升医疗保障的社会影响力；按一定比例抽查全市所有定点医疗机构上一年度住院病例的完整病案纸质资料和费用明细。</w:t>
      </w:r>
    </w:p>
    <w:p w14:paraId="2F2185A9">
      <w:pPr>
        <w:spacing w:line="578" w:lineRule="exact"/>
        <w:ind w:firstLine="640" w:firstLineChars="200"/>
        <w:rPr>
          <w:rFonts w:ascii="Times New Roman" w:hAnsi="Times New Roman" w:cs="Times New Roman"/>
          <w:b w:val="0"/>
          <w:bCs w:val="0"/>
          <w:szCs w:val="32"/>
          <w:lang w:val="zh-CN"/>
        </w:rPr>
      </w:pPr>
      <w:r>
        <w:rPr>
          <w:rFonts w:ascii="Times New Roman" w:hAnsi="Times New Roman" w:cs="Times New Roman"/>
          <w:b w:val="0"/>
          <w:bCs w:val="0"/>
          <w:szCs w:val="32"/>
          <w:lang w:val="zh-CN"/>
        </w:rPr>
        <w:t>3. 分析评价申报内容是否与实际相符，申报目标是否合理可行。</w:t>
      </w:r>
    </w:p>
    <w:p w14:paraId="45DF253B">
      <w:pPr>
        <w:spacing w:line="578" w:lineRule="exact"/>
        <w:ind w:firstLine="640" w:firstLineChars="200"/>
        <w:rPr>
          <w:rFonts w:ascii="Times New Roman" w:hAnsi="Times New Roman" w:cs="Times New Roman"/>
          <w:b w:val="0"/>
          <w:bCs w:val="0"/>
          <w:szCs w:val="32"/>
          <w:lang w:val="zh-CN"/>
        </w:rPr>
      </w:pPr>
      <w:r>
        <w:rPr>
          <w:rFonts w:hint="eastAsia" w:ascii="Times New Roman" w:hAnsi="Times New Roman" w:cs="Times New Roman"/>
          <w:b w:val="0"/>
          <w:bCs w:val="0"/>
          <w:szCs w:val="32"/>
          <w:lang w:eastAsia="zh-CN"/>
        </w:rPr>
        <w:t>市医保事务中心</w:t>
      </w:r>
      <w:r>
        <w:rPr>
          <w:rFonts w:ascii="Times New Roman" w:hAnsi="Times New Roman" w:cs="Times New Roman"/>
          <w:b w:val="0"/>
          <w:bCs w:val="0"/>
          <w:szCs w:val="32"/>
        </w:rPr>
        <w:t>紧密结合本市医保工作实际，依据政策要求与基金监管形势制定绩效目标，申报内容如实反映工作需求，各项指标经充分论证，具备现实可行性，与本市医保事业发展阶段相适应，能够通过努力达成预期效果，切实保障医保基金安全、高效运行。</w:t>
      </w:r>
    </w:p>
    <w:p w14:paraId="1E6D7085">
      <w:pPr>
        <w:adjustRightInd w:val="0"/>
        <w:snapToGrid w:val="0"/>
        <w:spacing w:line="578" w:lineRule="exact"/>
        <w:ind w:firstLine="640" w:firstLineChars="200"/>
        <w:rPr>
          <w:rFonts w:ascii="Times New Roman" w:hAnsi="Times New Roman" w:eastAsia="楷体_GB2312" w:cs="Times New Roman"/>
          <w:b w:val="0"/>
          <w:bCs w:val="0"/>
          <w:szCs w:val="32"/>
          <w:lang w:val="zh-CN"/>
        </w:rPr>
      </w:pPr>
      <w:r>
        <w:rPr>
          <w:rFonts w:ascii="Times New Roman" w:hAnsi="Times New Roman" w:eastAsia="楷体_GB2312" w:cs="Times New Roman"/>
          <w:b w:val="0"/>
          <w:bCs w:val="0"/>
          <w:szCs w:val="32"/>
          <w:lang w:val="zh-CN"/>
        </w:rPr>
        <w:t>（三）项目自评步骤及方法。</w:t>
      </w:r>
    </w:p>
    <w:p w14:paraId="2BCBC364">
      <w:pPr>
        <w:spacing w:line="578" w:lineRule="exact"/>
        <w:ind w:firstLine="640" w:firstLineChars="200"/>
        <w:rPr>
          <w:rFonts w:ascii="Times New Roman" w:hAnsi="Times New Roman" w:cs="Times New Roman"/>
          <w:b w:val="0"/>
          <w:bCs w:val="0"/>
          <w:szCs w:val="32"/>
          <w:lang w:val="zh-CN"/>
        </w:rPr>
      </w:pPr>
      <w:r>
        <w:rPr>
          <w:rFonts w:hint="eastAsia" w:ascii="Times New Roman" w:hAnsi="Times New Roman" w:cs="Times New Roman"/>
          <w:b w:val="0"/>
          <w:bCs w:val="0"/>
          <w:szCs w:val="32"/>
          <w:lang w:eastAsia="zh-CN"/>
        </w:rPr>
        <w:t>该项目</w:t>
      </w:r>
      <w:r>
        <w:rPr>
          <w:rFonts w:ascii="Times New Roman" w:hAnsi="Times New Roman" w:cs="Times New Roman"/>
          <w:b w:val="0"/>
          <w:bCs w:val="0"/>
          <w:szCs w:val="32"/>
        </w:rPr>
        <w:t>由</w:t>
      </w:r>
      <w:r>
        <w:rPr>
          <w:rFonts w:hint="eastAsia" w:ascii="Times New Roman" w:hAnsi="Times New Roman" w:cs="Times New Roman"/>
          <w:b w:val="0"/>
          <w:bCs w:val="0"/>
          <w:szCs w:val="32"/>
          <w:lang w:eastAsia="zh-CN"/>
        </w:rPr>
        <w:t>市医保事务中心稽核科</w:t>
      </w:r>
      <w:r>
        <w:rPr>
          <w:rFonts w:ascii="Times New Roman" w:hAnsi="Times New Roman" w:cs="Times New Roman"/>
          <w:b w:val="0"/>
          <w:bCs w:val="0"/>
          <w:szCs w:val="32"/>
        </w:rPr>
        <w:t>牵头，</w:t>
      </w:r>
      <w:r>
        <w:rPr>
          <w:rFonts w:hint="eastAsia" w:ascii="Times New Roman" w:hAnsi="Times New Roman" w:cs="Times New Roman"/>
          <w:b w:val="0"/>
          <w:bCs w:val="0"/>
          <w:szCs w:val="32"/>
          <w:lang w:eastAsia="zh-CN"/>
        </w:rPr>
        <w:t>各</w:t>
      </w:r>
      <w:r>
        <w:rPr>
          <w:rFonts w:ascii="Times New Roman" w:hAnsi="Times New Roman" w:cs="Times New Roman"/>
          <w:b w:val="0"/>
          <w:bCs w:val="0"/>
          <w:szCs w:val="32"/>
        </w:rPr>
        <w:t>业务科室</w:t>
      </w:r>
      <w:r>
        <w:rPr>
          <w:rFonts w:hint="eastAsia" w:ascii="Times New Roman" w:hAnsi="Times New Roman" w:cs="Times New Roman"/>
          <w:b w:val="0"/>
          <w:bCs w:val="0"/>
          <w:szCs w:val="32"/>
          <w:lang w:eastAsia="zh-CN"/>
        </w:rPr>
        <w:t>积极配合，</w:t>
      </w:r>
      <w:r>
        <w:rPr>
          <w:rFonts w:ascii="Times New Roman" w:hAnsi="Times New Roman" w:cs="Times New Roman"/>
          <w:b w:val="0"/>
          <w:bCs w:val="0"/>
          <w:szCs w:val="32"/>
        </w:rPr>
        <w:t>明确职责分工，</w:t>
      </w:r>
      <w:r>
        <w:rPr>
          <w:rFonts w:hint="eastAsia" w:ascii="Times New Roman" w:hAnsi="Times New Roman" w:cs="Times New Roman"/>
          <w:b w:val="0"/>
          <w:bCs w:val="0"/>
          <w:szCs w:val="32"/>
          <w:lang w:eastAsia="zh-CN"/>
        </w:rPr>
        <w:t>根据项目绩效目标和指标体系，逐项开展自评工作</w:t>
      </w:r>
      <w:r>
        <w:rPr>
          <w:rFonts w:ascii="Times New Roman" w:hAnsi="Times New Roman" w:cs="Times New Roman"/>
          <w:b w:val="0"/>
          <w:bCs w:val="0"/>
          <w:szCs w:val="32"/>
        </w:rPr>
        <w:t>。</w:t>
      </w:r>
    </w:p>
    <w:p w14:paraId="67A41971">
      <w:pPr>
        <w:adjustRightInd w:val="0"/>
        <w:snapToGrid w:val="0"/>
        <w:spacing w:line="578" w:lineRule="exact"/>
        <w:ind w:firstLine="640" w:firstLineChars="200"/>
        <w:rPr>
          <w:rFonts w:ascii="Times New Roman" w:hAnsi="Times New Roman" w:eastAsia="黑体" w:cs="Times New Roman"/>
          <w:b w:val="0"/>
          <w:bCs w:val="0"/>
          <w:szCs w:val="32"/>
        </w:rPr>
      </w:pPr>
      <w:r>
        <w:rPr>
          <w:rFonts w:ascii="Times New Roman" w:hAnsi="Times New Roman" w:eastAsia="黑体" w:cs="Times New Roman"/>
          <w:b w:val="0"/>
          <w:bCs w:val="0"/>
          <w:szCs w:val="32"/>
        </w:rPr>
        <w:t>二、项目资金申报及使用情况</w:t>
      </w:r>
    </w:p>
    <w:p w14:paraId="750ECFA0">
      <w:pPr>
        <w:adjustRightInd w:val="0"/>
        <w:snapToGrid w:val="0"/>
        <w:spacing w:line="578" w:lineRule="exact"/>
        <w:ind w:firstLine="640" w:firstLineChars="200"/>
        <w:rPr>
          <w:rFonts w:ascii="Times New Roman" w:hAnsi="Times New Roman" w:eastAsia="楷体_GB2312" w:cs="Times New Roman"/>
          <w:b w:val="0"/>
          <w:bCs w:val="0"/>
          <w:szCs w:val="32"/>
          <w:lang w:val="zh-CN"/>
        </w:rPr>
      </w:pPr>
      <w:r>
        <w:rPr>
          <w:rFonts w:ascii="Times New Roman" w:hAnsi="Times New Roman" w:eastAsia="楷体_GB2312" w:cs="Times New Roman"/>
          <w:b w:val="0"/>
          <w:bCs w:val="0"/>
          <w:szCs w:val="32"/>
          <w:lang w:val="zh-CN"/>
        </w:rPr>
        <w:t>（一）项目资金申报及批复情况。</w:t>
      </w:r>
    </w:p>
    <w:p w14:paraId="501CC35F">
      <w:pPr>
        <w:adjustRightInd w:val="0"/>
        <w:snapToGrid w:val="0"/>
        <w:spacing w:line="578" w:lineRule="exact"/>
        <w:ind w:firstLine="640" w:firstLineChars="200"/>
        <w:rPr>
          <w:rFonts w:ascii="Times New Roman" w:hAnsi="Times New Roman" w:cs="Times New Roman"/>
          <w:b w:val="0"/>
          <w:bCs w:val="0"/>
          <w:szCs w:val="32"/>
          <w:lang w:val="zh-CN"/>
        </w:rPr>
      </w:pPr>
      <w:r>
        <w:rPr>
          <w:rFonts w:ascii="Times New Roman" w:hAnsi="Times New Roman" w:cs="Times New Roman"/>
          <w:b w:val="0"/>
          <w:bCs w:val="0"/>
          <w:szCs w:val="32"/>
        </w:rPr>
        <w:t>“医保定点医药机构监管经费”作为市医保事务中心重点项目，于 202</w:t>
      </w:r>
      <w:r>
        <w:rPr>
          <w:rFonts w:hint="default" w:ascii="Times New Roman" w:hAnsi="Times New Roman" w:cs="Times New Roman"/>
          <w:b w:val="0"/>
          <w:bCs w:val="0"/>
          <w:szCs w:val="32"/>
          <w:lang w:val="en-US" w:eastAsia="zh-CN"/>
        </w:rPr>
        <w:t>5</w:t>
      </w:r>
      <w:r>
        <w:rPr>
          <w:rFonts w:ascii="Times New Roman" w:hAnsi="Times New Roman" w:cs="Times New Roman"/>
          <w:b w:val="0"/>
          <w:bCs w:val="0"/>
          <w:szCs w:val="32"/>
        </w:rPr>
        <w:t>年年初依据详细的项目计划书、经费预算明细在部门预算中申报，经财政部门严格审核、多轮沟通反馈后，年中正式批复下达资金 73万元，全部为调整（追加）预算。整个申报批复流程严格遵循市级财政预算管理办法，从项目必要性论证、预算合理性审核到最终资金下达，各环节规范透明，确保资金精准投向医保基金监管关键领域。</w:t>
      </w:r>
    </w:p>
    <w:p w14:paraId="68266D92">
      <w:pPr>
        <w:adjustRightInd w:val="0"/>
        <w:snapToGrid w:val="0"/>
        <w:spacing w:line="578" w:lineRule="exact"/>
        <w:ind w:firstLine="640" w:firstLineChars="200"/>
        <w:rPr>
          <w:rFonts w:ascii="Times New Roman" w:hAnsi="Times New Roman" w:cs="Times New Roman"/>
          <w:b w:val="0"/>
          <w:bCs w:val="0"/>
          <w:szCs w:val="32"/>
          <w:lang w:val="zh-CN"/>
        </w:rPr>
      </w:pPr>
      <w:r>
        <w:rPr>
          <w:rFonts w:ascii="Times New Roman" w:hAnsi="Times New Roman" w:eastAsia="楷体_GB2312" w:cs="Times New Roman"/>
          <w:b w:val="0"/>
          <w:bCs w:val="0"/>
          <w:szCs w:val="32"/>
          <w:lang w:val="zh-CN"/>
        </w:rPr>
        <w:t>（二）资金计划、到位及使用情况。</w:t>
      </w:r>
    </w:p>
    <w:p w14:paraId="10F7C368">
      <w:pPr>
        <w:adjustRightInd w:val="0"/>
        <w:snapToGrid w:val="0"/>
        <w:spacing w:line="578" w:lineRule="exact"/>
        <w:ind w:firstLine="640" w:firstLineChars="200"/>
        <w:rPr>
          <w:rFonts w:ascii="Times New Roman" w:hAnsi="Times New Roman" w:cs="Times New Roman"/>
          <w:b w:val="0"/>
          <w:bCs w:val="0"/>
          <w:szCs w:val="32"/>
        </w:rPr>
      </w:pPr>
      <w:r>
        <w:rPr>
          <w:rFonts w:ascii="Times New Roman" w:hAnsi="Times New Roman" w:eastAsia="楷体_GB2312" w:cs="Times New Roman"/>
          <w:b w:val="0"/>
          <w:bCs w:val="0"/>
          <w:szCs w:val="32"/>
          <w:lang w:val="zh-CN"/>
        </w:rPr>
        <w:t>1．资金计划。</w:t>
      </w:r>
      <w:r>
        <w:rPr>
          <w:rFonts w:ascii="Times New Roman" w:hAnsi="Times New Roman" w:cs="Times New Roman"/>
          <w:b w:val="0"/>
          <w:bCs w:val="0"/>
          <w:szCs w:val="32"/>
        </w:rPr>
        <w:t>此项目资金需金73</w:t>
      </w:r>
      <w:r>
        <w:rPr>
          <w:rFonts w:hint="default" w:ascii="Times New Roman" w:hAnsi="Times New Roman" w:cs="Times New Roman"/>
          <w:b w:val="0"/>
          <w:bCs w:val="0"/>
          <w:szCs w:val="32"/>
          <w:lang w:val="en-US" w:eastAsia="zh-CN"/>
        </w:rPr>
        <w:t>.00</w:t>
      </w:r>
      <w:r>
        <w:rPr>
          <w:rFonts w:ascii="Times New Roman" w:hAnsi="Times New Roman" w:cs="Times New Roman"/>
          <w:b w:val="0"/>
          <w:bCs w:val="0"/>
          <w:szCs w:val="32"/>
        </w:rPr>
        <w:t>万元，单一资金来源为市财政拨款，精准聚焦医保定点医药机构监管核心任务，保障人员经费、检查行动、宣传推广等关键环节资金需求。</w:t>
      </w:r>
    </w:p>
    <w:p w14:paraId="19BD3A79">
      <w:pPr>
        <w:adjustRightInd w:val="0"/>
        <w:snapToGrid w:val="0"/>
        <w:spacing w:line="578" w:lineRule="exact"/>
        <w:ind w:firstLine="640" w:firstLineChars="200"/>
        <w:rPr>
          <w:rFonts w:ascii="Times New Roman" w:hAnsi="Times New Roman" w:cs="Times New Roman"/>
          <w:b w:val="0"/>
          <w:bCs w:val="0"/>
          <w:szCs w:val="32"/>
          <w:lang w:val="zh-CN"/>
        </w:rPr>
      </w:pPr>
      <w:r>
        <w:rPr>
          <w:rFonts w:ascii="Times New Roman" w:hAnsi="Times New Roman" w:eastAsia="楷体_GB2312" w:cs="Times New Roman"/>
          <w:b w:val="0"/>
          <w:bCs w:val="0"/>
          <w:szCs w:val="32"/>
          <w:lang w:val="zh-CN"/>
        </w:rPr>
        <w:t>2．资金到位。</w:t>
      </w:r>
      <w:r>
        <w:rPr>
          <w:rFonts w:ascii="Times New Roman" w:hAnsi="Times New Roman" w:cs="Times New Roman"/>
          <w:b w:val="0"/>
          <w:bCs w:val="0"/>
          <w:szCs w:val="32"/>
        </w:rPr>
        <w:t>截至</w:t>
      </w:r>
      <w:r>
        <w:rPr>
          <w:rFonts w:ascii="Times New Roman" w:hAnsi="Times New Roman" w:cs="Times New Roman"/>
          <w:b w:val="0"/>
          <w:bCs w:val="0"/>
          <w:szCs w:val="32"/>
          <w:lang w:val="zh-CN"/>
        </w:rPr>
        <w:t>评价时点评价时点</w:t>
      </w:r>
      <w:r>
        <w:rPr>
          <w:rFonts w:ascii="Times New Roman" w:hAnsi="Times New Roman" w:cs="Times New Roman"/>
          <w:b w:val="0"/>
          <w:bCs w:val="0"/>
          <w:szCs w:val="32"/>
        </w:rPr>
        <w:t>，市财政 73</w:t>
      </w:r>
      <w:r>
        <w:rPr>
          <w:rFonts w:hint="default" w:ascii="Times New Roman" w:hAnsi="Times New Roman" w:cs="Times New Roman"/>
          <w:b w:val="0"/>
          <w:bCs w:val="0"/>
          <w:szCs w:val="32"/>
          <w:lang w:val="en-US" w:eastAsia="zh-CN"/>
        </w:rPr>
        <w:t>.00</w:t>
      </w:r>
      <w:r>
        <w:rPr>
          <w:rFonts w:ascii="Times New Roman" w:hAnsi="Times New Roman" w:cs="Times New Roman"/>
          <w:b w:val="0"/>
          <w:bCs w:val="0"/>
          <w:szCs w:val="32"/>
        </w:rPr>
        <w:t xml:space="preserve"> 万元资金全额按时到位，无延迟、无截留，为项目顺利实施提供坚实资金保障，资金到位率达 100%，充分彰显财政部门对医保基金监管工作的重视与支持。</w:t>
      </w:r>
    </w:p>
    <w:p w14:paraId="225B8B74">
      <w:pPr>
        <w:adjustRightInd w:val="0"/>
        <w:snapToGrid w:val="0"/>
        <w:spacing w:line="578" w:lineRule="exact"/>
        <w:ind w:firstLine="640" w:firstLineChars="200"/>
        <w:rPr>
          <w:rFonts w:ascii="Times New Roman" w:hAnsi="Times New Roman" w:cs="Times New Roman"/>
          <w:b w:val="0"/>
          <w:bCs w:val="0"/>
          <w:szCs w:val="32"/>
          <w:lang w:val="zh-CN"/>
        </w:rPr>
      </w:pPr>
      <w:r>
        <w:rPr>
          <w:rFonts w:ascii="Times New Roman" w:hAnsi="Times New Roman" w:eastAsia="楷体_GB2312" w:cs="Times New Roman"/>
          <w:b w:val="0"/>
          <w:bCs w:val="0"/>
          <w:szCs w:val="32"/>
          <w:lang w:val="zh-CN"/>
        </w:rPr>
        <w:t>3．资金使用。</w:t>
      </w:r>
      <w:r>
        <w:rPr>
          <w:rFonts w:ascii="Times New Roman" w:hAnsi="Times New Roman" w:cs="Times New Roman"/>
          <w:b w:val="0"/>
          <w:bCs w:val="0"/>
          <w:szCs w:val="32"/>
        </w:rPr>
        <w:t>截至</w:t>
      </w:r>
      <w:r>
        <w:rPr>
          <w:rFonts w:ascii="Times New Roman" w:hAnsi="Times New Roman" w:cs="Times New Roman"/>
          <w:b w:val="0"/>
          <w:bCs w:val="0"/>
          <w:szCs w:val="32"/>
          <w:lang w:val="zh-CN"/>
        </w:rPr>
        <w:t>评价时点</w:t>
      </w:r>
      <w:r>
        <w:rPr>
          <w:rFonts w:ascii="Times New Roman" w:hAnsi="Times New Roman" w:cs="Times New Roman"/>
          <w:b w:val="0"/>
          <w:bCs w:val="0"/>
          <w:szCs w:val="32"/>
        </w:rPr>
        <w:t>，该项目资金已支付使用资金73</w:t>
      </w:r>
      <w:r>
        <w:rPr>
          <w:rFonts w:hint="default" w:ascii="Times New Roman" w:hAnsi="Times New Roman" w:cs="Times New Roman"/>
          <w:b w:val="0"/>
          <w:bCs w:val="0"/>
          <w:szCs w:val="32"/>
          <w:lang w:val="en-US" w:eastAsia="zh-CN"/>
        </w:rPr>
        <w:t>.00</w:t>
      </w:r>
      <w:r>
        <w:rPr>
          <w:rFonts w:ascii="Times New Roman" w:hAnsi="Times New Roman" w:cs="Times New Roman"/>
          <w:b w:val="0"/>
          <w:bCs w:val="0"/>
          <w:szCs w:val="32"/>
        </w:rPr>
        <w:t>万元，主要用于</w:t>
      </w:r>
      <w:r>
        <w:rPr>
          <w:rFonts w:hint="default" w:ascii="Times New Roman" w:hAnsi="Times New Roman" w:cs="Times New Roman"/>
          <w:b w:val="0"/>
          <w:bCs w:val="0"/>
          <w:szCs w:val="32"/>
          <w:lang w:eastAsia="zh-CN"/>
        </w:rPr>
        <w:t>保障稽核工作人员</w:t>
      </w:r>
      <w:r>
        <w:rPr>
          <w:rFonts w:ascii="Times New Roman" w:hAnsi="Times New Roman" w:cs="Times New Roman"/>
          <w:b w:val="0"/>
          <w:bCs w:val="0"/>
          <w:szCs w:val="32"/>
        </w:rPr>
        <w:t>工资、社保缴费、公积金等支出；宣传费；差旅费；按一定比例抽查全市所有定点医疗机构上一年度住院病例的完整病案纸质资料费用；补充人员经费，会议培训、政策宣传及办公场所基础设备维修等医保日常运转支出。此项目资金到位后，</w:t>
      </w:r>
      <w:r>
        <w:rPr>
          <w:rFonts w:hint="eastAsia" w:ascii="Times New Roman" w:hAnsi="Times New Roman" w:cs="Times New Roman"/>
          <w:b w:val="0"/>
          <w:bCs w:val="0"/>
          <w:szCs w:val="32"/>
          <w:lang w:eastAsia="zh-CN"/>
        </w:rPr>
        <w:t>市医保事务中心</w:t>
      </w:r>
      <w:r>
        <w:rPr>
          <w:rFonts w:ascii="Times New Roman" w:hAnsi="Times New Roman" w:cs="Times New Roman"/>
          <w:b w:val="0"/>
          <w:bCs w:val="0"/>
          <w:szCs w:val="32"/>
        </w:rPr>
        <w:t>严格按财经纪律、财务管理等相关规定，严格审核各项支出，及时支付，专款专用，资金支付完成100%。</w:t>
      </w:r>
    </w:p>
    <w:p w14:paraId="0C5CC084">
      <w:pPr>
        <w:adjustRightInd w:val="0"/>
        <w:snapToGrid w:val="0"/>
        <w:spacing w:line="578" w:lineRule="exact"/>
        <w:ind w:firstLine="640" w:firstLineChars="200"/>
        <w:rPr>
          <w:rFonts w:ascii="Times New Roman" w:hAnsi="Times New Roman" w:eastAsia="楷体_GB2312" w:cs="Times New Roman"/>
          <w:b w:val="0"/>
          <w:bCs w:val="0"/>
          <w:szCs w:val="32"/>
          <w:lang w:val="zh-CN"/>
        </w:rPr>
      </w:pPr>
      <w:r>
        <w:rPr>
          <w:rFonts w:ascii="Times New Roman" w:hAnsi="Times New Roman" w:eastAsia="楷体_GB2312" w:cs="Times New Roman"/>
          <w:b w:val="0"/>
          <w:bCs w:val="0"/>
          <w:szCs w:val="32"/>
          <w:lang w:val="zh-CN"/>
        </w:rPr>
        <w:t>（三）项目财务管理情况。</w:t>
      </w:r>
    </w:p>
    <w:p w14:paraId="4E53DCC5">
      <w:pPr>
        <w:spacing w:line="578" w:lineRule="exact"/>
        <w:ind w:firstLine="640" w:firstLineChars="200"/>
        <w:rPr>
          <w:rFonts w:ascii="Times New Roman" w:hAnsi="Times New Roman" w:cs="Times New Roman"/>
          <w:b w:val="0"/>
          <w:bCs w:val="0"/>
          <w:szCs w:val="32"/>
          <w:lang w:val="zh-CN"/>
        </w:rPr>
      </w:pPr>
      <w:r>
        <w:rPr>
          <w:rFonts w:ascii="Times New Roman" w:hAnsi="Times New Roman" w:cs="Times New Roman"/>
          <w:b w:val="0"/>
          <w:bCs w:val="0"/>
          <w:szCs w:val="32"/>
        </w:rPr>
        <w:t>“医保定点医药机构监管经费”项目资金合规使用。所有支出严格按照财政资金管理规定，做到资金使用有计划、审批有手续、支出合理规范，并及时进行账务处理和会计核算，按财政要求及时编制和公开项目资金绩效目标。</w:t>
      </w:r>
    </w:p>
    <w:p w14:paraId="4D781E4B">
      <w:pPr>
        <w:adjustRightInd w:val="0"/>
        <w:snapToGrid w:val="0"/>
        <w:spacing w:line="578" w:lineRule="exact"/>
        <w:ind w:firstLine="640" w:firstLineChars="200"/>
        <w:rPr>
          <w:rFonts w:ascii="Times New Roman" w:hAnsi="Times New Roman" w:eastAsia="黑体" w:cs="Times New Roman"/>
          <w:b w:val="0"/>
          <w:bCs w:val="0"/>
          <w:szCs w:val="32"/>
        </w:rPr>
      </w:pPr>
      <w:r>
        <w:rPr>
          <w:rFonts w:ascii="Times New Roman" w:hAnsi="Times New Roman" w:eastAsia="黑体" w:cs="Times New Roman"/>
          <w:b w:val="0"/>
          <w:bCs w:val="0"/>
          <w:szCs w:val="32"/>
        </w:rPr>
        <w:t>三、项目实施及管理情况</w:t>
      </w:r>
    </w:p>
    <w:p w14:paraId="3F5600BF">
      <w:pPr>
        <w:adjustRightInd w:val="0"/>
        <w:snapToGrid w:val="0"/>
        <w:spacing w:line="578" w:lineRule="exact"/>
        <w:ind w:firstLine="640" w:firstLineChars="200"/>
        <w:rPr>
          <w:rFonts w:ascii="Times New Roman" w:hAnsi="Times New Roman" w:cs="Times New Roman"/>
          <w:b w:val="0"/>
          <w:bCs w:val="0"/>
          <w:szCs w:val="32"/>
        </w:rPr>
      </w:pPr>
      <w:r>
        <w:rPr>
          <w:rFonts w:ascii="Times New Roman" w:hAnsi="Times New Roman" w:eastAsia="楷体_GB2312" w:cs="Times New Roman"/>
          <w:b w:val="0"/>
          <w:bCs w:val="0"/>
          <w:szCs w:val="32"/>
          <w:lang w:val="zh-CN"/>
        </w:rPr>
        <w:t>（一）项目组织架构及实施流程。</w:t>
      </w:r>
    </w:p>
    <w:p w14:paraId="684EBA86">
      <w:pPr>
        <w:spacing w:line="578" w:lineRule="exact"/>
        <w:ind w:firstLine="640" w:firstLineChars="200"/>
        <w:rPr>
          <w:rFonts w:ascii="Times New Roman" w:hAnsi="Times New Roman" w:cs="Times New Roman"/>
          <w:b w:val="0"/>
          <w:bCs w:val="0"/>
          <w:szCs w:val="32"/>
        </w:rPr>
      </w:pPr>
      <w:r>
        <w:rPr>
          <w:rFonts w:ascii="Times New Roman" w:hAnsi="Times New Roman" w:cs="Times New Roman"/>
          <w:b w:val="0"/>
          <w:bCs w:val="0"/>
          <w:szCs w:val="32"/>
        </w:rPr>
        <w:t>1. 组织架构：</w:t>
      </w:r>
      <w:r>
        <w:rPr>
          <w:rFonts w:hint="eastAsia" w:ascii="Times New Roman" w:hAnsi="Times New Roman" w:cs="Times New Roman"/>
          <w:b w:val="0"/>
          <w:bCs w:val="0"/>
          <w:szCs w:val="32"/>
          <w:lang w:eastAsia="zh-CN"/>
        </w:rPr>
        <w:t>市医保局</w:t>
      </w:r>
      <w:r>
        <w:rPr>
          <w:rFonts w:ascii="Times New Roman" w:hAnsi="Times New Roman" w:cs="Times New Roman"/>
          <w:b w:val="0"/>
          <w:bCs w:val="0"/>
          <w:szCs w:val="32"/>
        </w:rPr>
        <w:t>成立医保基金监管工作领导小组，负责统筹协调全市医保基金监管重大事项；</w:t>
      </w:r>
      <w:r>
        <w:rPr>
          <w:rFonts w:hint="eastAsia" w:ascii="Times New Roman" w:hAnsi="Times New Roman" w:cs="Times New Roman"/>
          <w:b w:val="0"/>
          <w:bCs w:val="0"/>
          <w:szCs w:val="32"/>
          <w:lang w:eastAsia="zh-CN"/>
        </w:rPr>
        <w:t>市医保事务中心</w:t>
      </w:r>
      <w:r>
        <w:rPr>
          <w:rFonts w:ascii="Times New Roman" w:hAnsi="Times New Roman" w:cs="Times New Roman"/>
          <w:b w:val="0"/>
          <w:bCs w:val="0"/>
          <w:szCs w:val="32"/>
        </w:rPr>
        <w:t>稽核科作为执行主体，具体负责</w:t>
      </w:r>
      <w:r>
        <w:rPr>
          <w:rFonts w:hint="default" w:ascii="Times New Roman" w:hAnsi="Times New Roman" w:cs="Times New Roman"/>
          <w:b w:val="0"/>
          <w:bCs w:val="0"/>
          <w:szCs w:val="32"/>
          <w:lang w:eastAsia="zh-CN"/>
        </w:rPr>
        <w:t>稽核工作人员</w:t>
      </w:r>
      <w:r>
        <w:rPr>
          <w:rFonts w:ascii="Times New Roman" w:hAnsi="Times New Roman" w:cs="Times New Roman"/>
          <w:b w:val="0"/>
          <w:bCs w:val="0"/>
          <w:szCs w:val="32"/>
        </w:rPr>
        <w:t>调配、检查任务安排、第三方机构对接等工作；办公室负责财务管理、后勤保障、绩效评价等综合支撑工作，各科室协同联动，形成严密组织体系。</w:t>
      </w:r>
    </w:p>
    <w:p w14:paraId="4DAC45B8">
      <w:pPr>
        <w:spacing w:line="578" w:lineRule="exact"/>
        <w:ind w:firstLine="640" w:firstLineChars="200"/>
        <w:rPr>
          <w:rFonts w:ascii="Times New Roman" w:hAnsi="Times New Roman" w:cs="Times New Roman"/>
          <w:b w:val="0"/>
          <w:bCs w:val="0"/>
          <w:szCs w:val="32"/>
        </w:rPr>
      </w:pPr>
      <w:r>
        <w:rPr>
          <w:rFonts w:ascii="Times New Roman" w:hAnsi="Times New Roman" w:cs="Times New Roman"/>
          <w:b w:val="0"/>
          <w:bCs w:val="0"/>
          <w:szCs w:val="32"/>
        </w:rPr>
        <w:t>2. 实施流程：</w:t>
      </w:r>
    </w:p>
    <w:p w14:paraId="35799325">
      <w:pPr>
        <w:spacing w:line="578" w:lineRule="exact"/>
        <w:ind w:firstLine="640" w:firstLineChars="200"/>
        <w:rPr>
          <w:rFonts w:ascii="Times New Roman" w:hAnsi="Times New Roman" w:cs="Times New Roman"/>
          <w:b w:val="0"/>
          <w:bCs w:val="0"/>
          <w:szCs w:val="32"/>
        </w:rPr>
      </w:pPr>
      <w:r>
        <w:rPr>
          <w:rFonts w:ascii="Times New Roman" w:hAnsi="Times New Roman" w:cs="Times New Roman"/>
          <w:b w:val="0"/>
          <w:bCs w:val="0"/>
          <w:szCs w:val="32"/>
        </w:rPr>
        <w:t>前期规划：年初依据政策要求、基金运行数据制定年度监管稽核计划，明确检查重点、人员分工、时间节点，同步编制项目预算与绩效目标，报经批准后实施。</w:t>
      </w:r>
    </w:p>
    <w:p w14:paraId="70AE07A2">
      <w:pPr>
        <w:spacing w:line="578" w:lineRule="exact"/>
        <w:ind w:firstLine="640" w:firstLineChars="200"/>
        <w:rPr>
          <w:rFonts w:ascii="Times New Roman" w:hAnsi="Times New Roman" w:cs="Times New Roman"/>
          <w:b w:val="0"/>
          <w:bCs w:val="0"/>
          <w:szCs w:val="32"/>
        </w:rPr>
      </w:pPr>
      <w:r>
        <w:rPr>
          <w:rFonts w:ascii="Times New Roman" w:hAnsi="Times New Roman" w:cs="Times New Roman"/>
          <w:b w:val="0"/>
          <w:bCs w:val="0"/>
          <w:szCs w:val="32"/>
        </w:rPr>
        <w:t>任务执行：按计划组织</w:t>
      </w:r>
      <w:r>
        <w:rPr>
          <w:rFonts w:hint="default" w:ascii="Times New Roman" w:hAnsi="Times New Roman" w:cs="Times New Roman"/>
          <w:b w:val="0"/>
          <w:bCs w:val="0"/>
          <w:szCs w:val="32"/>
          <w:lang w:eastAsia="zh-CN"/>
        </w:rPr>
        <w:t>稽核工作人员</w:t>
      </w:r>
      <w:r>
        <w:rPr>
          <w:rFonts w:ascii="Times New Roman" w:hAnsi="Times New Roman" w:cs="Times New Roman"/>
          <w:b w:val="0"/>
          <w:bCs w:val="0"/>
          <w:szCs w:val="32"/>
        </w:rPr>
        <w:t>开展日常巡查、专项检查、飞行检查，委托第三方专业公司开展数据分析、病案审查；依据参保扩面任务，策划宣传活动，多渠道推广医保政策；及时收集整理检查资料、宣传反馈，为后续决策提供依据。</w:t>
      </w:r>
    </w:p>
    <w:p w14:paraId="72B61890">
      <w:pPr>
        <w:spacing w:line="578" w:lineRule="exact"/>
        <w:ind w:firstLine="640" w:firstLineChars="200"/>
        <w:rPr>
          <w:rFonts w:ascii="Times New Roman" w:hAnsi="Times New Roman" w:eastAsia="楷体_GB2312" w:cs="Times New Roman"/>
          <w:b w:val="0"/>
          <w:bCs w:val="0"/>
          <w:szCs w:val="32"/>
          <w:lang w:val="zh-CN"/>
        </w:rPr>
      </w:pPr>
      <w:r>
        <w:rPr>
          <w:rFonts w:ascii="Times New Roman" w:hAnsi="Times New Roman" w:cs="Times New Roman"/>
          <w:b w:val="0"/>
          <w:bCs w:val="0"/>
          <w:szCs w:val="32"/>
        </w:rPr>
        <w:t>收尾总结：年末全面总结监管稽核成果，统计违规案例、追回基金金额，评估宣传效果、人员绩效，完成资金结算支付，编制项目绩效自评报告，为下一年度工作积累经验。</w:t>
      </w:r>
    </w:p>
    <w:p w14:paraId="10F87DD2">
      <w:pPr>
        <w:adjustRightInd w:val="0"/>
        <w:snapToGrid w:val="0"/>
        <w:spacing w:line="578" w:lineRule="exact"/>
        <w:ind w:firstLine="640" w:firstLineChars="200"/>
        <w:rPr>
          <w:rFonts w:ascii="Times New Roman" w:hAnsi="Times New Roman" w:cs="Times New Roman"/>
          <w:b w:val="0"/>
          <w:bCs w:val="0"/>
          <w:szCs w:val="32"/>
          <w:lang w:val="zh-CN"/>
        </w:rPr>
      </w:pPr>
      <w:r>
        <w:rPr>
          <w:rFonts w:ascii="Times New Roman" w:hAnsi="Times New Roman" w:eastAsia="楷体_GB2312" w:cs="Times New Roman"/>
          <w:b w:val="0"/>
          <w:bCs w:val="0"/>
          <w:szCs w:val="32"/>
          <w:lang w:val="zh-CN"/>
        </w:rPr>
        <w:t>（二）项目管理情况。</w:t>
      </w:r>
    </w:p>
    <w:p w14:paraId="6902DF9B">
      <w:pPr>
        <w:spacing w:line="578" w:lineRule="exact"/>
        <w:ind w:firstLine="640" w:firstLineChars="200"/>
        <w:rPr>
          <w:rFonts w:ascii="Times New Roman" w:hAnsi="Times New Roman" w:cs="Times New Roman"/>
          <w:b w:val="0"/>
          <w:bCs w:val="0"/>
          <w:szCs w:val="32"/>
        </w:rPr>
      </w:pPr>
      <w:r>
        <w:rPr>
          <w:rFonts w:ascii="Times New Roman" w:hAnsi="Times New Roman" w:cs="Times New Roman"/>
          <w:b w:val="0"/>
          <w:bCs w:val="0"/>
          <w:szCs w:val="32"/>
        </w:rPr>
        <w:t>1. 严格执行招投标与政府采购规定：涉及第三方专业服务采购，如大数据分析、会计师事务所审计服务，严格按照政府采购流程，发布招标公告、组织评标、签订合同，确保采购过程公平公正、服务优质优价。</w:t>
      </w:r>
    </w:p>
    <w:p w14:paraId="4D1823A9">
      <w:pPr>
        <w:spacing w:line="578" w:lineRule="exact"/>
        <w:ind w:firstLine="640" w:firstLineChars="200"/>
        <w:rPr>
          <w:rFonts w:ascii="Times New Roman" w:hAnsi="Times New Roman" w:cs="Times New Roman"/>
          <w:b w:val="0"/>
          <w:bCs w:val="0"/>
          <w:szCs w:val="32"/>
        </w:rPr>
      </w:pPr>
      <w:r>
        <w:rPr>
          <w:rFonts w:ascii="Times New Roman" w:hAnsi="Times New Roman" w:cs="Times New Roman"/>
          <w:b w:val="0"/>
          <w:bCs w:val="0"/>
          <w:szCs w:val="32"/>
        </w:rPr>
        <w:t>2. 落实项目公示制：在医保定点医药机构显著位置公示检查计划、违规处理结果，接受社会监督；在单位内部公示项目预算、资金使用、绩效目标完成情况，保障干部职工知情权、参与权，以公示促规范，提升项目管理透明度。</w:t>
      </w:r>
    </w:p>
    <w:p w14:paraId="3BDD064F">
      <w:pPr>
        <w:spacing w:line="578" w:lineRule="exact"/>
        <w:ind w:firstLine="640" w:firstLineChars="200"/>
        <w:rPr>
          <w:rFonts w:ascii="Times New Roman" w:hAnsi="Times New Roman" w:cs="Times New Roman"/>
          <w:b w:val="0"/>
          <w:bCs w:val="0"/>
          <w:szCs w:val="32"/>
          <w:lang w:val="zh-CN"/>
        </w:rPr>
      </w:pPr>
      <w:r>
        <w:rPr>
          <w:rFonts w:ascii="Times New Roman" w:hAnsi="Times New Roman" w:cs="Times New Roman"/>
          <w:b w:val="0"/>
          <w:bCs w:val="0"/>
          <w:szCs w:val="32"/>
        </w:rPr>
        <w:t>3. 遵守法律法规：整个项目实施过程严格遵循《社会保险法》《医疗保障基金使用监督管理条例》等法律法规，依法依规开展检查、处理违规行为，保障参保人员合法权益，维护医保基金安全运行。</w:t>
      </w:r>
    </w:p>
    <w:p w14:paraId="292D4E8E">
      <w:pPr>
        <w:adjustRightInd w:val="0"/>
        <w:snapToGrid w:val="0"/>
        <w:spacing w:line="578" w:lineRule="exact"/>
        <w:ind w:firstLine="640" w:firstLineChars="200"/>
        <w:rPr>
          <w:rFonts w:ascii="Times New Roman" w:hAnsi="Times New Roman" w:cs="Times New Roman"/>
          <w:b w:val="0"/>
          <w:bCs w:val="0"/>
          <w:szCs w:val="32"/>
          <w:lang w:val="zh-CN"/>
        </w:rPr>
      </w:pPr>
      <w:r>
        <w:rPr>
          <w:rFonts w:ascii="Times New Roman" w:hAnsi="Times New Roman" w:eastAsia="楷体_GB2312" w:cs="Times New Roman"/>
          <w:b w:val="0"/>
          <w:bCs w:val="0"/>
          <w:szCs w:val="32"/>
          <w:lang w:val="zh-CN"/>
        </w:rPr>
        <w:t>（三）项目监管情况。</w:t>
      </w:r>
    </w:p>
    <w:p w14:paraId="359AE60D">
      <w:pPr>
        <w:spacing w:line="578" w:lineRule="exact"/>
        <w:ind w:firstLine="640" w:firstLineChars="200"/>
        <w:rPr>
          <w:rFonts w:ascii="Times New Roman" w:hAnsi="Times New Roman" w:cs="Times New Roman"/>
          <w:b w:val="0"/>
          <w:bCs w:val="0"/>
          <w:szCs w:val="32"/>
        </w:rPr>
      </w:pPr>
      <w:r>
        <w:rPr>
          <w:rFonts w:ascii="Times New Roman" w:hAnsi="Times New Roman" w:cs="Times New Roman"/>
          <w:b w:val="0"/>
          <w:bCs w:val="0"/>
          <w:szCs w:val="32"/>
        </w:rPr>
        <w:t>1. 监管手段：通过智能审核系统对定点医药机构结算数据进行“事后审核”，实现审核全覆盖；建立举报投诉制度，畅通群众监督渠道，对举报线索查实必奖；实施内部审计监督，定期审查资金使用、项目执行合规性，多维度防控风险。</w:t>
      </w:r>
    </w:p>
    <w:p w14:paraId="6B6358B7">
      <w:pPr>
        <w:spacing w:line="578" w:lineRule="exact"/>
        <w:ind w:firstLine="640" w:firstLineChars="200"/>
        <w:rPr>
          <w:rFonts w:ascii="Times New Roman" w:hAnsi="Times New Roman" w:cs="Times New Roman"/>
          <w:b w:val="0"/>
          <w:bCs w:val="0"/>
          <w:szCs w:val="32"/>
        </w:rPr>
      </w:pPr>
      <w:r>
        <w:rPr>
          <w:rFonts w:ascii="Times New Roman" w:hAnsi="Times New Roman" w:cs="Times New Roman"/>
          <w:b w:val="0"/>
          <w:bCs w:val="0"/>
          <w:szCs w:val="32"/>
        </w:rPr>
        <w:t>2.监管程序：制定稽核检查经办规程，明确检查流程、标准、文书格式；检查前抽取检查人员、下达检查通知；检查中依规收集证据、制作笔录；检查后集体审议、出具处理意见、跟踪整改落实，确保监管程序严谨规范。</w:t>
      </w:r>
    </w:p>
    <w:p w14:paraId="460C613C">
      <w:pPr>
        <w:spacing w:line="578" w:lineRule="exact"/>
        <w:ind w:firstLine="640" w:firstLineChars="200"/>
        <w:rPr>
          <w:rFonts w:hint="default" w:ascii="Times New Roman" w:hAnsi="Times New Roman" w:eastAsia="仿宋_GB2312" w:cs="Times New Roman"/>
          <w:b w:val="0"/>
          <w:bCs w:val="0"/>
          <w:sz w:val="32"/>
          <w:szCs w:val="32"/>
          <w:lang w:val="zh-CN"/>
        </w:rPr>
      </w:pPr>
      <w:r>
        <w:rPr>
          <w:rFonts w:ascii="Times New Roman" w:hAnsi="Times New Roman" w:cs="Times New Roman"/>
          <w:b w:val="0"/>
          <w:bCs w:val="0"/>
          <w:szCs w:val="32"/>
        </w:rPr>
        <w:t>3.监管成效：</w:t>
      </w:r>
      <w:r>
        <w:rPr>
          <w:rFonts w:hint="default" w:ascii="Times New Roman" w:hAnsi="Times New Roman" w:eastAsia="仿宋_GB2312" w:cs="Times New Roman"/>
          <w:b w:val="0"/>
          <w:bCs w:val="0"/>
          <w:sz w:val="32"/>
          <w:szCs w:val="32"/>
        </w:rPr>
        <w:t>指导医药机构开展自查，</w:t>
      </w:r>
      <w:r>
        <w:rPr>
          <w:rFonts w:hint="default" w:ascii="Times New Roman" w:hAnsi="Times New Roman" w:eastAsia="仿宋_GB2312" w:cs="Times New Roman"/>
          <w:b w:val="0"/>
          <w:bCs w:val="0"/>
          <w:kern w:val="0"/>
          <w:sz w:val="32"/>
          <w:szCs w:val="32"/>
        </w:rPr>
        <w:t>截至2025年12月底，</w:t>
      </w:r>
      <w:r>
        <w:rPr>
          <w:rFonts w:hint="default" w:ascii="Times New Roman" w:hAnsi="Times New Roman" w:eastAsia="仿宋_GB2312" w:cs="Times New Roman"/>
          <w:b w:val="0"/>
          <w:bCs w:val="0"/>
          <w:sz w:val="32"/>
          <w:szCs w:val="32"/>
        </w:rPr>
        <w:t>完成对市本级14家定点医药机构开展各类检查共计48家次，首次引入第三方机构稽核和大数据筛查技术开展监管工作，</w:t>
      </w:r>
      <w:r>
        <w:rPr>
          <w:rFonts w:hint="default" w:ascii="Times New Roman" w:hAnsi="Times New Roman" w:eastAsia="仿宋_GB2312" w:cs="Times New Roman"/>
          <w:b w:val="0"/>
          <w:bCs w:val="0"/>
          <w:kern w:val="0"/>
          <w:sz w:val="32"/>
          <w:szCs w:val="32"/>
        </w:rPr>
        <w:t>截至2025年12月底，</w:t>
      </w:r>
      <w:r>
        <w:rPr>
          <w:rFonts w:hint="default" w:ascii="Times New Roman" w:hAnsi="Times New Roman" w:eastAsia="仿宋_GB2312" w:cs="Times New Roman"/>
          <w:b w:val="0"/>
          <w:bCs w:val="0"/>
          <w:sz w:val="32"/>
          <w:szCs w:val="32"/>
        </w:rPr>
        <w:t>违规违约问题依协议处理共计47家次，约谈定点医药机构负责人17人次；对2家定点医疗机构进行行政立案调查，查实违法金额，追回医保基金。</w:t>
      </w:r>
      <w:r>
        <w:rPr>
          <w:rFonts w:ascii="Times New Roman" w:hAnsi="Times New Roman" w:cs="Times New Roman"/>
          <w:b w:val="0"/>
          <w:bCs w:val="0"/>
          <w:highlight w:val="none"/>
        </w:rPr>
        <w:t>有效遏制欺诈骗保势头，维护医保基金使用安全。</w:t>
      </w:r>
    </w:p>
    <w:p w14:paraId="16C4C925">
      <w:pPr>
        <w:adjustRightInd w:val="0"/>
        <w:snapToGrid w:val="0"/>
        <w:spacing w:line="578" w:lineRule="exact"/>
        <w:ind w:firstLine="640" w:firstLineChars="200"/>
        <w:rPr>
          <w:rFonts w:ascii="Times New Roman" w:hAnsi="Times New Roman" w:cs="Times New Roman"/>
          <w:b w:val="0"/>
          <w:bCs w:val="0"/>
          <w:szCs w:val="32"/>
          <w:lang w:val="zh-CN"/>
        </w:rPr>
      </w:pPr>
      <w:r>
        <w:rPr>
          <w:rFonts w:ascii="Times New Roman" w:hAnsi="Times New Roman" w:eastAsia="黑体" w:cs="Times New Roman"/>
          <w:b w:val="0"/>
          <w:bCs w:val="0"/>
          <w:szCs w:val="32"/>
        </w:rPr>
        <w:t>四、项目绩效情况</w:t>
      </w:r>
      <w:r>
        <w:rPr>
          <w:rFonts w:ascii="Times New Roman" w:hAnsi="Times New Roman" w:cs="Times New Roman"/>
          <w:b w:val="0"/>
          <w:bCs w:val="0"/>
          <w:szCs w:val="32"/>
        </w:rPr>
        <w:tab/>
      </w:r>
    </w:p>
    <w:p w14:paraId="14A7EEE8">
      <w:pPr>
        <w:adjustRightInd w:val="0"/>
        <w:snapToGrid w:val="0"/>
        <w:spacing w:line="578" w:lineRule="exact"/>
        <w:ind w:firstLine="640" w:firstLineChars="200"/>
        <w:rPr>
          <w:rFonts w:ascii="Times New Roman" w:hAnsi="Times New Roman" w:cs="Times New Roman"/>
          <w:b w:val="0"/>
          <w:bCs w:val="0"/>
          <w:szCs w:val="32"/>
          <w:lang w:val="zh-CN"/>
        </w:rPr>
      </w:pPr>
      <w:r>
        <w:rPr>
          <w:rFonts w:ascii="Times New Roman" w:hAnsi="Times New Roman" w:eastAsia="楷体_GB2312" w:cs="Times New Roman"/>
          <w:b w:val="0"/>
          <w:bCs w:val="0"/>
          <w:szCs w:val="32"/>
          <w:lang w:val="zh-CN"/>
        </w:rPr>
        <w:t>（一）项目完成情况。</w:t>
      </w:r>
    </w:p>
    <w:p w14:paraId="6C0A429A">
      <w:pPr>
        <w:spacing w:line="578" w:lineRule="exact"/>
        <w:ind w:firstLine="640" w:firstLineChars="200"/>
        <w:rPr>
          <w:rFonts w:ascii="Times New Roman" w:hAnsi="Times New Roman" w:cs="Times New Roman"/>
          <w:b w:val="0"/>
          <w:bCs w:val="0"/>
          <w:szCs w:val="32"/>
        </w:rPr>
      </w:pPr>
      <w:r>
        <w:rPr>
          <w:rFonts w:ascii="Times New Roman" w:hAnsi="Times New Roman" w:cs="Times New Roman"/>
          <w:b w:val="0"/>
          <w:bCs w:val="0"/>
          <w:szCs w:val="32"/>
        </w:rPr>
        <w:t>“医保定点医药机构监管经费”项目</w:t>
      </w:r>
      <w:r>
        <w:rPr>
          <w:rFonts w:hint="eastAsia" w:ascii="Times New Roman" w:hAnsi="Times New Roman" w:cs="Times New Roman"/>
          <w:b w:val="0"/>
          <w:bCs w:val="0"/>
          <w:szCs w:val="32"/>
          <w:lang w:eastAsia="zh-CN"/>
        </w:rPr>
        <w:t>预算资金</w:t>
      </w:r>
      <w:r>
        <w:rPr>
          <w:rFonts w:hint="eastAsia" w:ascii="Times New Roman" w:hAnsi="Times New Roman" w:cs="Times New Roman"/>
          <w:b w:val="0"/>
          <w:bCs w:val="0"/>
          <w:szCs w:val="32"/>
          <w:lang w:val="en-US" w:eastAsia="zh-CN"/>
        </w:rPr>
        <w:t>73万元，实际支付73万元，</w:t>
      </w:r>
      <w:r>
        <w:rPr>
          <w:rFonts w:ascii="Times New Roman" w:hAnsi="Times New Roman" w:cs="Times New Roman"/>
          <w:b w:val="0"/>
          <w:bCs w:val="0"/>
          <w:szCs w:val="32"/>
        </w:rPr>
        <w:t>执行率100%</w:t>
      </w:r>
      <w:r>
        <w:rPr>
          <w:rFonts w:hint="eastAsia" w:ascii="Times New Roman" w:hAnsi="Times New Roman" w:cs="Times New Roman"/>
          <w:b w:val="0"/>
          <w:bCs w:val="0"/>
          <w:szCs w:val="32"/>
          <w:lang w:eastAsia="zh-CN"/>
        </w:rPr>
        <w:t>，</w:t>
      </w:r>
      <w:r>
        <w:rPr>
          <w:rFonts w:ascii="Times New Roman" w:hAnsi="Times New Roman" w:cs="Times New Roman"/>
          <w:b w:val="0"/>
          <w:bCs w:val="0"/>
          <w:szCs w:val="32"/>
        </w:rPr>
        <w:t>保障了</w:t>
      </w:r>
      <w:r>
        <w:rPr>
          <w:rFonts w:hint="eastAsia" w:ascii="Times New Roman" w:hAnsi="Times New Roman" w:cs="Times New Roman"/>
          <w:b w:val="0"/>
          <w:bCs w:val="0"/>
          <w:szCs w:val="32"/>
        </w:rPr>
        <w:t>全市门诊特殊疾病补助资格、定点医药机构医疗保障待遇审核和稽核检查</w:t>
      </w:r>
      <w:r>
        <w:rPr>
          <w:rFonts w:ascii="Times New Roman" w:hAnsi="Times New Roman" w:cs="Times New Roman"/>
          <w:b w:val="0"/>
          <w:bCs w:val="0"/>
          <w:szCs w:val="32"/>
        </w:rPr>
        <w:t>正常开展。</w:t>
      </w:r>
    </w:p>
    <w:p w14:paraId="72ADD1B0">
      <w:pPr>
        <w:spacing w:line="578" w:lineRule="exact"/>
        <w:ind w:firstLine="640" w:firstLineChars="200"/>
        <w:rPr>
          <w:rFonts w:ascii="Times New Roman" w:hAnsi="Times New Roman" w:cs="Times New Roman"/>
          <w:b w:val="0"/>
          <w:bCs w:val="0"/>
          <w:szCs w:val="32"/>
        </w:rPr>
      </w:pPr>
      <w:r>
        <w:rPr>
          <w:rFonts w:ascii="Times New Roman" w:hAnsi="Times New Roman" w:cs="Times New Roman"/>
          <w:b w:val="0"/>
          <w:bCs w:val="0"/>
          <w:szCs w:val="32"/>
        </w:rPr>
        <w:t>1.数量指标：202</w:t>
      </w:r>
      <w:r>
        <w:rPr>
          <w:rFonts w:hint="default" w:ascii="Times New Roman" w:hAnsi="Times New Roman" w:cs="Times New Roman"/>
          <w:b w:val="0"/>
          <w:bCs w:val="0"/>
          <w:szCs w:val="32"/>
          <w:lang w:val="en-US" w:eastAsia="zh-CN"/>
        </w:rPr>
        <w:t>5</w:t>
      </w:r>
      <w:r>
        <w:rPr>
          <w:rFonts w:ascii="Times New Roman" w:hAnsi="Times New Roman" w:cs="Times New Roman"/>
          <w:b w:val="0"/>
          <w:bCs w:val="0"/>
          <w:szCs w:val="32"/>
        </w:rPr>
        <w:t>年，主要用于保障医保工作的正常运转，主要用于支付</w:t>
      </w:r>
      <w:r>
        <w:rPr>
          <w:rFonts w:hint="default" w:ascii="Times New Roman" w:hAnsi="Times New Roman" w:cs="Times New Roman"/>
          <w:b w:val="0"/>
          <w:bCs w:val="0"/>
          <w:szCs w:val="32"/>
          <w:lang w:eastAsia="zh-CN"/>
        </w:rPr>
        <w:t>稽核工作</w:t>
      </w:r>
      <w:r>
        <w:rPr>
          <w:rFonts w:ascii="Times New Roman" w:hAnsi="Times New Roman" w:cs="Times New Roman"/>
          <w:b w:val="0"/>
          <w:bCs w:val="0"/>
          <w:szCs w:val="32"/>
        </w:rPr>
        <w:t>人员工资和五险一金；通过开展多次专项行动，加大了定点医药机构监管处罚力度，提高了参保人员对医保服务的满意度；</w:t>
      </w:r>
    </w:p>
    <w:p w14:paraId="7AECA62D">
      <w:pPr>
        <w:spacing w:line="578" w:lineRule="exact"/>
        <w:ind w:firstLine="640" w:firstLineChars="200"/>
        <w:rPr>
          <w:rFonts w:ascii="Times New Roman" w:hAnsi="Times New Roman" w:cs="Times New Roman"/>
          <w:b w:val="0"/>
          <w:bCs w:val="0"/>
          <w:szCs w:val="32"/>
        </w:rPr>
      </w:pPr>
      <w:r>
        <w:rPr>
          <w:rFonts w:ascii="Times New Roman" w:hAnsi="Times New Roman" w:cs="Times New Roman"/>
          <w:b w:val="0"/>
          <w:bCs w:val="0"/>
          <w:szCs w:val="32"/>
        </w:rPr>
        <w:t>2.质量指标：医保医药、财务、信息、</w:t>
      </w:r>
      <w:r>
        <w:rPr>
          <w:rFonts w:hint="default" w:ascii="Times New Roman" w:hAnsi="Times New Roman" w:cs="Times New Roman"/>
          <w:b w:val="0"/>
          <w:bCs w:val="0"/>
          <w:szCs w:val="32"/>
          <w:lang w:eastAsia="zh-CN"/>
        </w:rPr>
        <w:t>稽核工作人员</w:t>
      </w:r>
      <w:r>
        <w:rPr>
          <w:rFonts w:ascii="Times New Roman" w:hAnsi="Times New Roman" w:cs="Times New Roman"/>
          <w:b w:val="0"/>
          <w:bCs w:val="0"/>
          <w:szCs w:val="32"/>
        </w:rPr>
        <w:t>相关劳务费、五险一金及相关监管检查、协查、监督经费，不断提升医保经办机构稽核、监管水平，坚决维护医保基金安全。</w:t>
      </w:r>
    </w:p>
    <w:p w14:paraId="06178106">
      <w:pPr>
        <w:spacing w:line="578" w:lineRule="exact"/>
        <w:ind w:firstLine="640" w:firstLineChars="200"/>
        <w:rPr>
          <w:rFonts w:ascii="Times New Roman" w:hAnsi="Times New Roman" w:cs="Times New Roman"/>
          <w:b w:val="0"/>
          <w:bCs w:val="0"/>
          <w:szCs w:val="32"/>
        </w:rPr>
      </w:pPr>
      <w:r>
        <w:rPr>
          <w:rFonts w:ascii="Times New Roman" w:hAnsi="Times New Roman" w:cs="Times New Roman"/>
          <w:b w:val="0"/>
          <w:bCs w:val="0"/>
          <w:szCs w:val="32"/>
        </w:rPr>
        <w:t>3.时效指标：202</w:t>
      </w:r>
      <w:r>
        <w:rPr>
          <w:rFonts w:hint="default" w:ascii="Times New Roman" w:hAnsi="Times New Roman" w:cs="Times New Roman"/>
          <w:b w:val="0"/>
          <w:bCs w:val="0"/>
          <w:szCs w:val="32"/>
          <w:lang w:val="en-US" w:eastAsia="zh-CN"/>
        </w:rPr>
        <w:t>5</w:t>
      </w:r>
      <w:r>
        <w:rPr>
          <w:rFonts w:ascii="Times New Roman" w:hAnsi="Times New Roman" w:cs="Times New Roman"/>
          <w:b w:val="0"/>
          <w:bCs w:val="0"/>
          <w:szCs w:val="32"/>
        </w:rPr>
        <w:t>年在规定时间内使用资金。</w:t>
      </w:r>
    </w:p>
    <w:p w14:paraId="19423CD5">
      <w:pPr>
        <w:spacing w:line="578" w:lineRule="exact"/>
        <w:ind w:firstLine="640" w:firstLineChars="200"/>
        <w:rPr>
          <w:rFonts w:ascii="Times New Roman" w:hAnsi="Times New Roman" w:cs="Times New Roman"/>
          <w:b w:val="0"/>
          <w:bCs w:val="0"/>
          <w:szCs w:val="32"/>
        </w:rPr>
      </w:pPr>
      <w:r>
        <w:rPr>
          <w:rFonts w:ascii="Times New Roman" w:hAnsi="Times New Roman" w:cs="Times New Roman"/>
          <w:b w:val="0"/>
          <w:bCs w:val="0"/>
          <w:szCs w:val="32"/>
        </w:rPr>
        <w:t>4.成本指标：医保定点医药机构监管经费73万元。</w:t>
      </w:r>
    </w:p>
    <w:p w14:paraId="16AF839C">
      <w:pPr>
        <w:adjustRightInd w:val="0"/>
        <w:snapToGrid w:val="0"/>
        <w:spacing w:line="578" w:lineRule="exact"/>
        <w:ind w:firstLine="640" w:firstLineChars="200"/>
        <w:rPr>
          <w:rFonts w:ascii="Times New Roman" w:hAnsi="Times New Roman" w:eastAsia="楷体_GB2312" w:cs="Times New Roman"/>
          <w:b w:val="0"/>
          <w:bCs w:val="0"/>
          <w:szCs w:val="32"/>
          <w:lang w:val="zh-CN"/>
        </w:rPr>
      </w:pPr>
      <w:r>
        <w:rPr>
          <w:rFonts w:ascii="Times New Roman" w:hAnsi="Times New Roman" w:eastAsia="楷体_GB2312" w:cs="Times New Roman"/>
          <w:b w:val="0"/>
          <w:bCs w:val="0"/>
          <w:szCs w:val="32"/>
          <w:lang w:val="zh-CN"/>
        </w:rPr>
        <w:t>（二）项目效益情况。</w:t>
      </w:r>
    </w:p>
    <w:p w14:paraId="2B557783">
      <w:pPr>
        <w:spacing w:line="578" w:lineRule="exact"/>
        <w:ind w:firstLine="640" w:firstLineChars="200"/>
        <w:rPr>
          <w:rFonts w:ascii="Times New Roman" w:hAnsi="Times New Roman" w:cs="Times New Roman"/>
          <w:b w:val="0"/>
          <w:bCs w:val="0"/>
          <w:szCs w:val="32"/>
        </w:rPr>
      </w:pPr>
      <w:r>
        <w:rPr>
          <w:rFonts w:ascii="Times New Roman" w:hAnsi="Times New Roman" w:cs="Times New Roman"/>
          <w:b w:val="0"/>
          <w:bCs w:val="0"/>
          <w:szCs w:val="32"/>
        </w:rPr>
        <w:t>1.经济效益指标：维护医保基金安全。</w:t>
      </w:r>
    </w:p>
    <w:p w14:paraId="790EA9FA">
      <w:pPr>
        <w:spacing w:line="578" w:lineRule="exact"/>
        <w:ind w:firstLine="640" w:firstLineChars="200"/>
        <w:rPr>
          <w:rFonts w:ascii="Times New Roman" w:hAnsi="Times New Roman" w:cs="Times New Roman"/>
          <w:b w:val="0"/>
          <w:bCs w:val="0"/>
          <w:szCs w:val="32"/>
        </w:rPr>
      </w:pPr>
      <w:r>
        <w:rPr>
          <w:rFonts w:ascii="Times New Roman" w:hAnsi="Times New Roman" w:cs="Times New Roman"/>
          <w:b w:val="0"/>
          <w:bCs w:val="0"/>
          <w:szCs w:val="32"/>
        </w:rPr>
        <w:t>2.社会效益指标：保障单位正常运转。聘用人员队伍稳定，保障聘用人员待遇。</w:t>
      </w:r>
    </w:p>
    <w:p w14:paraId="0556784D">
      <w:pPr>
        <w:spacing w:line="578" w:lineRule="exact"/>
        <w:ind w:firstLine="640" w:firstLineChars="200"/>
        <w:rPr>
          <w:rFonts w:ascii="Times New Roman" w:hAnsi="Times New Roman" w:cs="Times New Roman"/>
          <w:b w:val="0"/>
          <w:bCs w:val="0"/>
          <w:szCs w:val="32"/>
        </w:rPr>
      </w:pPr>
      <w:r>
        <w:rPr>
          <w:rFonts w:ascii="Times New Roman" w:hAnsi="Times New Roman" w:cs="Times New Roman"/>
          <w:b w:val="0"/>
          <w:bCs w:val="0"/>
          <w:szCs w:val="32"/>
        </w:rPr>
        <w:t>3.可持续影响指标：医保经办能力和监管水平有效提升。</w:t>
      </w:r>
    </w:p>
    <w:p w14:paraId="7FCBF434">
      <w:pPr>
        <w:spacing w:line="578" w:lineRule="exact"/>
        <w:ind w:firstLine="640" w:firstLineChars="200"/>
        <w:rPr>
          <w:rFonts w:ascii="Times New Roman" w:hAnsi="Times New Roman" w:cs="Times New Roman"/>
          <w:b w:val="0"/>
          <w:bCs w:val="0"/>
          <w:szCs w:val="32"/>
          <w:lang w:val="zh-CN"/>
        </w:rPr>
      </w:pPr>
      <w:r>
        <w:rPr>
          <w:rFonts w:ascii="Times New Roman" w:hAnsi="Times New Roman" w:cs="Times New Roman"/>
          <w:b w:val="0"/>
          <w:bCs w:val="0"/>
          <w:szCs w:val="32"/>
        </w:rPr>
        <w:t>4.满意度指标：</w:t>
      </w:r>
      <w:r>
        <w:rPr>
          <w:rFonts w:hint="default" w:ascii="Times New Roman" w:hAnsi="Times New Roman" w:cs="Times New Roman"/>
          <w:b w:val="0"/>
          <w:bCs w:val="0"/>
          <w:szCs w:val="32"/>
          <w:lang w:eastAsia="zh-CN"/>
        </w:rPr>
        <w:t>稽核工作</w:t>
      </w:r>
      <w:r>
        <w:rPr>
          <w:rFonts w:ascii="Times New Roman" w:hAnsi="Times New Roman" w:cs="Times New Roman"/>
          <w:b w:val="0"/>
          <w:bCs w:val="0"/>
          <w:szCs w:val="32"/>
        </w:rPr>
        <w:t>人员满意度稳健提升≥90%以上。</w:t>
      </w:r>
    </w:p>
    <w:p w14:paraId="296DE1DD">
      <w:pPr>
        <w:adjustRightInd w:val="0"/>
        <w:snapToGrid w:val="0"/>
        <w:spacing w:line="578" w:lineRule="exact"/>
        <w:ind w:firstLine="640" w:firstLineChars="200"/>
        <w:rPr>
          <w:rFonts w:ascii="Times New Roman" w:hAnsi="Times New Roman" w:eastAsia="黑体" w:cs="Times New Roman"/>
          <w:b w:val="0"/>
          <w:bCs w:val="0"/>
          <w:szCs w:val="32"/>
        </w:rPr>
      </w:pPr>
      <w:r>
        <w:rPr>
          <w:rFonts w:ascii="Times New Roman" w:hAnsi="Times New Roman" w:eastAsia="黑体" w:cs="Times New Roman"/>
          <w:b w:val="0"/>
          <w:bCs w:val="0"/>
          <w:szCs w:val="32"/>
        </w:rPr>
        <w:t>五、评价结论及建议</w:t>
      </w:r>
    </w:p>
    <w:p w14:paraId="2BEB905F">
      <w:pPr>
        <w:adjustRightInd w:val="0"/>
        <w:snapToGrid w:val="0"/>
        <w:spacing w:line="578" w:lineRule="exact"/>
        <w:ind w:firstLine="640" w:firstLineChars="200"/>
        <w:rPr>
          <w:rFonts w:ascii="Times New Roman" w:hAnsi="Times New Roman" w:eastAsia="楷体_GB2312" w:cs="Times New Roman"/>
          <w:b w:val="0"/>
          <w:bCs w:val="0"/>
          <w:szCs w:val="32"/>
          <w:lang w:val="zh-CN"/>
        </w:rPr>
      </w:pPr>
      <w:r>
        <w:rPr>
          <w:rFonts w:ascii="Times New Roman" w:hAnsi="Times New Roman" w:eastAsia="楷体_GB2312" w:cs="Times New Roman"/>
          <w:b w:val="0"/>
          <w:bCs w:val="0"/>
          <w:szCs w:val="32"/>
          <w:lang w:val="zh-CN"/>
        </w:rPr>
        <w:t>（一）评价结论。</w:t>
      </w:r>
    </w:p>
    <w:p w14:paraId="75C42830">
      <w:pPr>
        <w:spacing w:line="578" w:lineRule="exact"/>
        <w:ind w:firstLine="640" w:firstLineChars="200"/>
        <w:rPr>
          <w:rFonts w:ascii="Times New Roman" w:hAnsi="Times New Roman" w:cs="Times New Roman"/>
          <w:b w:val="0"/>
          <w:bCs w:val="0"/>
          <w:szCs w:val="32"/>
          <w:lang w:val="zh-CN"/>
        </w:rPr>
      </w:pPr>
      <w:r>
        <w:rPr>
          <w:rFonts w:ascii="Times New Roman" w:hAnsi="Times New Roman" w:cs="Times New Roman"/>
          <w:b w:val="0"/>
          <w:bCs w:val="0"/>
          <w:szCs w:val="32"/>
        </w:rPr>
        <w:t>依据专项项目支出绩效评价指标体系，综合考量项目决策、管理、产出、效益各环节，“医保定点医药机构监管经费”项目自评得分 100 分。项目立项精准契合医保基金监管需求，资金管理规范透明，实施流程严谨高效，绩效目标全面达成，经济效益、社会效益显著，切实提升医保基金监督管理能力，维护医保基金安全。</w:t>
      </w:r>
    </w:p>
    <w:p w14:paraId="7DD237C5">
      <w:pPr>
        <w:numPr>
          <w:ilvl w:val="0"/>
          <w:numId w:val="4"/>
        </w:numPr>
        <w:adjustRightInd w:val="0"/>
        <w:snapToGrid w:val="0"/>
        <w:spacing w:line="578" w:lineRule="exact"/>
        <w:ind w:firstLine="640" w:firstLineChars="200"/>
        <w:rPr>
          <w:rFonts w:ascii="Times New Roman" w:hAnsi="Times New Roman" w:eastAsia="楷体_GB2312" w:cs="Times New Roman"/>
          <w:b w:val="0"/>
          <w:bCs w:val="0"/>
          <w:szCs w:val="32"/>
          <w:lang w:val="zh-CN"/>
        </w:rPr>
      </w:pPr>
      <w:r>
        <w:rPr>
          <w:rFonts w:ascii="Times New Roman" w:hAnsi="Times New Roman" w:eastAsia="楷体_GB2312" w:cs="Times New Roman"/>
          <w:b w:val="0"/>
          <w:bCs w:val="0"/>
          <w:szCs w:val="32"/>
          <w:lang w:val="zh-CN"/>
        </w:rPr>
        <w:t>存在的问题。</w:t>
      </w:r>
    </w:p>
    <w:p w14:paraId="6C23AC4D">
      <w:pPr>
        <w:numPr>
          <w:ilvl w:val="-1"/>
          <w:numId w:val="0"/>
        </w:numPr>
        <w:adjustRightInd w:val="0"/>
        <w:snapToGrid w:val="0"/>
        <w:spacing w:line="578" w:lineRule="exact"/>
        <w:ind w:firstLine="640" w:firstLineChars="200"/>
        <w:rPr>
          <w:rFonts w:hint="eastAsia" w:ascii="仿宋_GB2312" w:hAnsi="仿宋_GB2312" w:eastAsia="仿宋_GB2312" w:cs="仿宋_GB2312"/>
          <w:b w:val="0"/>
          <w:bCs w:val="0"/>
          <w:szCs w:val="32"/>
          <w:lang w:val="zh-CN"/>
        </w:rPr>
      </w:pPr>
      <w:r>
        <w:rPr>
          <w:rFonts w:hint="eastAsia" w:ascii="仿宋_GB2312" w:hAnsi="仿宋_GB2312" w:eastAsia="仿宋_GB2312" w:cs="仿宋_GB2312"/>
          <w:b w:val="0"/>
          <w:bCs w:val="0"/>
          <w:szCs w:val="32"/>
          <w:lang w:val="zh-CN"/>
        </w:rPr>
        <w:t>无。</w:t>
      </w:r>
    </w:p>
    <w:p w14:paraId="344EDA11">
      <w:pPr>
        <w:adjustRightInd w:val="0"/>
        <w:snapToGrid w:val="0"/>
        <w:spacing w:line="578" w:lineRule="exact"/>
        <w:ind w:firstLine="640" w:firstLineChars="200"/>
        <w:rPr>
          <w:rFonts w:ascii="Times New Roman" w:hAnsi="Times New Roman" w:eastAsia="楷体_GB2312" w:cs="Times New Roman"/>
          <w:b w:val="0"/>
          <w:bCs w:val="0"/>
          <w:szCs w:val="32"/>
          <w:lang w:val="zh-CN"/>
        </w:rPr>
      </w:pPr>
      <w:r>
        <w:rPr>
          <w:rFonts w:ascii="Times New Roman" w:hAnsi="Times New Roman" w:eastAsia="楷体_GB2312" w:cs="Times New Roman"/>
          <w:b w:val="0"/>
          <w:bCs w:val="0"/>
          <w:szCs w:val="32"/>
          <w:lang w:val="zh-CN"/>
        </w:rPr>
        <w:t>（三）相关建议。</w:t>
      </w:r>
    </w:p>
    <w:p w14:paraId="269539C5">
      <w:pPr>
        <w:widowControl w:val="0"/>
        <w:spacing w:line="560" w:lineRule="exact"/>
        <w:ind w:left="0" w:leftChars="0" w:firstLine="640" w:firstLineChars="200"/>
        <w:jc w:val="both"/>
        <w:rPr>
          <w:rFonts w:hint="default" w:ascii="Times New Roman" w:hAnsi="Times New Roman" w:eastAsia="仿宋_GB2312" w:cs="Times New Roman"/>
          <w:b w:val="0"/>
          <w:bCs w:val="0"/>
          <w:kern w:val="2"/>
          <w:sz w:val="32"/>
          <w:szCs w:val="32"/>
          <w:lang w:val="en-US" w:eastAsia="zh-CN" w:bidi="ar-SA"/>
        </w:rPr>
      </w:pPr>
      <w:r>
        <w:rPr>
          <w:rFonts w:hint="eastAsia" w:ascii="Times New Roman" w:hAnsi="Times New Roman" w:cs="Times New Roman"/>
          <w:b w:val="0"/>
          <w:bCs w:val="0"/>
          <w:szCs w:val="32"/>
          <w:lang w:val="zh-CN"/>
        </w:rPr>
        <w:t>无。</w:t>
      </w:r>
    </w:p>
    <w:p w14:paraId="7BD9FD77">
      <w:pPr>
        <w:widowControl w:val="0"/>
        <w:spacing w:line="560" w:lineRule="exact"/>
        <w:ind w:left="0" w:leftChars="0" w:firstLine="640" w:firstLineChars="200"/>
        <w:jc w:val="both"/>
        <w:rPr>
          <w:rFonts w:hint="default" w:ascii="Times New Roman" w:hAnsi="Times New Roman" w:eastAsia="仿宋_GB2312" w:cs="Times New Roman"/>
          <w:b w:val="0"/>
          <w:bCs w:val="0"/>
          <w:kern w:val="2"/>
          <w:sz w:val="32"/>
          <w:szCs w:val="32"/>
          <w:lang w:val="en-US" w:eastAsia="zh-CN" w:bidi="ar-SA"/>
        </w:rPr>
      </w:pPr>
    </w:p>
    <w:p w14:paraId="463FCB05">
      <w:pPr>
        <w:widowControl w:val="0"/>
        <w:spacing w:line="560" w:lineRule="exact"/>
        <w:ind w:left="0" w:leftChars="0" w:firstLine="640" w:firstLineChars="200"/>
        <w:jc w:val="both"/>
        <w:rPr>
          <w:rFonts w:hint="default" w:ascii="Times New Roman" w:hAnsi="Times New Roman" w:eastAsia="仿宋_GB2312" w:cs="Times New Roman"/>
          <w:b w:val="0"/>
          <w:bCs w:val="0"/>
          <w:kern w:val="2"/>
          <w:sz w:val="32"/>
          <w:szCs w:val="32"/>
          <w:lang w:val="en-US" w:eastAsia="zh-CN" w:bidi="ar-SA"/>
        </w:rPr>
      </w:pPr>
    </w:p>
    <w:p w14:paraId="6E7AB966">
      <w:pPr>
        <w:widowControl w:val="0"/>
        <w:spacing w:line="560" w:lineRule="exact"/>
        <w:ind w:left="0" w:leftChars="0" w:firstLine="640" w:firstLineChars="200"/>
        <w:jc w:val="both"/>
        <w:rPr>
          <w:rFonts w:hint="default" w:ascii="Times New Roman" w:hAnsi="Times New Roman" w:eastAsia="仿宋_GB2312" w:cs="Times New Roman"/>
          <w:b w:val="0"/>
          <w:bCs w:val="0"/>
          <w:kern w:val="2"/>
          <w:sz w:val="32"/>
          <w:szCs w:val="32"/>
          <w:lang w:val="en-US" w:eastAsia="zh-CN" w:bidi="ar-SA"/>
        </w:rPr>
      </w:pPr>
    </w:p>
    <w:p w14:paraId="0B0DEEE0">
      <w:pPr>
        <w:widowControl w:val="0"/>
        <w:spacing w:line="560" w:lineRule="exact"/>
        <w:ind w:left="0" w:leftChars="0" w:firstLine="640" w:firstLineChars="200"/>
        <w:jc w:val="both"/>
        <w:rPr>
          <w:rFonts w:hint="default" w:ascii="Times New Roman" w:hAnsi="Times New Roman" w:eastAsia="仿宋_GB2312" w:cs="Times New Roman"/>
          <w:b w:val="0"/>
          <w:bCs w:val="0"/>
          <w:kern w:val="2"/>
          <w:sz w:val="32"/>
          <w:szCs w:val="32"/>
          <w:lang w:val="en-US" w:eastAsia="zh-CN" w:bidi="ar-SA"/>
        </w:rPr>
      </w:pPr>
    </w:p>
    <w:p w14:paraId="08AA584B">
      <w:pPr>
        <w:widowControl w:val="0"/>
        <w:spacing w:line="560" w:lineRule="exact"/>
        <w:ind w:left="0" w:leftChars="0" w:firstLine="640" w:firstLineChars="200"/>
        <w:jc w:val="both"/>
        <w:rPr>
          <w:rFonts w:hint="default" w:ascii="Times New Roman" w:hAnsi="Times New Roman" w:eastAsia="仿宋_GB2312" w:cs="Times New Roman"/>
          <w:b w:val="0"/>
          <w:bCs w:val="0"/>
          <w:kern w:val="2"/>
          <w:sz w:val="32"/>
          <w:szCs w:val="32"/>
          <w:lang w:val="en-US" w:eastAsia="zh-CN" w:bidi="ar-SA"/>
        </w:rPr>
      </w:pPr>
    </w:p>
    <w:p w14:paraId="224C6960">
      <w:pPr>
        <w:widowControl w:val="0"/>
        <w:spacing w:line="560" w:lineRule="exact"/>
        <w:ind w:left="0" w:leftChars="0" w:firstLine="640" w:firstLineChars="200"/>
        <w:jc w:val="both"/>
        <w:rPr>
          <w:rFonts w:hint="default" w:ascii="Times New Roman" w:hAnsi="Times New Roman" w:eastAsia="仿宋_GB2312" w:cs="Times New Roman"/>
          <w:b w:val="0"/>
          <w:bCs w:val="0"/>
          <w:kern w:val="2"/>
          <w:sz w:val="32"/>
          <w:szCs w:val="32"/>
          <w:lang w:val="en-US" w:eastAsia="zh-CN" w:bidi="ar-SA"/>
        </w:rPr>
      </w:pPr>
    </w:p>
    <w:p w14:paraId="21A81C1A">
      <w:pPr>
        <w:widowControl w:val="0"/>
        <w:spacing w:line="560" w:lineRule="exact"/>
        <w:ind w:left="0" w:leftChars="0" w:firstLine="640" w:firstLineChars="200"/>
        <w:jc w:val="both"/>
        <w:rPr>
          <w:rFonts w:hint="default" w:ascii="Times New Roman" w:hAnsi="Times New Roman" w:eastAsia="仿宋_GB2312" w:cs="Times New Roman"/>
          <w:b w:val="0"/>
          <w:bCs w:val="0"/>
          <w:kern w:val="2"/>
          <w:sz w:val="32"/>
          <w:szCs w:val="32"/>
          <w:lang w:val="en-US" w:eastAsia="zh-CN" w:bidi="ar-SA"/>
        </w:rPr>
      </w:pPr>
    </w:p>
    <w:p w14:paraId="25B4DED1">
      <w:pPr>
        <w:widowControl w:val="0"/>
        <w:spacing w:line="560" w:lineRule="exact"/>
        <w:ind w:left="0" w:leftChars="0" w:firstLine="640" w:firstLineChars="200"/>
        <w:jc w:val="both"/>
        <w:rPr>
          <w:rFonts w:hint="default" w:ascii="Times New Roman" w:hAnsi="Times New Roman" w:eastAsia="仿宋_GB2312" w:cs="Times New Roman"/>
          <w:b w:val="0"/>
          <w:bCs w:val="0"/>
          <w:kern w:val="2"/>
          <w:sz w:val="32"/>
          <w:szCs w:val="32"/>
          <w:lang w:val="en-US" w:eastAsia="zh-CN" w:bidi="ar-SA"/>
        </w:rPr>
      </w:pPr>
    </w:p>
    <w:p w14:paraId="5D9662B3">
      <w:pPr>
        <w:widowControl w:val="0"/>
        <w:spacing w:line="560" w:lineRule="exact"/>
        <w:ind w:left="0" w:leftChars="0" w:firstLine="640" w:firstLineChars="200"/>
        <w:jc w:val="both"/>
        <w:rPr>
          <w:rFonts w:hint="default" w:ascii="Times New Roman" w:hAnsi="Times New Roman" w:eastAsia="仿宋_GB2312" w:cs="Times New Roman"/>
          <w:b w:val="0"/>
          <w:bCs w:val="0"/>
          <w:kern w:val="2"/>
          <w:sz w:val="32"/>
          <w:szCs w:val="32"/>
          <w:lang w:val="en-US" w:eastAsia="zh-CN" w:bidi="ar-SA"/>
        </w:rPr>
      </w:pPr>
    </w:p>
    <w:p w14:paraId="183B2E6F">
      <w:pPr>
        <w:widowControl w:val="0"/>
        <w:spacing w:line="560" w:lineRule="exact"/>
        <w:ind w:left="0" w:leftChars="0" w:firstLine="640" w:firstLineChars="200"/>
        <w:jc w:val="both"/>
        <w:rPr>
          <w:rFonts w:hint="default" w:ascii="Times New Roman" w:hAnsi="Times New Roman" w:eastAsia="仿宋_GB2312" w:cs="Times New Roman"/>
          <w:b w:val="0"/>
          <w:bCs w:val="0"/>
          <w:kern w:val="2"/>
          <w:sz w:val="32"/>
          <w:szCs w:val="32"/>
          <w:lang w:val="en-US" w:eastAsia="zh-CN" w:bidi="ar-SA"/>
        </w:rPr>
      </w:pPr>
    </w:p>
    <w:p w14:paraId="557C19D8">
      <w:pPr>
        <w:widowControl w:val="0"/>
        <w:spacing w:line="560" w:lineRule="exact"/>
        <w:ind w:left="0" w:leftChars="0" w:firstLine="640" w:firstLineChars="200"/>
        <w:jc w:val="both"/>
        <w:rPr>
          <w:rFonts w:hint="default" w:ascii="Times New Roman" w:hAnsi="Times New Roman" w:eastAsia="仿宋_GB2312" w:cs="Times New Roman"/>
          <w:b w:val="0"/>
          <w:bCs w:val="0"/>
          <w:kern w:val="2"/>
          <w:sz w:val="32"/>
          <w:szCs w:val="32"/>
          <w:lang w:val="en-US" w:eastAsia="zh-CN" w:bidi="ar-SA"/>
        </w:rPr>
      </w:pPr>
    </w:p>
    <w:p w14:paraId="5A85A6E8">
      <w:pPr>
        <w:widowControl w:val="0"/>
        <w:spacing w:line="560" w:lineRule="exact"/>
        <w:ind w:left="0" w:leftChars="0" w:firstLine="640" w:firstLineChars="200"/>
        <w:jc w:val="both"/>
        <w:rPr>
          <w:rFonts w:hint="default" w:ascii="Times New Roman" w:hAnsi="Times New Roman" w:eastAsia="仿宋_GB2312" w:cs="Times New Roman"/>
          <w:b w:val="0"/>
          <w:bCs w:val="0"/>
          <w:kern w:val="2"/>
          <w:sz w:val="32"/>
          <w:szCs w:val="32"/>
          <w:lang w:val="en-US" w:eastAsia="zh-CN" w:bidi="ar-SA"/>
        </w:rPr>
      </w:pPr>
    </w:p>
    <w:p w14:paraId="796DD56B">
      <w:pPr>
        <w:widowControl w:val="0"/>
        <w:spacing w:line="560" w:lineRule="exact"/>
        <w:ind w:left="0" w:leftChars="0" w:firstLine="640" w:firstLineChars="200"/>
        <w:jc w:val="both"/>
        <w:rPr>
          <w:rFonts w:hint="default" w:ascii="Times New Roman" w:hAnsi="Times New Roman" w:eastAsia="仿宋_GB2312" w:cs="Times New Roman"/>
          <w:b w:val="0"/>
          <w:bCs w:val="0"/>
          <w:kern w:val="2"/>
          <w:sz w:val="32"/>
          <w:szCs w:val="32"/>
          <w:lang w:val="en-US" w:eastAsia="zh-CN" w:bidi="ar-SA"/>
        </w:rPr>
      </w:pPr>
    </w:p>
    <w:p w14:paraId="058DBC66">
      <w:pPr>
        <w:widowControl w:val="0"/>
        <w:spacing w:line="560" w:lineRule="exact"/>
        <w:ind w:left="0" w:leftChars="0" w:firstLine="640" w:firstLineChars="200"/>
        <w:jc w:val="both"/>
        <w:rPr>
          <w:rFonts w:hint="default" w:ascii="Times New Roman" w:hAnsi="Times New Roman" w:eastAsia="仿宋_GB2312" w:cs="Times New Roman"/>
          <w:b w:val="0"/>
          <w:bCs w:val="0"/>
          <w:kern w:val="2"/>
          <w:sz w:val="32"/>
          <w:szCs w:val="32"/>
          <w:lang w:val="en-US" w:eastAsia="zh-CN" w:bidi="ar-SA"/>
        </w:rPr>
      </w:pPr>
    </w:p>
    <w:p w14:paraId="178F5970">
      <w:pPr>
        <w:widowControl w:val="0"/>
        <w:spacing w:line="560" w:lineRule="exact"/>
        <w:ind w:left="0" w:leftChars="0" w:firstLine="640" w:firstLineChars="200"/>
        <w:jc w:val="both"/>
        <w:rPr>
          <w:rFonts w:hint="default" w:ascii="Times New Roman" w:hAnsi="Times New Roman" w:eastAsia="仿宋_GB2312" w:cs="Times New Roman"/>
          <w:b w:val="0"/>
          <w:bCs w:val="0"/>
          <w:kern w:val="2"/>
          <w:sz w:val="32"/>
          <w:szCs w:val="32"/>
          <w:lang w:val="en-US" w:eastAsia="zh-CN" w:bidi="ar-SA"/>
        </w:rPr>
      </w:pPr>
    </w:p>
    <w:p w14:paraId="327A20B4">
      <w:pPr>
        <w:widowControl w:val="0"/>
        <w:spacing w:line="560" w:lineRule="exact"/>
        <w:ind w:left="0" w:leftChars="0" w:firstLine="640" w:firstLineChars="200"/>
        <w:jc w:val="both"/>
        <w:rPr>
          <w:rFonts w:hint="default" w:ascii="Times New Roman" w:hAnsi="Times New Roman" w:eastAsia="仿宋_GB2312" w:cs="Times New Roman"/>
          <w:b w:val="0"/>
          <w:bCs w:val="0"/>
          <w:kern w:val="2"/>
          <w:sz w:val="32"/>
          <w:szCs w:val="32"/>
          <w:lang w:val="en-US" w:eastAsia="zh-CN" w:bidi="ar-SA"/>
        </w:rPr>
      </w:pPr>
    </w:p>
    <w:p w14:paraId="1FED09A5">
      <w:pPr>
        <w:widowControl w:val="0"/>
        <w:spacing w:line="560" w:lineRule="exact"/>
        <w:ind w:left="0" w:leftChars="0" w:firstLine="640" w:firstLineChars="200"/>
        <w:jc w:val="both"/>
        <w:rPr>
          <w:rFonts w:hint="default" w:ascii="Times New Roman" w:hAnsi="Times New Roman" w:eastAsia="仿宋_GB2312" w:cs="Times New Roman"/>
          <w:b w:val="0"/>
          <w:bCs w:val="0"/>
          <w:kern w:val="2"/>
          <w:sz w:val="32"/>
          <w:szCs w:val="32"/>
          <w:lang w:val="en-US" w:eastAsia="zh-CN" w:bidi="ar-SA"/>
        </w:rPr>
      </w:pPr>
    </w:p>
    <w:p w14:paraId="12B25F7B">
      <w:pPr>
        <w:widowControl w:val="0"/>
        <w:spacing w:line="560" w:lineRule="exact"/>
        <w:ind w:left="0" w:leftChars="0" w:firstLine="640" w:firstLineChars="200"/>
        <w:jc w:val="both"/>
        <w:rPr>
          <w:rFonts w:hint="default" w:ascii="Times New Roman" w:hAnsi="Times New Roman" w:eastAsia="仿宋_GB2312" w:cs="Times New Roman"/>
          <w:b w:val="0"/>
          <w:bCs w:val="0"/>
          <w:kern w:val="2"/>
          <w:sz w:val="32"/>
          <w:szCs w:val="32"/>
          <w:lang w:val="en-US" w:eastAsia="zh-CN" w:bidi="ar-SA"/>
        </w:rPr>
      </w:pPr>
      <w:bookmarkStart w:id="6" w:name="_GoBack"/>
      <w:bookmarkEnd w:id="6"/>
    </w:p>
    <w:p w14:paraId="42837BB6">
      <w:pPr>
        <w:widowControl/>
        <w:spacing w:line="600" w:lineRule="exact"/>
        <w:ind w:firstLine="880" w:firstLineChars="200"/>
        <w:contextualSpacing/>
        <w:jc w:val="both"/>
        <w:rPr>
          <w:rFonts w:ascii="Times New Roman" w:hAnsi="Times New Roman" w:eastAsia="方正小标宋_GBK" w:cs="Times New Roman"/>
          <w:b w:val="0"/>
          <w:bCs w:val="0"/>
          <w:sz w:val="44"/>
          <w:szCs w:val="44"/>
          <w:shd w:val="clear" w:color="auto" w:fill="FFFFFF"/>
        </w:rPr>
      </w:pPr>
    </w:p>
    <w:p w14:paraId="5F4A6FDA">
      <w:pPr>
        <w:widowControl/>
        <w:spacing w:line="578" w:lineRule="exact"/>
        <w:ind w:firstLine="880" w:firstLineChars="200"/>
        <w:contextualSpacing/>
        <w:jc w:val="center"/>
        <w:rPr>
          <w:rFonts w:ascii="Times New Roman" w:hAnsi="Times New Roman" w:eastAsia="方正小标宋_GBK" w:cs="Times New Roman"/>
          <w:b w:val="0"/>
          <w:bCs w:val="0"/>
          <w:sz w:val="44"/>
          <w:szCs w:val="44"/>
          <w:shd w:val="clear" w:color="auto" w:fill="FFFFFF"/>
        </w:rPr>
      </w:pPr>
      <w:r>
        <w:rPr>
          <w:rFonts w:ascii="Times New Roman" w:hAnsi="Times New Roman" w:eastAsia="方正小标宋_GBK" w:cs="Times New Roman"/>
          <w:b w:val="0"/>
          <w:bCs w:val="0"/>
          <w:sz w:val="44"/>
          <w:szCs w:val="44"/>
          <w:shd w:val="clear" w:color="auto" w:fill="FFFFFF"/>
        </w:rPr>
        <w:t>攀枝花市医疗保障事务中心</w:t>
      </w:r>
    </w:p>
    <w:p w14:paraId="6332F668">
      <w:pPr>
        <w:widowControl/>
        <w:spacing w:line="578" w:lineRule="exact"/>
        <w:ind w:firstLine="880" w:firstLineChars="200"/>
        <w:contextualSpacing/>
        <w:jc w:val="center"/>
        <w:rPr>
          <w:rFonts w:ascii="Times New Roman" w:hAnsi="Times New Roman" w:eastAsia="方正小标宋_GBK" w:cs="Times New Roman"/>
          <w:b w:val="0"/>
          <w:bCs w:val="0"/>
          <w:sz w:val="44"/>
          <w:szCs w:val="44"/>
          <w:shd w:val="clear" w:color="auto" w:fill="FFFFFF"/>
        </w:rPr>
      </w:pPr>
      <w:r>
        <w:rPr>
          <w:rFonts w:ascii="Times New Roman" w:hAnsi="Times New Roman" w:eastAsia="方正小标宋_GBK" w:cs="Times New Roman"/>
          <w:b w:val="0"/>
          <w:bCs w:val="0"/>
          <w:sz w:val="44"/>
          <w:szCs w:val="44"/>
          <w:shd w:val="clear" w:color="auto" w:fill="FFFFFF"/>
        </w:rPr>
        <w:t>202</w:t>
      </w:r>
      <w:r>
        <w:rPr>
          <w:rFonts w:hint="default" w:ascii="Times New Roman" w:hAnsi="Times New Roman" w:eastAsia="方正小标宋_GBK" w:cs="Times New Roman"/>
          <w:b w:val="0"/>
          <w:bCs w:val="0"/>
          <w:sz w:val="44"/>
          <w:szCs w:val="44"/>
          <w:shd w:val="clear" w:color="auto" w:fill="FFFFFF"/>
          <w:lang w:val="en-US" w:eastAsia="zh-CN"/>
        </w:rPr>
        <w:t>5</w:t>
      </w:r>
      <w:r>
        <w:rPr>
          <w:rFonts w:ascii="Times New Roman" w:hAnsi="Times New Roman" w:eastAsia="方正小标宋_GBK" w:cs="Times New Roman"/>
          <w:b w:val="0"/>
          <w:bCs w:val="0"/>
          <w:sz w:val="44"/>
          <w:szCs w:val="44"/>
          <w:shd w:val="clear" w:color="auto" w:fill="FFFFFF"/>
        </w:rPr>
        <w:t>年入驻政务中心单位租金、物业费及水电费项目支出绩效自评报告</w:t>
      </w:r>
    </w:p>
    <w:p w14:paraId="0AE2F560">
      <w:pPr>
        <w:spacing w:line="578" w:lineRule="exact"/>
        <w:ind w:firstLine="640" w:firstLineChars="200"/>
        <w:rPr>
          <w:rFonts w:ascii="Times New Roman" w:hAnsi="Times New Roman" w:cs="Times New Roman"/>
          <w:b w:val="0"/>
          <w:bCs w:val="0"/>
          <w:szCs w:val="32"/>
        </w:rPr>
      </w:pPr>
    </w:p>
    <w:p w14:paraId="27B59473">
      <w:pPr>
        <w:spacing w:line="578" w:lineRule="exact"/>
        <w:ind w:firstLine="640" w:firstLineChars="200"/>
        <w:rPr>
          <w:rFonts w:ascii="Times New Roman" w:hAnsi="Times New Roman" w:eastAsia="黑体" w:cs="Times New Roman"/>
          <w:b w:val="0"/>
          <w:bCs w:val="0"/>
          <w:szCs w:val="32"/>
        </w:rPr>
      </w:pPr>
      <w:r>
        <w:rPr>
          <w:rFonts w:ascii="Times New Roman" w:hAnsi="Times New Roman" w:eastAsia="黑体" w:cs="Times New Roman"/>
          <w:b w:val="0"/>
          <w:bCs w:val="0"/>
          <w:szCs w:val="32"/>
        </w:rPr>
        <w:t>一、项目概况</w:t>
      </w:r>
    </w:p>
    <w:p w14:paraId="61A97080">
      <w:pPr>
        <w:spacing w:line="578" w:lineRule="exact"/>
        <w:ind w:firstLine="640" w:firstLineChars="200"/>
        <w:rPr>
          <w:rFonts w:hint="default" w:ascii="Times New Roman" w:hAnsi="Times New Roman" w:eastAsia="楷体_GB2312" w:cs="Times New Roman"/>
          <w:b w:val="0"/>
          <w:bCs w:val="0"/>
          <w:szCs w:val="32"/>
          <w:lang w:eastAsia="zh-CN"/>
        </w:rPr>
      </w:pPr>
      <w:r>
        <w:rPr>
          <w:rFonts w:ascii="Times New Roman" w:hAnsi="Times New Roman" w:eastAsia="楷体_GB2312" w:cs="Times New Roman"/>
          <w:b w:val="0"/>
          <w:bCs w:val="0"/>
          <w:szCs w:val="32"/>
        </w:rPr>
        <w:t>（一）项目基本情况</w:t>
      </w:r>
      <w:r>
        <w:rPr>
          <w:rFonts w:hint="default" w:ascii="Times New Roman" w:hAnsi="Times New Roman" w:eastAsia="楷体_GB2312" w:cs="Times New Roman"/>
          <w:b w:val="0"/>
          <w:bCs w:val="0"/>
          <w:szCs w:val="32"/>
          <w:lang w:eastAsia="zh-CN"/>
        </w:rPr>
        <w:t>。</w:t>
      </w:r>
    </w:p>
    <w:p w14:paraId="4C375CB3">
      <w:pPr>
        <w:spacing w:line="578" w:lineRule="exact"/>
        <w:ind w:firstLine="640" w:firstLineChars="200"/>
        <w:rPr>
          <w:rFonts w:ascii="Times New Roman" w:hAnsi="Times New Roman" w:cs="Times New Roman"/>
          <w:b w:val="0"/>
          <w:bCs w:val="0"/>
          <w:szCs w:val="32"/>
        </w:rPr>
      </w:pPr>
      <w:r>
        <w:rPr>
          <w:rFonts w:ascii="Times New Roman" w:hAnsi="Times New Roman" w:cs="Times New Roman"/>
          <w:b w:val="0"/>
          <w:bCs w:val="0"/>
          <w:szCs w:val="32"/>
        </w:rPr>
        <w:t>1、市医保事务中心在项目管理中的职能。</w:t>
      </w:r>
    </w:p>
    <w:p w14:paraId="7294D144">
      <w:pPr>
        <w:spacing w:line="578" w:lineRule="exact"/>
        <w:ind w:firstLine="640" w:firstLineChars="200"/>
        <w:rPr>
          <w:rFonts w:ascii="Times New Roman" w:hAnsi="Times New Roman" w:cs="Times New Roman"/>
          <w:b w:val="0"/>
          <w:bCs w:val="0"/>
          <w:szCs w:val="32"/>
        </w:rPr>
      </w:pPr>
      <w:r>
        <w:rPr>
          <w:rFonts w:ascii="Times New Roman" w:hAnsi="Times New Roman" w:cs="Times New Roman"/>
          <w:b w:val="0"/>
          <w:bCs w:val="0"/>
          <w:szCs w:val="32"/>
        </w:rPr>
        <w:t>攀枝花</w:t>
      </w:r>
      <w:r>
        <w:rPr>
          <w:rFonts w:hint="eastAsia" w:ascii="Times New Roman" w:hAnsi="Times New Roman" w:cs="Times New Roman"/>
          <w:b w:val="0"/>
          <w:bCs w:val="0"/>
          <w:szCs w:val="32"/>
          <w:lang w:eastAsia="zh-CN"/>
        </w:rPr>
        <w:t>市医保事务中心</w:t>
      </w:r>
      <w:r>
        <w:rPr>
          <w:rFonts w:ascii="Times New Roman" w:hAnsi="Times New Roman" w:cs="Times New Roman"/>
          <w:b w:val="0"/>
          <w:bCs w:val="0"/>
          <w:szCs w:val="32"/>
        </w:rPr>
        <w:t>主要负责职工基本医疗保险、城乡居民基本医疗保险、生育保险、医疗救助具体经办业务，制定、完善业务经办管理规程。负责对定点医药机构执行政策规定和为参保人员提供医疗服务进行指导和检查。承担离休干部、六级以上革命伤残军人（警察）、建国初期参加工作退休干部及其他医疗照顾人员医药费用审核报销的具体业务工作。参与医疗保障业务经办信息系统建设。</w:t>
      </w:r>
    </w:p>
    <w:p w14:paraId="0F912268">
      <w:pPr>
        <w:spacing w:line="578" w:lineRule="exact"/>
        <w:ind w:firstLine="640" w:firstLineChars="200"/>
        <w:rPr>
          <w:rFonts w:ascii="Times New Roman" w:hAnsi="Times New Roman" w:cs="Times New Roman"/>
          <w:b w:val="0"/>
          <w:bCs w:val="0"/>
          <w:szCs w:val="32"/>
        </w:rPr>
      </w:pPr>
      <w:r>
        <w:rPr>
          <w:rFonts w:ascii="Times New Roman" w:hAnsi="Times New Roman" w:cs="Times New Roman"/>
          <w:b w:val="0"/>
          <w:bCs w:val="0"/>
          <w:szCs w:val="32"/>
        </w:rPr>
        <w:t>2、项目立项、资金申报依据。</w:t>
      </w:r>
    </w:p>
    <w:p w14:paraId="00DEA3BE">
      <w:pPr>
        <w:spacing w:line="578" w:lineRule="exact"/>
        <w:ind w:firstLine="640" w:firstLineChars="200"/>
        <w:rPr>
          <w:rFonts w:ascii="Times New Roman" w:hAnsi="Times New Roman" w:cs="Times New Roman"/>
          <w:b w:val="0"/>
          <w:bCs w:val="0"/>
          <w:szCs w:val="32"/>
        </w:rPr>
      </w:pPr>
      <w:r>
        <w:rPr>
          <w:rFonts w:ascii="Times New Roman" w:hAnsi="Times New Roman" w:cs="Times New Roman"/>
          <w:b w:val="0"/>
          <w:bCs w:val="0"/>
          <w:szCs w:val="32"/>
        </w:rPr>
        <w:t>“入驻政务中心单位租金、物业费及水电费”项目资金主要用于市医疗保障事务中心支付入驻政务中心单位租金、物业费及水电费，更好的提升服务效能、服务满意度，保障单位办公场所正常运转。</w:t>
      </w:r>
    </w:p>
    <w:p w14:paraId="319DC83A">
      <w:pPr>
        <w:spacing w:line="578" w:lineRule="exact"/>
        <w:ind w:firstLine="640" w:firstLineChars="200"/>
        <w:rPr>
          <w:rFonts w:ascii="Times New Roman" w:hAnsi="Times New Roman" w:cs="Times New Roman"/>
          <w:b w:val="0"/>
          <w:bCs w:val="0"/>
          <w:szCs w:val="32"/>
        </w:rPr>
      </w:pPr>
      <w:r>
        <w:rPr>
          <w:rFonts w:ascii="Times New Roman" w:hAnsi="Times New Roman" w:cs="Times New Roman"/>
          <w:b w:val="0"/>
          <w:bCs w:val="0"/>
          <w:szCs w:val="32"/>
        </w:rPr>
        <w:t>3、资金支持项目的概况。</w:t>
      </w:r>
    </w:p>
    <w:p w14:paraId="3E057FDB">
      <w:pPr>
        <w:spacing w:line="578" w:lineRule="exact"/>
        <w:ind w:firstLine="640" w:firstLineChars="200"/>
        <w:rPr>
          <w:rFonts w:ascii="Times New Roman" w:hAnsi="Times New Roman" w:cs="Times New Roman"/>
          <w:b w:val="0"/>
          <w:bCs w:val="0"/>
          <w:szCs w:val="32"/>
        </w:rPr>
      </w:pPr>
      <w:r>
        <w:rPr>
          <w:rFonts w:ascii="Times New Roman" w:hAnsi="Times New Roman" w:cs="Times New Roman"/>
          <w:b w:val="0"/>
          <w:bCs w:val="0"/>
          <w:szCs w:val="32"/>
        </w:rPr>
        <w:t>“入驻政务中心单位租金、物业费及水电费”项目经费已纳入政府年度财政预算，并通过相关审批程序，租金、物业费及水电费等符合政府采购和财务管理规定。</w:t>
      </w:r>
    </w:p>
    <w:p w14:paraId="7ED047AA">
      <w:pPr>
        <w:spacing w:line="578" w:lineRule="exact"/>
        <w:ind w:firstLine="640" w:firstLineChars="200"/>
        <w:rPr>
          <w:rFonts w:ascii="Times New Roman" w:hAnsi="Times New Roman" w:cs="Times New Roman"/>
          <w:b w:val="0"/>
          <w:bCs w:val="0"/>
          <w:szCs w:val="32"/>
        </w:rPr>
      </w:pPr>
      <w:r>
        <w:rPr>
          <w:rFonts w:ascii="Times New Roman" w:hAnsi="Times New Roman" w:cs="Times New Roman"/>
          <w:b w:val="0"/>
          <w:bCs w:val="0"/>
          <w:szCs w:val="32"/>
        </w:rPr>
        <w:t>4、资金分配的原则及考虑因素。</w:t>
      </w:r>
    </w:p>
    <w:p w14:paraId="0C58414E">
      <w:pPr>
        <w:spacing w:line="578" w:lineRule="exact"/>
        <w:ind w:firstLine="640" w:firstLineChars="200"/>
        <w:rPr>
          <w:rFonts w:ascii="Times New Roman" w:hAnsi="Times New Roman" w:cs="Times New Roman"/>
          <w:b w:val="0"/>
          <w:bCs w:val="0"/>
          <w:szCs w:val="32"/>
        </w:rPr>
      </w:pPr>
      <w:r>
        <w:rPr>
          <w:rFonts w:ascii="Times New Roman" w:hAnsi="Times New Roman" w:cs="Times New Roman"/>
          <w:b w:val="0"/>
          <w:bCs w:val="0"/>
          <w:szCs w:val="32"/>
        </w:rPr>
        <w:t>“入驻政务中心单位租金、物业费及水电费”项目资金分配应遵循科学合理的原则，并综合考虑资源消耗、财政预算等多种因素，以确保资金分配合理、公平、高效，促进中心的正常运行和持续发展。</w:t>
      </w:r>
    </w:p>
    <w:p w14:paraId="6846337D">
      <w:pPr>
        <w:spacing w:line="578" w:lineRule="exact"/>
        <w:ind w:firstLine="640" w:firstLineChars="200"/>
        <w:rPr>
          <w:rFonts w:ascii="Times New Roman" w:hAnsi="Times New Roman" w:eastAsia="楷体" w:cs="Times New Roman"/>
          <w:b w:val="0"/>
          <w:bCs w:val="0"/>
          <w:szCs w:val="32"/>
        </w:rPr>
      </w:pPr>
      <w:r>
        <w:rPr>
          <w:rFonts w:ascii="Times New Roman" w:hAnsi="Times New Roman" w:eastAsia="楷体" w:cs="Times New Roman"/>
          <w:b w:val="0"/>
          <w:bCs w:val="0"/>
          <w:szCs w:val="32"/>
        </w:rPr>
        <w:t>（二）项目绩效目标。</w:t>
      </w:r>
    </w:p>
    <w:p w14:paraId="219E9DA9">
      <w:pPr>
        <w:spacing w:line="578" w:lineRule="exact"/>
        <w:ind w:firstLine="640" w:firstLineChars="200"/>
        <w:rPr>
          <w:rFonts w:ascii="Times New Roman" w:hAnsi="Times New Roman" w:cs="Times New Roman"/>
          <w:b w:val="0"/>
          <w:bCs w:val="0"/>
          <w:szCs w:val="32"/>
        </w:rPr>
      </w:pPr>
      <w:r>
        <w:rPr>
          <w:rFonts w:ascii="Times New Roman" w:hAnsi="Times New Roman" w:cs="Times New Roman"/>
          <w:b w:val="0"/>
          <w:bCs w:val="0"/>
          <w:szCs w:val="32"/>
        </w:rPr>
        <w:t>1、主要内容。</w:t>
      </w:r>
    </w:p>
    <w:p w14:paraId="6D83CC3E">
      <w:pPr>
        <w:spacing w:line="578" w:lineRule="exact"/>
        <w:ind w:firstLine="640" w:firstLineChars="200"/>
        <w:rPr>
          <w:rFonts w:ascii="Times New Roman" w:hAnsi="Times New Roman" w:cs="Times New Roman"/>
          <w:b w:val="0"/>
          <w:bCs w:val="0"/>
          <w:szCs w:val="32"/>
        </w:rPr>
      </w:pPr>
      <w:r>
        <w:rPr>
          <w:rFonts w:ascii="Times New Roman" w:hAnsi="Times New Roman" w:cs="Times New Roman"/>
          <w:b w:val="0"/>
          <w:bCs w:val="0"/>
          <w:szCs w:val="32"/>
        </w:rPr>
        <w:t>缴纳入驻政务中心单位租金、物业费及水电费。</w:t>
      </w:r>
    </w:p>
    <w:p w14:paraId="63D5B49B">
      <w:pPr>
        <w:spacing w:line="578" w:lineRule="exact"/>
        <w:ind w:firstLine="640" w:firstLineChars="200"/>
        <w:rPr>
          <w:rFonts w:ascii="Times New Roman" w:hAnsi="Times New Roman" w:cs="Times New Roman"/>
          <w:b w:val="0"/>
          <w:bCs w:val="0"/>
          <w:szCs w:val="32"/>
        </w:rPr>
      </w:pPr>
      <w:r>
        <w:rPr>
          <w:rFonts w:ascii="Times New Roman" w:hAnsi="Times New Roman" w:cs="Times New Roman"/>
          <w:b w:val="0"/>
          <w:bCs w:val="0"/>
          <w:szCs w:val="32"/>
        </w:rPr>
        <w:t>2、具体绩效目标。</w:t>
      </w:r>
    </w:p>
    <w:p w14:paraId="0DBB7F2F">
      <w:pPr>
        <w:spacing w:line="578" w:lineRule="exact"/>
        <w:ind w:firstLine="640" w:firstLineChars="200"/>
        <w:rPr>
          <w:rFonts w:ascii="Times New Roman" w:hAnsi="Times New Roman" w:cs="Times New Roman"/>
          <w:b w:val="0"/>
          <w:bCs w:val="0"/>
          <w:szCs w:val="32"/>
        </w:rPr>
      </w:pPr>
      <w:r>
        <w:rPr>
          <w:rFonts w:ascii="Times New Roman" w:hAnsi="Times New Roman" w:cs="Times New Roman"/>
          <w:b w:val="0"/>
          <w:bCs w:val="0"/>
          <w:szCs w:val="32"/>
        </w:rPr>
        <w:t>（1）数量指标：支付入驻政务中心单位租金、物业费及水电费75.</w:t>
      </w:r>
      <w:r>
        <w:rPr>
          <w:rFonts w:hint="default" w:ascii="Times New Roman" w:hAnsi="Times New Roman" w:cs="Times New Roman"/>
          <w:b w:val="0"/>
          <w:bCs w:val="0"/>
          <w:szCs w:val="32"/>
          <w:lang w:val="en-US" w:eastAsia="zh-CN"/>
        </w:rPr>
        <w:t>52</w:t>
      </w:r>
      <w:r>
        <w:rPr>
          <w:rFonts w:ascii="Times New Roman" w:hAnsi="Times New Roman" w:cs="Times New Roman"/>
          <w:b w:val="0"/>
          <w:bCs w:val="0"/>
          <w:szCs w:val="32"/>
        </w:rPr>
        <w:t>万元/年。</w:t>
      </w:r>
    </w:p>
    <w:p w14:paraId="0BF6374F">
      <w:pPr>
        <w:spacing w:line="578" w:lineRule="exact"/>
        <w:ind w:firstLine="640" w:firstLineChars="200"/>
        <w:rPr>
          <w:rFonts w:ascii="Times New Roman" w:hAnsi="Times New Roman" w:cs="Times New Roman"/>
          <w:b w:val="0"/>
          <w:bCs w:val="0"/>
          <w:szCs w:val="32"/>
        </w:rPr>
      </w:pPr>
      <w:r>
        <w:rPr>
          <w:rFonts w:ascii="Times New Roman" w:hAnsi="Times New Roman" w:cs="Times New Roman"/>
          <w:b w:val="0"/>
          <w:bCs w:val="0"/>
          <w:szCs w:val="32"/>
        </w:rPr>
        <w:t>（2）质量指标：按时全额缴纳入驻政务中心单位租金、物业费及水电费，保障单位正常运转。</w:t>
      </w:r>
    </w:p>
    <w:p w14:paraId="6C63E3BC">
      <w:pPr>
        <w:spacing w:line="578" w:lineRule="exact"/>
        <w:ind w:firstLine="640" w:firstLineChars="200"/>
        <w:rPr>
          <w:rFonts w:ascii="Times New Roman" w:hAnsi="Times New Roman" w:cs="Times New Roman"/>
          <w:b w:val="0"/>
          <w:bCs w:val="0"/>
          <w:szCs w:val="32"/>
        </w:rPr>
      </w:pPr>
      <w:r>
        <w:rPr>
          <w:rFonts w:ascii="Times New Roman" w:hAnsi="Times New Roman" w:cs="Times New Roman"/>
          <w:b w:val="0"/>
          <w:bCs w:val="0"/>
          <w:szCs w:val="32"/>
        </w:rPr>
        <w:t>（3）时效指标：202</w:t>
      </w:r>
      <w:r>
        <w:rPr>
          <w:rFonts w:hint="default" w:ascii="Times New Roman" w:hAnsi="Times New Roman" w:cs="Times New Roman"/>
          <w:b w:val="0"/>
          <w:bCs w:val="0"/>
          <w:szCs w:val="32"/>
          <w:lang w:val="en-US" w:eastAsia="zh-CN"/>
        </w:rPr>
        <w:t>5</w:t>
      </w:r>
      <w:r>
        <w:rPr>
          <w:rFonts w:ascii="Times New Roman" w:hAnsi="Times New Roman" w:cs="Times New Roman"/>
          <w:b w:val="0"/>
          <w:bCs w:val="0"/>
          <w:szCs w:val="32"/>
        </w:rPr>
        <w:t>年1-12月在规定时间内使用资金。</w:t>
      </w:r>
    </w:p>
    <w:p w14:paraId="1EE8DADB">
      <w:pPr>
        <w:spacing w:line="578" w:lineRule="exact"/>
        <w:ind w:firstLine="640" w:firstLineChars="200"/>
        <w:rPr>
          <w:rFonts w:ascii="Times New Roman" w:hAnsi="Times New Roman" w:cs="Times New Roman"/>
          <w:b w:val="0"/>
          <w:bCs w:val="0"/>
          <w:szCs w:val="32"/>
        </w:rPr>
      </w:pPr>
      <w:r>
        <w:rPr>
          <w:rFonts w:ascii="Times New Roman" w:hAnsi="Times New Roman" w:cs="Times New Roman"/>
          <w:b w:val="0"/>
          <w:bCs w:val="0"/>
          <w:szCs w:val="32"/>
        </w:rPr>
        <w:t>（4）社会效益指标：保障单位正常运转。</w:t>
      </w:r>
    </w:p>
    <w:p w14:paraId="2DC94B1D">
      <w:pPr>
        <w:spacing w:line="578" w:lineRule="exact"/>
        <w:ind w:firstLine="640" w:firstLineChars="200"/>
        <w:rPr>
          <w:rFonts w:ascii="Times New Roman" w:hAnsi="Times New Roman" w:cs="Times New Roman"/>
          <w:b w:val="0"/>
          <w:bCs w:val="0"/>
          <w:szCs w:val="32"/>
        </w:rPr>
      </w:pPr>
      <w:r>
        <w:rPr>
          <w:rFonts w:ascii="Times New Roman" w:hAnsi="Times New Roman" w:cs="Times New Roman"/>
          <w:b w:val="0"/>
          <w:bCs w:val="0"/>
          <w:szCs w:val="32"/>
        </w:rPr>
        <w:t>（5）服务对象满意度指标：政务中心入驻人员满意度做到完成值“满意”。</w:t>
      </w:r>
    </w:p>
    <w:p w14:paraId="186F4AA4">
      <w:pPr>
        <w:spacing w:line="578" w:lineRule="exact"/>
        <w:ind w:firstLine="640" w:firstLineChars="200"/>
        <w:rPr>
          <w:rFonts w:ascii="Times New Roman" w:hAnsi="Times New Roman" w:cs="Times New Roman"/>
          <w:b w:val="0"/>
          <w:bCs w:val="0"/>
          <w:szCs w:val="32"/>
        </w:rPr>
      </w:pPr>
      <w:r>
        <w:rPr>
          <w:rFonts w:ascii="Times New Roman" w:hAnsi="Times New Roman" w:cs="Times New Roman"/>
          <w:b w:val="0"/>
          <w:bCs w:val="0"/>
          <w:szCs w:val="32"/>
        </w:rPr>
        <w:t>（6）经济成本指标：入驻政务中心单位租金、物业费及水电费75.</w:t>
      </w:r>
      <w:r>
        <w:rPr>
          <w:rFonts w:hint="default" w:ascii="Times New Roman" w:hAnsi="Times New Roman" w:cs="Times New Roman"/>
          <w:b w:val="0"/>
          <w:bCs w:val="0"/>
          <w:szCs w:val="32"/>
          <w:lang w:val="en-US" w:eastAsia="zh-CN"/>
        </w:rPr>
        <w:t>52</w:t>
      </w:r>
      <w:r>
        <w:rPr>
          <w:rFonts w:ascii="Times New Roman" w:hAnsi="Times New Roman" w:cs="Times New Roman"/>
          <w:b w:val="0"/>
          <w:bCs w:val="0"/>
          <w:szCs w:val="32"/>
        </w:rPr>
        <w:t>万元。</w:t>
      </w:r>
    </w:p>
    <w:p w14:paraId="3E53A7E1">
      <w:pPr>
        <w:spacing w:line="578" w:lineRule="exact"/>
        <w:ind w:firstLine="640" w:firstLineChars="200"/>
        <w:rPr>
          <w:rFonts w:ascii="Times New Roman" w:hAnsi="Times New Roman" w:cs="Times New Roman"/>
          <w:b w:val="0"/>
          <w:bCs w:val="0"/>
          <w:szCs w:val="32"/>
        </w:rPr>
      </w:pPr>
      <w:r>
        <w:rPr>
          <w:rFonts w:ascii="Times New Roman" w:hAnsi="Times New Roman" w:cs="Times New Roman"/>
          <w:b w:val="0"/>
          <w:bCs w:val="0"/>
          <w:szCs w:val="32"/>
        </w:rPr>
        <w:t>3、项目资金申报相符性。</w:t>
      </w:r>
    </w:p>
    <w:p w14:paraId="37259F80">
      <w:pPr>
        <w:spacing w:line="578" w:lineRule="exact"/>
        <w:ind w:firstLine="640" w:firstLineChars="200"/>
        <w:rPr>
          <w:rFonts w:ascii="Times New Roman" w:hAnsi="Times New Roman" w:cs="Times New Roman"/>
          <w:b w:val="0"/>
          <w:bCs w:val="0"/>
          <w:szCs w:val="32"/>
        </w:rPr>
      </w:pPr>
      <w:r>
        <w:rPr>
          <w:rFonts w:hint="eastAsia" w:ascii="Times New Roman" w:hAnsi="Times New Roman" w:cs="Times New Roman"/>
          <w:b w:val="0"/>
          <w:bCs w:val="0"/>
          <w:szCs w:val="32"/>
          <w:lang w:eastAsia="zh-CN"/>
        </w:rPr>
        <w:t>市医保事务中心</w:t>
      </w:r>
      <w:r>
        <w:rPr>
          <w:rFonts w:ascii="Times New Roman" w:hAnsi="Times New Roman" w:cs="Times New Roman"/>
          <w:b w:val="0"/>
          <w:bCs w:val="0"/>
          <w:szCs w:val="32"/>
        </w:rPr>
        <w:t>按照202</w:t>
      </w:r>
      <w:r>
        <w:rPr>
          <w:rFonts w:hint="default" w:ascii="Times New Roman" w:hAnsi="Times New Roman" w:cs="Times New Roman"/>
          <w:b w:val="0"/>
          <w:bCs w:val="0"/>
          <w:szCs w:val="32"/>
          <w:lang w:val="en-US" w:eastAsia="zh-CN"/>
        </w:rPr>
        <w:t>5</w:t>
      </w:r>
      <w:r>
        <w:rPr>
          <w:rFonts w:ascii="Times New Roman" w:hAnsi="Times New Roman" w:cs="Times New Roman"/>
          <w:b w:val="0"/>
          <w:bCs w:val="0"/>
          <w:szCs w:val="32"/>
        </w:rPr>
        <w:t>年目标任务制定绩效目标，申报内容与实际相符，申报目标合理可行。</w:t>
      </w:r>
    </w:p>
    <w:p w14:paraId="040A56E7">
      <w:pPr>
        <w:spacing w:line="578" w:lineRule="exact"/>
        <w:ind w:firstLine="640" w:firstLineChars="200"/>
        <w:rPr>
          <w:rFonts w:ascii="Times New Roman" w:hAnsi="Times New Roman" w:cs="Times New Roman"/>
          <w:b w:val="0"/>
          <w:bCs w:val="0"/>
          <w:szCs w:val="32"/>
        </w:rPr>
      </w:pPr>
      <w:r>
        <w:rPr>
          <w:rFonts w:ascii="Times New Roman" w:hAnsi="Times New Roman" w:eastAsia="楷体" w:cs="Times New Roman"/>
          <w:b w:val="0"/>
          <w:bCs w:val="0"/>
          <w:szCs w:val="32"/>
        </w:rPr>
        <w:t>（三）项目自评步骤及方法</w:t>
      </w:r>
    </w:p>
    <w:p w14:paraId="147B791F">
      <w:pPr>
        <w:spacing w:line="578" w:lineRule="exact"/>
        <w:ind w:firstLine="640" w:firstLineChars="200"/>
        <w:rPr>
          <w:rFonts w:ascii="Times New Roman" w:hAnsi="Times New Roman" w:cs="Times New Roman"/>
          <w:b w:val="0"/>
          <w:bCs w:val="0"/>
          <w:szCs w:val="32"/>
        </w:rPr>
      </w:pPr>
      <w:r>
        <w:rPr>
          <w:rFonts w:ascii="Times New Roman" w:hAnsi="Times New Roman" w:cs="Times New Roman"/>
          <w:b w:val="0"/>
          <w:bCs w:val="0"/>
          <w:szCs w:val="32"/>
        </w:rPr>
        <w:t>办公室成立项目评价小组，明确自评项目自评总分为100分，根据设定的评价指标和评分标准，对项目各方面进行评分。按规定足额缴纳入驻政务中心单位租金、物业费及水电费，保障单位正常运转。</w:t>
      </w:r>
    </w:p>
    <w:p w14:paraId="3B3B885D">
      <w:pPr>
        <w:spacing w:line="578" w:lineRule="exact"/>
        <w:ind w:firstLine="640" w:firstLineChars="200"/>
        <w:rPr>
          <w:rFonts w:ascii="Times New Roman" w:hAnsi="Times New Roman" w:cs="Times New Roman"/>
          <w:b w:val="0"/>
          <w:bCs w:val="0"/>
          <w:szCs w:val="32"/>
        </w:rPr>
      </w:pPr>
      <w:r>
        <w:rPr>
          <w:rFonts w:ascii="Times New Roman" w:hAnsi="Times New Roman" w:eastAsia="黑体" w:cs="Times New Roman"/>
          <w:b w:val="0"/>
          <w:bCs w:val="0"/>
          <w:szCs w:val="32"/>
        </w:rPr>
        <w:t>二、项目资金申报及使用情况</w:t>
      </w:r>
    </w:p>
    <w:p w14:paraId="0ACDBCEA">
      <w:pPr>
        <w:spacing w:line="578" w:lineRule="exact"/>
        <w:ind w:firstLine="640" w:firstLineChars="200"/>
        <w:rPr>
          <w:rFonts w:ascii="Times New Roman" w:hAnsi="Times New Roman" w:eastAsia="楷体_GB2312" w:cs="Times New Roman"/>
          <w:b w:val="0"/>
          <w:bCs w:val="0"/>
          <w:szCs w:val="32"/>
        </w:rPr>
      </w:pPr>
      <w:r>
        <w:rPr>
          <w:rFonts w:ascii="Times New Roman" w:hAnsi="Times New Roman" w:eastAsia="楷体" w:cs="Times New Roman"/>
          <w:b w:val="0"/>
          <w:bCs w:val="0"/>
          <w:szCs w:val="32"/>
        </w:rPr>
        <w:t>（一）项目资金申报及批复情况。</w:t>
      </w:r>
    </w:p>
    <w:p w14:paraId="43CF13D0">
      <w:pPr>
        <w:spacing w:line="578" w:lineRule="exact"/>
        <w:ind w:firstLine="640" w:firstLineChars="200"/>
        <w:rPr>
          <w:rFonts w:ascii="Times New Roman" w:hAnsi="Times New Roman" w:cs="Times New Roman"/>
          <w:b w:val="0"/>
          <w:bCs w:val="0"/>
          <w:szCs w:val="32"/>
        </w:rPr>
      </w:pPr>
      <w:r>
        <w:rPr>
          <w:rFonts w:ascii="Times New Roman" w:hAnsi="Times New Roman" w:cs="Times New Roman"/>
          <w:b w:val="0"/>
          <w:bCs w:val="0"/>
          <w:szCs w:val="32"/>
        </w:rPr>
        <w:t>“入驻政务中心单位租金、物业费及水电费”项目资金在</w:t>
      </w:r>
      <w:r>
        <w:rPr>
          <w:rFonts w:hint="eastAsia" w:ascii="Times New Roman" w:hAnsi="Times New Roman" w:cs="Times New Roman"/>
          <w:b w:val="0"/>
          <w:bCs w:val="0"/>
          <w:szCs w:val="32"/>
          <w:lang w:eastAsia="zh-CN"/>
        </w:rPr>
        <w:t>市医保事务中心</w:t>
      </w:r>
      <w:r>
        <w:rPr>
          <w:rFonts w:ascii="Times New Roman" w:hAnsi="Times New Roman" w:cs="Times New Roman"/>
          <w:b w:val="0"/>
          <w:bCs w:val="0"/>
          <w:szCs w:val="32"/>
        </w:rPr>
        <w:t>202</w:t>
      </w:r>
      <w:r>
        <w:rPr>
          <w:rFonts w:hint="default" w:ascii="Times New Roman" w:hAnsi="Times New Roman" w:cs="Times New Roman"/>
          <w:b w:val="0"/>
          <w:bCs w:val="0"/>
          <w:szCs w:val="32"/>
          <w:lang w:val="en-US" w:eastAsia="zh-CN"/>
        </w:rPr>
        <w:t>5</w:t>
      </w:r>
      <w:r>
        <w:rPr>
          <w:rFonts w:ascii="Times New Roman" w:hAnsi="Times New Roman" w:cs="Times New Roman"/>
          <w:b w:val="0"/>
          <w:bCs w:val="0"/>
          <w:szCs w:val="32"/>
        </w:rPr>
        <w:t>年年初预算中申报，由市财政批复，共75.</w:t>
      </w:r>
      <w:r>
        <w:rPr>
          <w:rFonts w:hint="default" w:ascii="Times New Roman" w:hAnsi="Times New Roman" w:cs="Times New Roman"/>
          <w:b w:val="0"/>
          <w:bCs w:val="0"/>
          <w:szCs w:val="32"/>
          <w:lang w:val="en-US" w:eastAsia="zh-CN"/>
        </w:rPr>
        <w:t>52</w:t>
      </w:r>
      <w:r>
        <w:rPr>
          <w:rFonts w:ascii="Times New Roman" w:hAnsi="Times New Roman" w:cs="Times New Roman"/>
          <w:b w:val="0"/>
          <w:bCs w:val="0"/>
          <w:szCs w:val="32"/>
        </w:rPr>
        <w:t>万元，此项目符合资金管理办法等相关规定。</w:t>
      </w:r>
    </w:p>
    <w:p w14:paraId="170088FC">
      <w:pPr>
        <w:spacing w:line="578" w:lineRule="exact"/>
        <w:ind w:firstLine="640" w:firstLineChars="200"/>
        <w:rPr>
          <w:rFonts w:ascii="Times New Roman" w:hAnsi="Times New Roman" w:eastAsia="楷体_GB2312" w:cs="Times New Roman"/>
          <w:b w:val="0"/>
          <w:bCs w:val="0"/>
          <w:vanish/>
          <w:szCs w:val="32"/>
        </w:rPr>
      </w:pPr>
      <w:r>
        <w:rPr>
          <w:rFonts w:ascii="Times New Roman" w:hAnsi="Times New Roman" w:eastAsia="楷体_GB2312" w:cs="Times New Roman"/>
          <w:b w:val="0"/>
          <w:bCs w:val="0"/>
          <w:vanish/>
          <w:szCs w:val="32"/>
        </w:rPr>
        <w:t>（二）资金计划、到位及使用情况。</w:t>
      </w:r>
    </w:p>
    <w:p w14:paraId="5651F402">
      <w:pPr>
        <w:spacing w:line="578" w:lineRule="exact"/>
        <w:ind w:firstLine="640" w:firstLineChars="200"/>
        <w:rPr>
          <w:rFonts w:ascii="Times New Roman" w:hAnsi="Times New Roman" w:cs="Times New Roman"/>
          <w:b w:val="0"/>
          <w:bCs w:val="0"/>
          <w:szCs w:val="32"/>
        </w:rPr>
      </w:pPr>
      <w:r>
        <w:rPr>
          <w:rFonts w:ascii="Times New Roman" w:hAnsi="Times New Roman" w:cs="Times New Roman"/>
          <w:b w:val="0"/>
          <w:bCs w:val="0"/>
          <w:szCs w:val="32"/>
        </w:rPr>
        <w:t>1、资金计划及到位。</w:t>
      </w:r>
    </w:p>
    <w:p w14:paraId="3D078772">
      <w:pPr>
        <w:spacing w:line="578" w:lineRule="exact"/>
        <w:ind w:firstLine="640" w:firstLineChars="200"/>
        <w:rPr>
          <w:rFonts w:ascii="Times New Roman" w:hAnsi="Times New Roman" w:cs="Times New Roman"/>
          <w:b w:val="0"/>
          <w:bCs w:val="0"/>
          <w:szCs w:val="32"/>
        </w:rPr>
      </w:pPr>
      <w:r>
        <w:rPr>
          <w:rFonts w:ascii="Times New Roman" w:hAnsi="Times New Roman" w:cs="Times New Roman"/>
          <w:b w:val="0"/>
          <w:bCs w:val="0"/>
          <w:szCs w:val="32"/>
        </w:rPr>
        <w:t>此项目202</w:t>
      </w:r>
      <w:r>
        <w:rPr>
          <w:rFonts w:hint="default" w:ascii="Times New Roman" w:hAnsi="Times New Roman" w:cs="Times New Roman"/>
          <w:b w:val="0"/>
          <w:bCs w:val="0"/>
          <w:szCs w:val="32"/>
          <w:lang w:val="en-US" w:eastAsia="zh-CN"/>
        </w:rPr>
        <w:t>5</w:t>
      </w:r>
      <w:r>
        <w:rPr>
          <w:rFonts w:ascii="Times New Roman" w:hAnsi="Times New Roman" w:cs="Times New Roman"/>
          <w:b w:val="0"/>
          <w:bCs w:val="0"/>
          <w:szCs w:val="32"/>
        </w:rPr>
        <w:t>年预算资金75.</w:t>
      </w:r>
      <w:r>
        <w:rPr>
          <w:rFonts w:hint="default" w:ascii="Times New Roman" w:hAnsi="Times New Roman" w:cs="Times New Roman"/>
          <w:b w:val="0"/>
          <w:bCs w:val="0"/>
          <w:szCs w:val="32"/>
          <w:lang w:val="en-US" w:eastAsia="zh-CN"/>
        </w:rPr>
        <w:t>52</w:t>
      </w:r>
      <w:r>
        <w:rPr>
          <w:rFonts w:ascii="Times New Roman" w:hAnsi="Times New Roman" w:cs="Times New Roman"/>
          <w:b w:val="0"/>
          <w:bCs w:val="0"/>
          <w:szCs w:val="32"/>
        </w:rPr>
        <w:t>万元，实际下达75.</w:t>
      </w:r>
      <w:r>
        <w:rPr>
          <w:rFonts w:hint="default" w:ascii="Times New Roman" w:hAnsi="Times New Roman" w:cs="Times New Roman"/>
          <w:b w:val="0"/>
          <w:bCs w:val="0"/>
          <w:szCs w:val="32"/>
          <w:lang w:val="en-US" w:eastAsia="zh-CN"/>
        </w:rPr>
        <w:t>52</w:t>
      </w:r>
      <w:r>
        <w:rPr>
          <w:rFonts w:ascii="Times New Roman" w:hAnsi="Times New Roman" w:cs="Times New Roman"/>
          <w:b w:val="0"/>
          <w:bCs w:val="0"/>
          <w:szCs w:val="32"/>
        </w:rPr>
        <w:t>万元，资金到位率100%。</w:t>
      </w:r>
    </w:p>
    <w:p w14:paraId="790E551B">
      <w:pPr>
        <w:spacing w:line="578" w:lineRule="exact"/>
        <w:ind w:firstLine="640" w:firstLineChars="200"/>
        <w:rPr>
          <w:rFonts w:ascii="Times New Roman" w:hAnsi="Times New Roman" w:cs="Times New Roman"/>
          <w:b w:val="0"/>
          <w:bCs w:val="0"/>
          <w:szCs w:val="32"/>
        </w:rPr>
      </w:pPr>
      <w:r>
        <w:rPr>
          <w:rFonts w:ascii="Times New Roman" w:hAnsi="Times New Roman" w:cs="Times New Roman"/>
          <w:b w:val="0"/>
          <w:bCs w:val="0"/>
          <w:szCs w:val="32"/>
        </w:rPr>
        <w:t>2、资金使用。</w:t>
      </w:r>
    </w:p>
    <w:p w14:paraId="451CB89B">
      <w:pPr>
        <w:spacing w:line="578" w:lineRule="exact"/>
        <w:ind w:firstLine="640" w:firstLineChars="200"/>
        <w:rPr>
          <w:rFonts w:ascii="Times New Roman" w:hAnsi="Times New Roman" w:cs="Times New Roman"/>
          <w:b w:val="0"/>
          <w:bCs w:val="0"/>
          <w:szCs w:val="32"/>
        </w:rPr>
      </w:pPr>
      <w:r>
        <w:rPr>
          <w:rFonts w:ascii="Times New Roman" w:hAnsi="Times New Roman" w:cs="Times New Roman"/>
          <w:b w:val="0"/>
          <w:bCs w:val="0"/>
          <w:szCs w:val="32"/>
        </w:rPr>
        <w:t>此项目资金主要用于支付入驻政务中心单位租金、物业费及水电费。此项目资金到位后，</w:t>
      </w:r>
      <w:r>
        <w:rPr>
          <w:rFonts w:hint="eastAsia" w:ascii="Times New Roman" w:hAnsi="Times New Roman" w:cs="Times New Roman"/>
          <w:b w:val="0"/>
          <w:bCs w:val="0"/>
          <w:szCs w:val="32"/>
          <w:lang w:eastAsia="zh-CN"/>
        </w:rPr>
        <w:t>市医保事务中心</w:t>
      </w:r>
      <w:r>
        <w:rPr>
          <w:rFonts w:ascii="Times New Roman" w:hAnsi="Times New Roman" w:cs="Times New Roman"/>
          <w:b w:val="0"/>
          <w:bCs w:val="0"/>
          <w:szCs w:val="32"/>
        </w:rPr>
        <w:t>严格按财经纪律、财务管理等相关规定，严格审核各项支出，及时支付，专款专用，资金支付完成100%。</w:t>
      </w:r>
    </w:p>
    <w:p w14:paraId="0BE4C07B">
      <w:pPr>
        <w:spacing w:line="578" w:lineRule="exact"/>
        <w:ind w:firstLine="640" w:firstLineChars="200"/>
        <w:rPr>
          <w:rFonts w:ascii="Times New Roman" w:hAnsi="Times New Roman" w:eastAsia="黑体" w:cs="Times New Roman"/>
          <w:b w:val="0"/>
          <w:bCs w:val="0"/>
          <w:szCs w:val="32"/>
        </w:rPr>
      </w:pPr>
      <w:r>
        <w:rPr>
          <w:rFonts w:ascii="Times New Roman" w:hAnsi="Times New Roman" w:eastAsia="黑体" w:cs="Times New Roman"/>
          <w:b w:val="0"/>
          <w:bCs w:val="0"/>
          <w:szCs w:val="32"/>
        </w:rPr>
        <w:t>三、项目实施及管理情况</w:t>
      </w:r>
    </w:p>
    <w:p w14:paraId="228F20A1">
      <w:pPr>
        <w:spacing w:line="578" w:lineRule="exact"/>
        <w:ind w:firstLine="640" w:firstLineChars="200"/>
        <w:rPr>
          <w:rFonts w:ascii="Times New Roman" w:hAnsi="Times New Roman" w:eastAsia="楷体_GB2312" w:cs="Times New Roman"/>
          <w:b w:val="0"/>
          <w:bCs w:val="0"/>
          <w:vanish/>
          <w:szCs w:val="32"/>
        </w:rPr>
      </w:pPr>
      <w:r>
        <w:rPr>
          <w:rFonts w:ascii="Times New Roman" w:hAnsi="Times New Roman" w:eastAsia="楷体_GB2312" w:cs="Times New Roman"/>
          <w:b w:val="0"/>
          <w:bCs w:val="0"/>
          <w:vanish/>
          <w:szCs w:val="32"/>
        </w:rPr>
        <w:t>（一）项目组织架构及实施流程。</w:t>
      </w:r>
    </w:p>
    <w:p w14:paraId="7EB02097">
      <w:pPr>
        <w:spacing w:line="578" w:lineRule="exact"/>
        <w:ind w:firstLine="640" w:firstLineChars="200"/>
        <w:rPr>
          <w:rFonts w:ascii="Times New Roman" w:hAnsi="Times New Roman" w:cs="Times New Roman"/>
          <w:b w:val="0"/>
          <w:bCs w:val="0"/>
          <w:szCs w:val="32"/>
        </w:rPr>
      </w:pPr>
      <w:r>
        <w:rPr>
          <w:rFonts w:hint="eastAsia" w:ascii="Times New Roman" w:hAnsi="Times New Roman" w:cs="Times New Roman"/>
          <w:b w:val="0"/>
          <w:bCs w:val="0"/>
          <w:szCs w:val="32"/>
          <w:lang w:eastAsia="zh-CN"/>
        </w:rPr>
        <w:t>市医保事务中心</w:t>
      </w:r>
      <w:r>
        <w:rPr>
          <w:rFonts w:ascii="Times New Roman" w:hAnsi="Times New Roman" w:cs="Times New Roman"/>
          <w:b w:val="0"/>
          <w:bCs w:val="0"/>
          <w:szCs w:val="32"/>
        </w:rPr>
        <w:t>在部门预算中申报项目资金，并制定绩效目标；办公室成立项目评价小组对项目资金执行情况进行绩效评价。</w:t>
      </w:r>
    </w:p>
    <w:p w14:paraId="4BF78729">
      <w:pPr>
        <w:spacing w:line="578" w:lineRule="exact"/>
        <w:ind w:firstLine="640" w:firstLineChars="200"/>
        <w:rPr>
          <w:rFonts w:ascii="Times New Roman" w:hAnsi="Times New Roman" w:eastAsia="楷体_GB2312" w:cs="Times New Roman"/>
          <w:b w:val="0"/>
          <w:bCs w:val="0"/>
          <w:szCs w:val="32"/>
        </w:rPr>
      </w:pPr>
      <w:r>
        <w:rPr>
          <w:rFonts w:ascii="Times New Roman" w:hAnsi="Times New Roman" w:eastAsia="楷体_GB2312" w:cs="Times New Roman"/>
          <w:b w:val="0"/>
          <w:bCs w:val="0"/>
          <w:szCs w:val="32"/>
        </w:rPr>
        <w:t>（二）项目管理情况。</w:t>
      </w:r>
    </w:p>
    <w:p w14:paraId="7F1D9F16">
      <w:pPr>
        <w:spacing w:line="578" w:lineRule="exact"/>
        <w:ind w:firstLine="640" w:firstLineChars="200"/>
        <w:rPr>
          <w:rFonts w:ascii="Times New Roman" w:hAnsi="Times New Roman" w:cs="Times New Roman"/>
          <w:b w:val="0"/>
          <w:bCs w:val="0"/>
          <w:szCs w:val="32"/>
        </w:rPr>
      </w:pPr>
      <w:r>
        <w:rPr>
          <w:rFonts w:hint="eastAsia" w:ascii="Times New Roman" w:hAnsi="Times New Roman" w:cs="Times New Roman"/>
          <w:b w:val="0"/>
          <w:bCs w:val="0"/>
          <w:szCs w:val="32"/>
          <w:lang w:eastAsia="zh-CN"/>
        </w:rPr>
        <w:t>市医保事务中心</w:t>
      </w:r>
      <w:r>
        <w:rPr>
          <w:rFonts w:ascii="Times New Roman" w:hAnsi="Times New Roman" w:cs="Times New Roman"/>
          <w:b w:val="0"/>
          <w:bCs w:val="0"/>
          <w:szCs w:val="32"/>
        </w:rPr>
        <w:t>建立了财务管理制度，由办公室统一管理“入驻政务中心单位租金、物业费及水电费”项目资金，</w:t>
      </w:r>
    </w:p>
    <w:p w14:paraId="7AC5F055">
      <w:pPr>
        <w:spacing w:line="578" w:lineRule="exact"/>
        <w:ind w:firstLine="640" w:firstLineChars="200"/>
        <w:rPr>
          <w:rFonts w:ascii="Times New Roman" w:hAnsi="Times New Roman" w:cs="Times New Roman"/>
          <w:b w:val="0"/>
          <w:bCs w:val="0"/>
          <w:szCs w:val="32"/>
        </w:rPr>
      </w:pPr>
      <w:r>
        <w:rPr>
          <w:rFonts w:ascii="Times New Roman" w:hAnsi="Times New Roman" w:cs="Times New Roman"/>
          <w:b w:val="0"/>
          <w:bCs w:val="0"/>
          <w:szCs w:val="32"/>
        </w:rPr>
        <w:t>严格按照上级要求上报资金使用计划，并在实施过程中做到资金专款专用。</w:t>
      </w:r>
    </w:p>
    <w:p w14:paraId="084A5E08">
      <w:pPr>
        <w:spacing w:line="578" w:lineRule="exact"/>
        <w:ind w:firstLine="640" w:firstLineChars="200"/>
        <w:rPr>
          <w:rFonts w:ascii="Times New Roman" w:hAnsi="Times New Roman" w:cs="Times New Roman"/>
          <w:b w:val="0"/>
          <w:bCs w:val="0"/>
          <w:szCs w:val="32"/>
        </w:rPr>
      </w:pPr>
      <w:r>
        <w:rPr>
          <w:rFonts w:ascii="Times New Roman" w:hAnsi="Times New Roman" w:eastAsia="楷体_GB2312" w:cs="Times New Roman"/>
          <w:b w:val="0"/>
          <w:bCs w:val="0"/>
          <w:szCs w:val="32"/>
        </w:rPr>
        <w:t>（三）项目监管情况。</w:t>
      </w:r>
    </w:p>
    <w:p w14:paraId="1911A1BE">
      <w:pPr>
        <w:spacing w:line="578" w:lineRule="exact"/>
        <w:ind w:firstLine="640" w:firstLineChars="200"/>
        <w:rPr>
          <w:rFonts w:ascii="Times New Roman" w:hAnsi="Times New Roman" w:cs="Times New Roman"/>
          <w:b w:val="0"/>
          <w:bCs w:val="0"/>
          <w:szCs w:val="32"/>
        </w:rPr>
      </w:pPr>
      <w:r>
        <w:rPr>
          <w:rFonts w:ascii="Times New Roman" w:hAnsi="Times New Roman" w:cs="Times New Roman"/>
          <w:b w:val="0"/>
          <w:bCs w:val="0"/>
          <w:szCs w:val="32"/>
        </w:rPr>
        <w:t>“入驻政务中心单位租金、物业费及水电费”项目所有支出严格按照财务会计管理规定，做到资金使用有计划、审批有手续、支出合理规范。并及时进行账务处理和会计核算，按财政要求及时编制和公开项目资金绩效目标。</w:t>
      </w:r>
    </w:p>
    <w:p w14:paraId="6BEB0346">
      <w:pPr>
        <w:spacing w:line="578" w:lineRule="exact"/>
        <w:ind w:firstLine="640" w:firstLineChars="200"/>
        <w:rPr>
          <w:rFonts w:ascii="Times New Roman" w:hAnsi="Times New Roman" w:eastAsia="黑体" w:cs="Times New Roman"/>
          <w:b w:val="0"/>
          <w:bCs w:val="0"/>
          <w:szCs w:val="32"/>
        </w:rPr>
      </w:pPr>
      <w:r>
        <w:rPr>
          <w:rFonts w:ascii="Times New Roman" w:hAnsi="Times New Roman" w:eastAsia="黑体" w:cs="Times New Roman"/>
          <w:b w:val="0"/>
          <w:bCs w:val="0"/>
          <w:szCs w:val="32"/>
        </w:rPr>
        <w:t>四、项目绩效情况</w:t>
      </w:r>
    </w:p>
    <w:p w14:paraId="3D8AA1EA">
      <w:pPr>
        <w:spacing w:line="578" w:lineRule="exact"/>
        <w:ind w:firstLine="640" w:firstLineChars="200"/>
        <w:rPr>
          <w:rFonts w:ascii="Times New Roman" w:hAnsi="Times New Roman" w:eastAsia="楷体_GB2312" w:cs="Times New Roman"/>
          <w:b w:val="0"/>
          <w:bCs w:val="0"/>
          <w:szCs w:val="32"/>
        </w:rPr>
      </w:pPr>
      <w:r>
        <w:rPr>
          <w:rFonts w:ascii="Times New Roman" w:hAnsi="Times New Roman" w:eastAsia="楷体_GB2312" w:cs="Times New Roman"/>
          <w:b w:val="0"/>
          <w:bCs w:val="0"/>
          <w:szCs w:val="32"/>
        </w:rPr>
        <w:t>（一）项目完成情况。</w:t>
      </w:r>
    </w:p>
    <w:p w14:paraId="395049F9">
      <w:pPr>
        <w:spacing w:line="578" w:lineRule="exact"/>
        <w:ind w:firstLine="640" w:firstLineChars="200"/>
        <w:rPr>
          <w:rFonts w:ascii="Times New Roman" w:hAnsi="Times New Roman" w:cs="Times New Roman"/>
          <w:b w:val="0"/>
          <w:bCs w:val="0"/>
          <w:szCs w:val="32"/>
        </w:rPr>
      </w:pPr>
      <w:r>
        <w:rPr>
          <w:rFonts w:ascii="Times New Roman" w:hAnsi="Times New Roman" w:cs="Times New Roman"/>
          <w:b w:val="0"/>
          <w:bCs w:val="0"/>
          <w:szCs w:val="32"/>
        </w:rPr>
        <w:t>“入驻政务中心单位租金、物业费及水电费”项目在当期完成了全部缴纳，执行率100%。保障了</w:t>
      </w:r>
      <w:r>
        <w:rPr>
          <w:rFonts w:hint="eastAsia" w:ascii="Times New Roman" w:hAnsi="Times New Roman" w:cs="Times New Roman"/>
          <w:b w:val="0"/>
          <w:bCs w:val="0"/>
          <w:szCs w:val="32"/>
          <w:lang w:eastAsia="zh-CN"/>
        </w:rPr>
        <w:t>市医保事务中心</w:t>
      </w:r>
      <w:r>
        <w:rPr>
          <w:rFonts w:ascii="Times New Roman" w:hAnsi="Times New Roman" w:cs="Times New Roman"/>
          <w:b w:val="0"/>
          <w:bCs w:val="0"/>
          <w:szCs w:val="32"/>
        </w:rPr>
        <w:t>工作正常开展。</w:t>
      </w:r>
    </w:p>
    <w:p w14:paraId="6F656E7D">
      <w:pPr>
        <w:spacing w:line="578" w:lineRule="exact"/>
        <w:ind w:firstLine="640" w:firstLineChars="200"/>
        <w:rPr>
          <w:rFonts w:ascii="Times New Roman" w:hAnsi="Times New Roman" w:cs="Times New Roman"/>
          <w:b w:val="0"/>
          <w:bCs w:val="0"/>
          <w:szCs w:val="32"/>
        </w:rPr>
      </w:pPr>
      <w:r>
        <w:rPr>
          <w:rFonts w:ascii="Times New Roman" w:hAnsi="Times New Roman" w:cs="Times New Roman"/>
          <w:b w:val="0"/>
          <w:bCs w:val="0"/>
          <w:szCs w:val="32"/>
        </w:rPr>
        <w:t>1、数量指标：完成支付入驻政务中心单位租金、物业费及水电费，完成值为75.</w:t>
      </w:r>
      <w:r>
        <w:rPr>
          <w:rFonts w:hint="default" w:ascii="Times New Roman" w:hAnsi="Times New Roman" w:cs="Times New Roman"/>
          <w:b w:val="0"/>
          <w:bCs w:val="0"/>
          <w:szCs w:val="32"/>
          <w:lang w:val="en-US" w:eastAsia="zh-CN"/>
        </w:rPr>
        <w:t>52</w:t>
      </w:r>
      <w:r>
        <w:rPr>
          <w:rFonts w:ascii="Times New Roman" w:hAnsi="Times New Roman" w:cs="Times New Roman"/>
          <w:b w:val="0"/>
          <w:bCs w:val="0"/>
          <w:szCs w:val="32"/>
        </w:rPr>
        <w:t>万元/年。</w:t>
      </w:r>
    </w:p>
    <w:p w14:paraId="39228307">
      <w:pPr>
        <w:spacing w:line="578" w:lineRule="exact"/>
        <w:ind w:firstLine="640" w:firstLineChars="200"/>
        <w:rPr>
          <w:rFonts w:ascii="Times New Roman" w:hAnsi="Times New Roman" w:cs="Times New Roman"/>
          <w:b w:val="0"/>
          <w:bCs w:val="0"/>
          <w:szCs w:val="32"/>
        </w:rPr>
      </w:pPr>
      <w:r>
        <w:rPr>
          <w:rFonts w:ascii="Times New Roman" w:hAnsi="Times New Roman" w:cs="Times New Roman"/>
          <w:b w:val="0"/>
          <w:bCs w:val="0"/>
          <w:szCs w:val="32"/>
        </w:rPr>
        <w:t>2、质量指标：全额缴纳入驻政务中心单位租金、物业费及水电费，保障单位正常运转。</w:t>
      </w:r>
    </w:p>
    <w:p w14:paraId="4616F96C">
      <w:pPr>
        <w:spacing w:line="578" w:lineRule="exact"/>
        <w:ind w:firstLine="640" w:firstLineChars="200"/>
        <w:rPr>
          <w:rFonts w:ascii="Times New Roman" w:hAnsi="Times New Roman" w:cs="Times New Roman"/>
          <w:b w:val="0"/>
          <w:bCs w:val="0"/>
          <w:szCs w:val="32"/>
        </w:rPr>
      </w:pPr>
      <w:r>
        <w:rPr>
          <w:rFonts w:ascii="Times New Roman" w:hAnsi="Times New Roman" w:cs="Times New Roman"/>
          <w:b w:val="0"/>
          <w:bCs w:val="0"/>
          <w:szCs w:val="32"/>
        </w:rPr>
        <w:t>3、时效指标：202</w:t>
      </w:r>
      <w:r>
        <w:rPr>
          <w:rFonts w:hint="default" w:ascii="Times New Roman" w:hAnsi="Times New Roman" w:cs="Times New Roman"/>
          <w:b w:val="0"/>
          <w:bCs w:val="0"/>
          <w:szCs w:val="32"/>
          <w:lang w:val="en-US" w:eastAsia="zh-CN"/>
        </w:rPr>
        <w:t>5</w:t>
      </w:r>
      <w:r>
        <w:rPr>
          <w:rFonts w:ascii="Times New Roman" w:hAnsi="Times New Roman" w:cs="Times New Roman"/>
          <w:b w:val="0"/>
          <w:bCs w:val="0"/>
          <w:szCs w:val="32"/>
        </w:rPr>
        <w:t>年1-12月在规定时间内使用资金。</w:t>
      </w:r>
    </w:p>
    <w:p w14:paraId="672C27FB">
      <w:pPr>
        <w:spacing w:line="578" w:lineRule="exact"/>
        <w:ind w:firstLine="640" w:firstLineChars="200"/>
        <w:rPr>
          <w:rFonts w:ascii="Times New Roman" w:hAnsi="Times New Roman" w:cs="Times New Roman"/>
          <w:b w:val="0"/>
          <w:bCs w:val="0"/>
          <w:szCs w:val="32"/>
        </w:rPr>
      </w:pPr>
      <w:r>
        <w:rPr>
          <w:rFonts w:ascii="Times New Roman" w:hAnsi="Times New Roman" w:cs="Times New Roman"/>
          <w:b w:val="0"/>
          <w:bCs w:val="0"/>
          <w:szCs w:val="32"/>
        </w:rPr>
        <w:t>4、社会效益指标：保障单位正常运转，完成值为“良好”。</w:t>
      </w:r>
    </w:p>
    <w:p w14:paraId="29BE9AE5">
      <w:pPr>
        <w:spacing w:line="578" w:lineRule="exact"/>
        <w:ind w:firstLine="640" w:firstLineChars="200"/>
        <w:rPr>
          <w:rFonts w:ascii="Times New Roman" w:hAnsi="Times New Roman" w:cs="Times New Roman"/>
          <w:b w:val="0"/>
          <w:bCs w:val="0"/>
          <w:szCs w:val="32"/>
        </w:rPr>
      </w:pPr>
      <w:r>
        <w:rPr>
          <w:rFonts w:ascii="Times New Roman" w:hAnsi="Times New Roman" w:cs="Times New Roman"/>
          <w:b w:val="0"/>
          <w:bCs w:val="0"/>
          <w:szCs w:val="32"/>
        </w:rPr>
        <w:t>5、服务对象满意度指标：政务中心入驻人员满意度完成值为“满意”。</w:t>
      </w:r>
    </w:p>
    <w:p w14:paraId="41AABC54">
      <w:pPr>
        <w:spacing w:line="578" w:lineRule="exact"/>
        <w:ind w:firstLine="640" w:firstLineChars="200"/>
        <w:rPr>
          <w:rFonts w:ascii="Times New Roman" w:hAnsi="Times New Roman" w:cs="Times New Roman"/>
          <w:b w:val="0"/>
          <w:bCs w:val="0"/>
          <w:szCs w:val="32"/>
        </w:rPr>
      </w:pPr>
      <w:r>
        <w:rPr>
          <w:rFonts w:ascii="Times New Roman" w:hAnsi="Times New Roman" w:cs="Times New Roman"/>
          <w:b w:val="0"/>
          <w:bCs w:val="0"/>
          <w:szCs w:val="32"/>
        </w:rPr>
        <w:t>6、经济成本指标：完成入驻政务中心单位租金、物业费及水电费75.</w:t>
      </w:r>
      <w:r>
        <w:rPr>
          <w:rFonts w:hint="default" w:ascii="Times New Roman" w:hAnsi="Times New Roman" w:cs="Times New Roman"/>
          <w:b w:val="0"/>
          <w:bCs w:val="0"/>
          <w:szCs w:val="32"/>
          <w:lang w:val="en-US" w:eastAsia="zh-CN"/>
        </w:rPr>
        <w:t>52</w:t>
      </w:r>
      <w:r>
        <w:rPr>
          <w:rFonts w:ascii="Times New Roman" w:hAnsi="Times New Roman" w:cs="Times New Roman"/>
          <w:b w:val="0"/>
          <w:bCs w:val="0"/>
          <w:szCs w:val="32"/>
        </w:rPr>
        <w:t>万元。</w:t>
      </w:r>
    </w:p>
    <w:p w14:paraId="518A433A">
      <w:pPr>
        <w:spacing w:line="578" w:lineRule="exact"/>
        <w:ind w:firstLine="640" w:firstLineChars="200"/>
        <w:rPr>
          <w:rFonts w:ascii="Times New Roman" w:hAnsi="Times New Roman" w:cs="Times New Roman"/>
          <w:b w:val="0"/>
          <w:bCs w:val="0"/>
          <w:szCs w:val="32"/>
        </w:rPr>
      </w:pPr>
      <w:r>
        <w:rPr>
          <w:rFonts w:ascii="Times New Roman" w:hAnsi="Times New Roman" w:eastAsia="楷体_GB2312" w:cs="Times New Roman"/>
          <w:b w:val="0"/>
          <w:bCs w:val="0"/>
          <w:szCs w:val="32"/>
        </w:rPr>
        <w:t>（二）项目效益情况。</w:t>
      </w:r>
    </w:p>
    <w:p w14:paraId="22B7EB8F">
      <w:pPr>
        <w:spacing w:line="578" w:lineRule="exact"/>
        <w:ind w:firstLine="640" w:firstLineChars="200"/>
        <w:rPr>
          <w:rFonts w:ascii="Times New Roman" w:hAnsi="Times New Roman" w:cs="Times New Roman"/>
          <w:b w:val="0"/>
          <w:bCs w:val="0"/>
          <w:szCs w:val="32"/>
        </w:rPr>
      </w:pPr>
      <w:r>
        <w:rPr>
          <w:rFonts w:ascii="Times New Roman" w:hAnsi="Times New Roman" w:cs="Times New Roman"/>
          <w:b w:val="0"/>
          <w:bCs w:val="0"/>
          <w:szCs w:val="32"/>
        </w:rPr>
        <w:t>“入驻政务中心单位租金、物业费及水电费”项目保证了市医保事务中心、日常办公正常运转。</w:t>
      </w:r>
    </w:p>
    <w:p w14:paraId="4D03C451">
      <w:pPr>
        <w:spacing w:line="578" w:lineRule="exact"/>
        <w:ind w:firstLine="640" w:firstLineChars="200"/>
        <w:rPr>
          <w:rFonts w:ascii="Times New Roman" w:hAnsi="Times New Roman" w:eastAsia="黑体" w:cs="Times New Roman"/>
          <w:b w:val="0"/>
          <w:bCs w:val="0"/>
          <w:szCs w:val="32"/>
        </w:rPr>
      </w:pPr>
      <w:r>
        <w:rPr>
          <w:rFonts w:ascii="Times New Roman" w:hAnsi="Times New Roman" w:eastAsia="黑体" w:cs="Times New Roman"/>
          <w:b w:val="0"/>
          <w:bCs w:val="0"/>
          <w:szCs w:val="32"/>
        </w:rPr>
        <w:t>五、评价结论及建议</w:t>
      </w:r>
    </w:p>
    <w:p w14:paraId="132C2779">
      <w:pPr>
        <w:spacing w:line="578" w:lineRule="exact"/>
        <w:ind w:firstLine="640" w:firstLineChars="200"/>
        <w:rPr>
          <w:rFonts w:ascii="Times New Roman" w:hAnsi="Times New Roman" w:eastAsia="楷体_GB2312" w:cs="Times New Roman"/>
          <w:b w:val="0"/>
          <w:bCs w:val="0"/>
          <w:szCs w:val="32"/>
        </w:rPr>
      </w:pPr>
      <w:r>
        <w:rPr>
          <w:rFonts w:ascii="Times New Roman" w:hAnsi="Times New Roman" w:eastAsia="楷体_GB2312" w:cs="Times New Roman"/>
          <w:b w:val="0"/>
          <w:bCs w:val="0"/>
          <w:szCs w:val="32"/>
        </w:rPr>
        <w:t>（一）评价结论</w:t>
      </w:r>
    </w:p>
    <w:p w14:paraId="36FDA55E">
      <w:pPr>
        <w:spacing w:line="578" w:lineRule="exact"/>
        <w:ind w:firstLine="640" w:firstLineChars="200"/>
        <w:rPr>
          <w:rFonts w:ascii="Times New Roman" w:hAnsi="Times New Roman" w:cs="Times New Roman"/>
          <w:b w:val="0"/>
          <w:bCs w:val="0"/>
          <w:szCs w:val="32"/>
        </w:rPr>
      </w:pPr>
      <w:r>
        <w:rPr>
          <w:rFonts w:ascii="Times New Roman" w:hAnsi="Times New Roman" w:cs="Times New Roman"/>
          <w:b w:val="0"/>
          <w:bCs w:val="0"/>
          <w:szCs w:val="32"/>
        </w:rPr>
        <w:t>“入驻政务中心单位租金、物业费及水电费项目”在预算执行时未超过预算标准、资金使用效率高、服务对象满意度完成值为满意，持续精细化管理预算，保障市医保事务中心高效工作、可持续运行。</w:t>
      </w:r>
    </w:p>
    <w:p w14:paraId="1ECE6189">
      <w:pPr>
        <w:spacing w:line="578" w:lineRule="exact"/>
        <w:ind w:firstLine="640" w:firstLineChars="200"/>
        <w:rPr>
          <w:rFonts w:ascii="Times New Roman" w:hAnsi="Times New Roman" w:eastAsia="楷体_GB2312" w:cs="Times New Roman"/>
          <w:b w:val="0"/>
          <w:bCs w:val="0"/>
          <w:szCs w:val="32"/>
        </w:rPr>
      </w:pPr>
      <w:r>
        <w:rPr>
          <w:rFonts w:ascii="Times New Roman" w:hAnsi="Times New Roman" w:eastAsia="楷体_GB2312" w:cs="Times New Roman"/>
          <w:b w:val="0"/>
          <w:bCs w:val="0"/>
          <w:szCs w:val="32"/>
        </w:rPr>
        <w:t>（二）存在的问题。</w:t>
      </w:r>
    </w:p>
    <w:p w14:paraId="389695FB">
      <w:pPr>
        <w:spacing w:line="578" w:lineRule="exact"/>
        <w:ind w:firstLine="640" w:firstLineChars="200"/>
        <w:rPr>
          <w:rFonts w:hint="default" w:ascii="Times New Roman" w:hAnsi="Times New Roman" w:eastAsia="仿宋_GB2312" w:cs="Times New Roman"/>
          <w:b w:val="0"/>
          <w:bCs w:val="0"/>
          <w:szCs w:val="32"/>
          <w:lang w:eastAsia="zh-CN"/>
        </w:rPr>
      </w:pPr>
      <w:r>
        <w:rPr>
          <w:rFonts w:ascii="Times New Roman" w:hAnsi="Times New Roman" w:cs="Times New Roman"/>
          <w:b w:val="0"/>
          <w:bCs w:val="0"/>
          <w:szCs w:val="32"/>
        </w:rPr>
        <w:t>无</w:t>
      </w:r>
      <w:r>
        <w:rPr>
          <w:rFonts w:hint="default" w:ascii="Times New Roman" w:hAnsi="Times New Roman" w:cs="Times New Roman"/>
          <w:b w:val="0"/>
          <w:bCs w:val="0"/>
          <w:szCs w:val="32"/>
          <w:lang w:eastAsia="zh-CN"/>
        </w:rPr>
        <w:t>。</w:t>
      </w:r>
    </w:p>
    <w:p w14:paraId="1B9B6A4B">
      <w:pPr>
        <w:spacing w:line="578" w:lineRule="exact"/>
        <w:ind w:firstLine="640" w:firstLineChars="200"/>
        <w:rPr>
          <w:rFonts w:ascii="Times New Roman" w:hAnsi="Times New Roman" w:eastAsia="楷体_GB2312" w:cs="Times New Roman"/>
          <w:b w:val="0"/>
          <w:bCs w:val="0"/>
          <w:szCs w:val="32"/>
        </w:rPr>
      </w:pPr>
      <w:r>
        <w:rPr>
          <w:rFonts w:ascii="Times New Roman" w:hAnsi="Times New Roman" w:eastAsia="楷体_GB2312" w:cs="Times New Roman"/>
          <w:b w:val="0"/>
          <w:bCs w:val="0"/>
          <w:szCs w:val="32"/>
        </w:rPr>
        <w:t>（三）相关建议。</w:t>
      </w:r>
    </w:p>
    <w:p w14:paraId="3B8CE635">
      <w:pPr>
        <w:spacing w:line="578" w:lineRule="exact"/>
        <w:ind w:firstLine="640" w:firstLineChars="200"/>
        <w:rPr>
          <w:rFonts w:hint="default" w:ascii="Times New Roman" w:hAnsi="Times New Roman" w:eastAsia="仿宋_GB2312" w:cs="Times New Roman"/>
          <w:b w:val="0"/>
          <w:bCs w:val="0"/>
          <w:szCs w:val="32"/>
          <w:lang w:eastAsia="zh-CN"/>
        </w:rPr>
      </w:pPr>
      <w:r>
        <w:rPr>
          <w:rFonts w:ascii="Times New Roman" w:hAnsi="Times New Roman" w:cs="Times New Roman"/>
          <w:b w:val="0"/>
          <w:bCs w:val="0"/>
          <w:szCs w:val="32"/>
        </w:rPr>
        <w:t>无</w:t>
      </w:r>
      <w:r>
        <w:rPr>
          <w:rFonts w:hint="default" w:ascii="Times New Roman" w:hAnsi="Times New Roman" w:cs="Times New Roman"/>
          <w:b w:val="0"/>
          <w:bCs w:val="0"/>
          <w:szCs w:val="32"/>
          <w:lang w:eastAsia="zh-CN"/>
        </w:rPr>
        <w:t>。</w:t>
      </w:r>
    </w:p>
    <w:p w14:paraId="2CB57302">
      <w:pPr>
        <w:ind w:firstLine="640" w:firstLineChars="200"/>
        <w:rPr>
          <w:rFonts w:ascii="Times New Roman" w:hAnsi="Times New Roman" w:cs="Times New Roman"/>
          <w:b w:val="0"/>
          <w:bCs w:val="0"/>
          <w:szCs w:val="32"/>
        </w:rPr>
      </w:pPr>
    </w:p>
    <w:p w14:paraId="2EA24DDB">
      <w:pPr>
        <w:widowControl w:val="0"/>
        <w:spacing w:line="560" w:lineRule="exact"/>
        <w:ind w:left="0" w:leftChars="0" w:firstLine="640" w:firstLineChars="200"/>
        <w:jc w:val="both"/>
        <w:rPr>
          <w:rFonts w:hint="default" w:ascii="Times New Roman" w:hAnsi="Times New Roman" w:eastAsia="仿宋_GB2312" w:cs="Times New Roman"/>
          <w:b w:val="0"/>
          <w:bCs w:val="0"/>
          <w:kern w:val="2"/>
          <w:sz w:val="32"/>
          <w:szCs w:val="32"/>
          <w:lang w:val="en-US" w:eastAsia="zh-CN" w:bidi="ar-SA"/>
        </w:rPr>
      </w:pPr>
    </w:p>
    <w:p w14:paraId="6D42330D">
      <w:pPr>
        <w:pStyle w:val="20"/>
        <w:ind w:firstLine="480" w:firstLineChars="200"/>
        <w:rPr>
          <w:rFonts w:ascii="Times New Roman" w:hAnsi="Times New Roman" w:cs="Times New Roman"/>
          <w:b w:val="0"/>
          <w:bCs w:val="0"/>
        </w:rPr>
      </w:pPr>
    </w:p>
    <w:sectPr>
      <w:headerReference r:id="rId3" w:type="default"/>
      <w:footerReference r:id="rId4" w:type="default"/>
      <w:pgSz w:w="11906" w:h="16838"/>
      <w:pgMar w:top="2098" w:right="1474" w:bottom="1984" w:left="1587" w:header="851" w:footer="992" w:gutter="0"/>
      <w:pgBorders>
        <w:top w:val="none" w:sz="0" w:space="0"/>
        <w:left w:val="none" w:sz="0" w:space="0"/>
        <w:bottom w:val="none" w:sz="0" w:space="0"/>
        <w:right w:val="none" w:sz="0" w:space="0"/>
      </w:pgBorders>
      <w:pgNumType w:fmt="numberInDash"/>
      <w:cols w:space="720" w:num="1"/>
      <w:docGrid w:type="lines" w:linePitch="43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Luxi Sans">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方正兰亭黑_GBK">
    <w:altName w:val="微软雅黑"/>
    <w:panose1 w:val="00000000000000000000"/>
    <w:charset w:val="86"/>
    <w:family w:val="script"/>
    <w:pitch w:val="default"/>
    <w:sig w:usb0="00000000" w:usb1="00000000" w:usb2="00080016" w:usb3="00000000" w:csb0="00040001" w:csb1="00000000"/>
  </w:font>
  <w:font w:name="微软雅黑">
    <w:panose1 w:val="020B0503020204020204"/>
    <w:charset w:val="86"/>
    <w:family w:val="auto"/>
    <w:pitch w:val="default"/>
    <w:sig w:usb0="80000287" w:usb1="280F3C52" w:usb2="00000016" w:usb3="00000000" w:csb0="0004001F" w:csb1="00000000"/>
  </w:font>
  <w:font w:name="仿宋">
    <w:panose1 w:val="02010609060101010101"/>
    <w:charset w:val="86"/>
    <w:family w:val="modern"/>
    <w:pitch w:val="default"/>
    <w:sig w:usb0="800002BF" w:usb1="38CF7CFA" w:usb2="00000016" w:usb3="00000000" w:csb0="00040001" w:csb1="00000000"/>
  </w:font>
  <w:font w:name="??">
    <w:altName w:val="Segoe Print"/>
    <w:panose1 w:val="00000000000000000000"/>
    <w:charset w:val="00"/>
    <w:family w:val="roman"/>
    <w:pitch w:val="default"/>
    <w:sig w:usb0="00000000" w:usb1="00000000" w:usb2="00000000" w:usb3="00000000" w:csb0="00000000" w:csb1="00000000"/>
  </w:font>
  <w:font w:name="Wingdings 2">
    <w:panose1 w:val="05020102010507070707"/>
    <w:charset w:val="02"/>
    <w:family w:val="roman"/>
    <w:pitch w:val="default"/>
    <w:sig w:usb0="00000000" w:usb1="00000000" w:usb2="00000000" w:usb3="00000000" w:csb0="80000000" w:csb1="00000000"/>
  </w:font>
  <w:font w:name="方正小标宋_GBK">
    <w:panose1 w:val="03000509000000000000"/>
    <w:charset w:val="86"/>
    <w:family w:val="auto"/>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6D61B7">
    <w:pPr>
      <w:pStyle w:val="12"/>
    </w:pPr>
    <w:r>
      <mc:AlternateContent>
        <mc:Choice Requires="wps">
          <w:drawing>
            <wp:anchor distT="0" distB="0" distL="113665" distR="113665" simplePos="0" relativeHeight="251659264" behindDoc="0" locked="0" layoutInCell="1" allowOverlap="1">
              <wp:simplePos x="0" y="0"/>
              <wp:positionH relativeFrom="margin">
                <wp:align>outside</wp:align>
              </wp:positionH>
              <wp:positionV relativeFrom="paragraph">
                <wp:posOffset>0</wp:posOffset>
              </wp:positionV>
              <wp:extent cx="713740" cy="505460"/>
              <wp:effectExtent l="0" t="0" r="0" b="0"/>
              <wp:wrapNone/>
              <wp:docPr id="1" name="文本框 2"/>
              <wp:cNvGraphicFramePr/>
              <a:graphic xmlns:a="http://schemas.openxmlformats.org/drawingml/2006/main">
                <a:graphicData uri="http://schemas.microsoft.com/office/word/2010/wordprocessingShape">
                  <wps:wsp>
                    <wps:cNvSpPr/>
                    <wps:spPr>
                      <a:xfrm>
                        <a:off x="0" y="0"/>
                        <a:ext cx="713587" cy="505309"/>
                      </a:xfrm>
                      <a:prstGeom prst="rect">
                        <a:avLst/>
                      </a:prstGeom>
                      <a:noFill/>
                      <a:ln w="6350" cap="flat" cmpd="sng">
                        <a:noFill/>
                        <a:prstDash val="solid"/>
                        <a:round/>
                      </a:ln>
                    </wps:spPr>
                    <wps:txbx>
                      <w:txbxContent>
                        <w:p w14:paraId="23278F82">
                          <w:pPr>
                            <w:pStyle w:val="12"/>
                            <w:ind w:right="451" w:rightChars="141"/>
                            <w:jc w:val="right"/>
                            <w:rPr>
                              <w:rFonts w:ascii="宋体"/>
                              <w:sz w:val="28"/>
                              <w:szCs w:val="28"/>
                            </w:rPr>
                          </w:pPr>
                          <w:r>
                            <w:rPr>
                              <w:rFonts w:ascii="宋体"/>
                              <w:sz w:val="28"/>
                              <w:szCs w:val="28"/>
                            </w:rPr>
                            <w:fldChar w:fldCharType="begin"/>
                          </w:r>
                          <w:r>
                            <w:rPr>
                              <w:rFonts w:ascii="宋体"/>
                              <w:sz w:val="28"/>
                              <w:szCs w:val="28"/>
                            </w:rPr>
                            <w:instrText xml:space="preserve">PAGE   \* MERGEFORMAT</w:instrText>
                          </w:r>
                          <w:r>
                            <w:rPr>
                              <w:rFonts w:ascii="宋体"/>
                              <w:sz w:val="28"/>
                              <w:szCs w:val="28"/>
                            </w:rPr>
                            <w:fldChar w:fldCharType="separate"/>
                          </w:r>
                          <w:r>
                            <w:rPr>
                              <w:rFonts w:ascii="宋体"/>
                              <w:sz w:val="28"/>
                              <w:szCs w:val="28"/>
                              <w:lang w:val="zh-CN"/>
                            </w:rPr>
                            <w:t>-</w:t>
                          </w:r>
                          <w:r>
                            <w:rPr>
                              <w:rFonts w:ascii="宋体"/>
                              <w:sz w:val="28"/>
                              <w:szCs w:val="28"/>
                            </w:rPr>
                            <w:t xml:space="preserve"> 4 -</w:t>
                          </w:r>
                          <w:r>
                            <w:rPr>
                              <w:rFonts w:ascii="宋体"/>
                              <w:sz w:val="28"/>
                              <w:szCs w:val="28"/>
                            </w:rPr>
                            <w:fldChar w:fldCharType="end"/>
                          </w:r>
                        </w:p>
                        <w:p w14:paraId="2552C0AC"/>
                      </w:txbxContent>
                    </wps:txbx>
                    <wps:bodyPr vert="horz" wrap="none" lIns="0" tIns="0" rIns="0" bIns="0" anchor="t" anchorCtr="0" upright="0">
                      <a:spAutoFit/>
                    </wps:bodyPr>
                  </wps:wsp>
                </a:graphicData>
              </a:graphic>
            </wp:anchor>
          </w:drawing>
        </mc:Choice>
        <mc:Fallback>
          <w:pict>
            <v:rect id="文本框 2" o:spid="_x0000_s1026" o:spt="1" style="position:absolute;left:0pt;margin-top:0pt;height:39.8pt;width:56.2pt;mso-position-horizontal:outside;mso-position-horizontal-relative:margin;mso-wrap-style:none;z-index:251659264;mso-width-relative:page;mso-height-relative:page;" filled="f" stroked="f" coordsize="21600,21600" o:gfxdata="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&#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Des9ANgAAAAEAQAADwAAAAAAAAABACAAAAAiAAAAZHJz&#10;L2Rvd25yZXYueG1sUEsBAhQAFAAAAAgAh07iQMwsf1QEAgAA9AMAAA4AAAAAAAAAAQAgAAAAJwEA&#10;AGRycy9lMm9Eb2MueG1sUEsFBgAAAAAGAAYAWQEAAJ0FAAAAAA==&#10;">
              <v:fill on="f" focussize="0,0"/>
              <v:stroke on="f" weight="0.5pt" joinstyle="round"/>
              <v:imagedata o:title=""/>
              <o:lock v:ext="edit" aspectratio="f"/>
              <v:textbox inset="0mm,0mm,0mm,0mm" style="mso-fit-shape-to-text:t;">
                <w:txbxContent>
                  <w:p w14:paraId="23278F82">
                    <w:pPr>
                      <w:pStyle w:val="12"/>
                      <w:ind w:right="451" w:rightChars="141"/>
                      <w:jc w:val="right"/>
                      <w:rPr>
                        <w:rFonts w:ascii="宋体"/>
                        <w:sz w:val="28"/>
                        <w:szCs w:val="28"/>
                      </w:rPr>
                    </w:pPr>
                    <w:r>
                      <w:rPr>
                        <w:rFonts w:ascii="宋体"/>
                        <w:sz w:val="28"/>
                        <w:szCs w:val="28"/>
                      </w:rPr>
                      <w:fldChar w:fldCharType="begin"/>
                    </w:r>
                    <w:r>
                      <w:rPr>
                        <w:rFonts w:ascii="宋体"/>
                        <w:sz w:val="28"/>
                        <w:szCs w:val="28"/>
                      </w:rPr>
                      <w:instrText xml:space="preserve">PAGE   \* MERGEFORMAT</w:instrText>
                    </w:r>
                    <w:r>
                      <w:rPr>
                        <w:rFonts w:ascii="宋体"/>
                        <w:sz w:val="28"/>
                        <w:szCs w:val="28"/>
                      </w:rPr>
                      <w:fldChar w:fldCharType="separate"/>
                    </w:r>
                    <w:r>
                      <w:rPr>
                        <w:rFonts w:ascii="宋体"/>
                        <w:sz w:val="28"/>
                        <w:szCs w:val="28"/>
                        <w:lang w:val="zh-CN"/>
                      </w:rPr>
                      <w:t>-</w:t>
                    </w:r>
                    <w:r>
                      <w:rPr>
                        <w:rFonts w:ascii="宋体"/>
                        <w:sz w:val="28"/>
                        <w:szCs w:val="28"/>
                      </w:rPr>
                      <w:t xml:space="preserve"> 4 -</w:t>
                    </w:r>
                    <w:r>
                      <w:rPr>
                        <w:rFonts w:ascii="宋体"/>
                        <w:sz w:val="28"/>
                        <w:szCs w:val="28"/>
                      </w:rPr>
                      <w:fldChar w:fldCharType="end"/>
                    </w:r>
                  </w:p>
                  <w:p w14:paraId="2552C0AC"/>
                </w:txbxContent>
              </v:textbox>
            </v:rect>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C031B9">
    <w:pPr>
      <w:pStyle w:val="13"/>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FD96EFA"/>
    <w:multiLevelType w:val="singleLevel"/>
    <w:tmpl w:val="8FD96EFA"/>
    <w:lvl w:ilvl="0" w:tentative="0">
      <w:start w:val="2"/>
      <w:numFmt w:val="chineseCounting"/>
      <w:suff w:val="nothing"/>
      <w:lvlText w:val="（%1）"/>
      <w:lvlJc w:val="left"/>
      <w:rPr>
        <w:rFonts w:hint="eastAsia"/>
      </w:rPr>
    </w:lvl>
  </w:abstractNum>
  <w:abstractNum w:abstractNumId="1">
    <w:nsid w:val="9D4BB9E7"/>
    <w:multiLevelType w:val="singleLevel"/>
    <w:tmpl w:val="9D4BB9E7"/>
    <w:lvl w:ilvl="0" w:tentative="0">
      <w:start w:val="2"/>
      <w:numFmt w:val="chineseCounting"/>
      <w:suff w:val="nothing"/>
      <w:lvlText w:val="（%1）"/>
      <w:lvlJc w:val="left"/>
      <w:rPr>
        <w:rFonts w:hint="eastAsia"/>
      </w:rPr>
    </w:lvl>
  </w:abstractNum>
  <w:abstractNum w:abstractNumId="2">
    <w:nsid w:val="0ADC4362"/>
    <w:multiLevelType w:val="singleLevel"/>
    <w:tmpl w:val="0ADC4362"/>
    <w:lvl w:ilvl="0" w:tentative="0">
      <w:start w:val="2"/>
      <w:numFmt w:val="chineseCounting"/>
      <w:suff w:val="nothing"/>
      <w:lvlText w:val="%1、"/>
      <w:lvlJc w:val="left"/>
      <w:rPr>
        <w:rFonts w:hint="eastAsia"/>
      </w:rPr>
    </w:lvl>
  </w:abstractNum>
  <w:abstractNum w:abstractNumId="3">
    <w:nsid w:val="33E78DB6"/>
    <w:multiLevelType w:val="singleLevel"/>
    <w:tmpl w:val="33E78DB6"/>
    <w:lvl w:ilvl="0" w:tentative="0">
      <w:start w:val="2"/>
      <w:numFmt w:val="decimal"/>
      <w:suff w:val="nothing"/>
      <w:lvlText w:val="%1．"/>
      <w:lvlJc w:val="left"/>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trackRevisions w:val="1"/>
  <w:documentProtection w:enforcement="0"/>
  <w:defaultTabStop w:val="420"/>
  <w:drawingGridHorizontalSpacing w:val="160"/>
  <w:drawingGridVerticalSpacing w:val="435"/>
  <w:displayHorizontalDrawingGridEvery w:val="1"/>
  <w:displayVerticalDrawingGridEvery w:val="1"/>
  <w:noPunctuationKerning w:val="1"/>
  <w:characterSpacingControl w:val="compressPunctuation"/>
  <w:compat>
    <w:spaceForUL/>
    <w:balanceSingleByteDoubleByteWidth/>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
  <w:rsids>
    <w:rsidRoot w:val="00000000"/>
    <w:rsid w:val="00593490"/>
    <w:rsid w:val="00FE5DE6"/>
    <w:rsid w:val="010B405F"/>
    <w:rsid w:val="01230CBA"/>
    <w:rsid w:val="01715C98"/>
    <w:rsid w:val="018A47AA"/>
    <w:rsid w:val="02025699"/>
    <w:rsid w:val="02F53218"/>
    <w:rsid w:val="031A6D2F"/>
    <w:rsid w:val="03394EB3"/>
    <w:rsid w:val="03594FB0"/>
    <w:rsid w:val="03CF5817"/>
    <w:rsid w:val="040A2CF3"/>
    <w:rsid w:val="060D2627"/>
    <w:rsid w:val="060E651E"/>
    <w:rsid w:val="07126F6F"/>
    <w:rsid w:val="073E6F3C"/>
    <w:rsid w:val="07516852"/>
    <w:rsid w:val="07E125D6"/>
    <w:rsid w:val="08386F6F"/>
    <w:rsid w:val="08947E20"/>
    <w:rsid w:val="08A74FB5"/>
    <w:rsid w:val="08D5567E"/>
    <w:rsid w:val="0A481E7F"/>
    <w:rsid w:val="0A6767AA"/>
    <w:rsid w:val="0B3E774A"/>
    <w:rsid w:val="0C2B3D1C"/>
    <w:rsid w:val="0C4A7B29"/>
    <w:rsid w:val="0C7749C5"/>
    <w:rsid w:val="0CB87EBC"/>
    <w:rsid w:val="0CCA69A3"/>
    <w:rsid w:val="0D3F4C57"/>
    <w:rsid w:val="0DBD7A28"/>
    <w:rsid w:val="0E1924B1"/>
    <w:rsid w:val="0E2B5569"/>
    <w:rsid w:val="0EE515CF"/>
    <w:rsid w:val="0F2E63AB"/>
    <w:rsid w:val="0FDC3796"/>
    <w:rsid w:val="102C3EE1"/>
    <w:rsid w:val="10E5667A"/>
    <w:rsid w:val="11577A02"/>
    <w:rsid w:val="115B4B8E"/>
    <w:rsid w:val="12284281"/>
    <w:rsid w:val="130A1E31"/>
    <w:rsid w:val="13DF1C2E"/>
    <w:rsid w:val="1400537A"/>
    <w:rsid w:val="147E306D"/>
    <w:rsid w:val="153A6A99"/>
    <w:rsid w:val="158838EA"/>
    <w:rsid w:val="15B74F15"/>
    <w:rsid w:val="164E1FE8"/>
    <w:rsid w:val="1670035F"/>
    <w:rsid w:val="16E45701"/>
    <w:rsid w:val="172D48D7"/>
    <w:rsid w:val="172E62EC"/>
    <w:rsid w:val="17C40CDE"/>
    <w:rsid w:val="18084A09"/>
    <w:rsid w:val="191E4EBC"/>
    <w:rsid w:val="19B168AB"/>
    <w:rsid w:val="1B58157D"/>
    <w:rsid w:val="1B8076CB"/>
    <w:rsid w:val="1C27223D"/>
    <w:rsid w:val="1C817B9F"/>
    <w:rsid w:val="1D267800"/>
    <w:rsid w:val="1DAA311C"/>
    <w:rsid w:val="1EE34E87"/>
    <w:rsid w:val="1F5F584A"/>
    <w:rsid w:val="1FD21510"/>
    <w:rsid w:val="20931C4F"/>
    <w:rsid w:val="20A138CB"/>
    <w:rsid w:val="20F548BD"/>
    <w:rsid w:val="214524A3"/>
    <w:rsid w:val="215F4227"/>
    <w:rsid w:val="237613B4"/>
    <w:rsid w:val="23FF0336"/>
    <w:rsid w:val="26235E5C"/>
    <w:rsid w:val="285E6FE6"/>
    <w:rsid w:val="297D524A"/>
    <w:rsid w:val="29835EF6"/>
    <w:rsid w:val="29A30A29"/>
    <w:rsid w:val="29C46CBE"/>
    <w:rsid w:val="2A314A71"/>
    <w:rsid w:val="2AFA6C8D"/>
    <w:rsid w:val="2B710BFC"/>
    <w:rsid w:val="2BBF0A23"/>
    <w:rsid w:val="2CA13945"/>
    <w:rsid w:val="2CF303F6"/>
    <w:rsid w:val="2D8172D3"/>
    <w:rsid w:val="2DDB4A8F"/>
    <w:rsid w:val="2E334A71"/>
    <w:rsid w:val="2E8552A2"/>
    <w:rsid w:val="2EC851B9"/>
    <w:rsid w:val="30025039"/>
    <w:rsid w:val="310E7F75"/>
    <w:rsid w:val="313308E4"/>
    <w:rsid w:val="31F17F52"/>
    <w:rsid w:val="32C73722"/>
    <w:rsid w:val="32CD14B3"/>
    <w:rsid w:val="331A668C"/>
    <w:rsid w:val="3345159F"/>
    <w:rsid w:val="339B738A"/>
    <w:rsid w:val="33CB5F21"/>
    <w:rsid w:val="35187F0A"/>
    <w:rsid w:val="35B1113D"/>
    <w:rsid w:val="35FA6EAF"/>
    <w:rsid w:val="36436573"/>
    <w:rsid w:val="36721C56"/>
    <w:rsid w:val="376C68FE"/>
    <w:rsid w:val="384026DF"/>
    <w:rsid w:val="39245CCA"/>
    <w:rsid w:val="39492BEE"/>
    <w:rsid w:val="39A575B2"/>
    <w:rsid w:val="3A361E80"/>
    <w:rsid w:val="3AA50AA5"/>
    <w:rsid w:val="3AEA555B"/>
    <w:rsid w:val="3B677B08"/>
    <w:rsid w:val="3B750F5E"/>
    <w:rsid w:val="3BB52F69"/>
    <w:rsid w:val="3CA70433"/>
    <w:rsid w:val="3F096F93"/>
    <w:rsid w:val="3F577E93"/>
    <w:rsid w:val="3F7171A7"/>
    <w:rsid w:val="3FEF3E6C"/>
    <w:rsid w:val="40183AC7"/>
    <w:rsid w:val="408C017C"/>
    <w:rsid w:val="41790595"/>
    <w:rsid w:val="42E07BC4"/>
    <w:rsid w:val="438C587E"/>
    <w:rsid w:val="443B21E4"/>
    <w:rsid w:val="456B2DFD"/>
    <w:rsid w:val="46A71700"/>
    <w:rsid w:val="47C35A02"/>
    <w:rsid w:val="48420BDC"/>
    <w:rsid w:val="48B95DC1"/>
    <w:rsid w:val="492B03C7"/>
    <w:rsid w:val="49574BFE"/>
    <w:rsid w:val="49A1194F"/>
    <w:rsid w:val="49C01457"/>
    <w:rsid w:val="4A064990"/>
    <w:rsid w:val="4B0306BF"/>
    <w:rsid w:val="4B985ABC"/>
    <w:rsid w:val="4C6F2CC0"/>
    <w:rsid w:val="4D186EB4"/>
    <w:rsid w:val="4D52686A"/>
    <w:rsid w:val="4DC76DCC"/>
    <w:rsid w:val="4E810A89"/>
    <w:rsid w:val="4E8A2033"/>
    <w:rsid w:val="4F3816A0"/>
    <w:rsid w:val="4FE34DE6"/>
    <w:rsid w:val="502F4C40"/>
    <w:rsid w:val="50DF1E8B"/>
    <w:rsid w:val="511B2E45"/>
    <w:rsid w:val="51DF2696"/>
    <w:rsid w:val="52704F4D"/>
    <w:rsid w:val="531C6FD2"/>
    <w:rsid w:val="53493F6A"/>
    <w:rsid w:val="53F44FBD"/>
    <w:rsid w:val="54B8031D"/>
    <w:rsid w:val="54C65448"/>
    <w:rsid w:val="55890A47"/>
    <w:rsid w:val="56586573"/>
    <w:rsid w:val="569357FD"/>
    <w:rsid w:val="570B29A1"/>
    <w:rsid w:val="584B66EE"/>
    <w:rsid w:val="58DC18F4"/>
    <w:rsid w:val="596A353B"/>
    <w:rsid w:val="59F70F40"/>
    <w:rsid w:val="5A0E3B19"/>
    <w:rsid w:val="5AB60CE4"/>
    <w:rsid w:val="5BB246DB"/>
    <w:rsid w:val="5BBB7CD0"/>
    <w:rsid w:val="5C147653"/>
    <w:rsid w:val="5CB12E81"/>
    <w:rsid w:val="5CD050B5"/>
    <w:rsid w:val="5DAD1C59"/>
    <w:rsid w:val="5DCF65EE"/>
    <w:rsid w:val="5E1216FE"/>
    <w:rsid w:val="5E510478"/>
    <w:rsid w:val="5E8678EB"/>
    <w:rsid w:val="5F051EAA"/>
    <w:rsid w:val="5F053010"/>
    <w:rsid w:val="5F7750F8"/>
    <w:rsid w:val="5FB25DA5"/>
    <w:rsid w:val="60994233"/>
    <w:rsid w:val="60B560E3"/>
    <w:rsid w:val="61C35431"/>
    <w:rsid w:val="61DF428F"/>
    <w:rsid w:val="621719D8"/>
    <w:rsid w:val="62AB5105"/>
    <w:rsid w:val="62CA07F9"/>
    <w:rsid w:val="62F36B3E"/>
    <w:rsid w:val="63AF5199"/>
    <w:rsid w:val="64874BF3"/>
    <w:rsid w:val="64972F30"/>
    <w:rsid w:val="64A732ED"/>
    <w:rsid w:val="64F90DFE"/>
    <w:rsid w:val="65CE6852"/>
    <w:rsid w:val="661325BB"/>
    <w:rsid w:val="663F7851"/>
    <w:rsid w:val="66EB3621"/>
    <w:rsid w:val="679A4C3E"/>
    <w:rsid w:val="67C479DA"/>
    <w:rsid w:val="67E20393"/>
    <w:rsid w:val="69056951"/>
    <w:rsid w:val="696F20FA"/>
    <w:rsid w:val="6AFE3403"/>
    <w:rsid w:val="6B1A35A8"/>
    <w:rsid w:val="6BB96E6E"/>
    <w:rsid w:val="6C3363DD"/>
    <w:rsid w:val="6C415824"/>
    <w:rsid w:val="6CEB1A97"/>
    <w:rsid w:val="6D042B59"/>
    <w:rsid w:val="6F2A1D08"/>
    <w:rsid w:val="6FF41056"/>
    <w:rsid w:val="70780579"/>
    <w:rsid w:val="71E00988"/>
    <w:rsid w:val="72F80888"/>
    <w:rsid w:val="733E1AE3"/>
    <w:rsid w:val="73FE0302"/>
    <w:rsid w:val="742A3A3C"/>
    <w:rsid w:val="743C097C"/>
    <w:rsid w:val="74CF3891"/>
    <w:rsid w:val="75A80DCA"/>
    <w:rsid w:val="75AE6177"/>
    <w:rsid w:val="75C31803"/>
    <w:rsid w:val="77574AEC"/>
    <w:rsid w:val="77E16160"/>
    <w:rsid w:val="780103C1"/>
    <w:rsid w:val="78192A80"/>
    <w:rsid w:val="785D5515"/>
    <w:rsid w:val="788C6EBE"/>
    <w:rsid w:val="799903EE"/>
    <w:rsid w:val="7A2F6031"/>
    <w:rsid w:val="7B5A1010"/>
    <w:rsid w:val="7BA847DF"/>
    <w:rsid w:val="7CF2548B"/>
    <w:rsid w:val="7D1D62D4"/>
    <w:rsid w:val="7D500CC5"/>
    <w:rsid w:val="7DFC6145"/>
    <w:rsid w:val="7F152C96"/>
    <w:rsid w:val="7F801FAF"/>
    <w:rsid w:val="7FA2692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qFormat="1" w:uiPriority="99"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2"/>
      <w:szCs w:val="24"/>
      <w:lang w:val="en-US" w:eastAsia="zh-CN" w:bidi="ar-SA"/>
    </w:rPr>
  </w:style>
  <w:style w:type="paragraph" w:styleId="2">
    <w:name w:val="heading 1"/>
    <w:basedOn w:val="1"/>
    <w:next w:val="1"/>
    <w:qFormat/>
    <w:uiPriority w:val="0"/>
    <w:pPr>
      <w:keepNext/>
      <w:keepLines/>
      <w:widowControl w:val="0"/>
      <w:spacing w:before="340" w:after="330" w:line="578" w:lineRule="auto"/>
      <w:outlineLvl w:val="0"/>
    </w:pPr>
    <w:rPr>
      <w:b/>
      <w:bCs/>
      <w:kern w:val="44"/>
      <w:sz w:val="44"/>
    </w:rPr>
  </w:style>
  <w:style w:type="paragraph" w:styleId="3">
    <w:name w:val="heading 2"/>
    <w:basedOn w:val="1"/>
    <w:next w:val="1"/>
    <w:qFormat/>
    <w:uiPriority w:val="0"/>
    <w:pPr>
      <w:keepNext/>
      <w:keepLines/>
      <w:widowControl w:val="0"/>
      <w:spacing w:before="260" w:after="260" w:line="415" w:lineRule="auto"/>
      <w:outlineLvl w:val="1"/>
    </w:pPr>
    <w:rPr>
      <w:rFonts w:ascii="Luxi Sans" w:hAnsi="Luxi Sans" w:eastAsia="黑体"/>
      <w:b/>
      <w:sz w:val="32"/>
    </w:rPr>
  </w:style>
  <w:style w:type="paragraph" w:styleId="4">
    <w:name w:val="heading 3"/>
    <w:basedOn w:val="1"/>
    <w:next w:val="1"/>
    <w:qFormat/>
    <w:uiPriority w:val="0"/>
    <w:pPr>
      <w:keepNext/>
      <w:keepLines/>
      <w:widowControl w:val="0"/>
      <w:spacing w:before="260" w:after="260" w:line="415" w:lineRule="auto"/>
      <w:outlineLvl w:val="2"/>
    </w:pPr>
    <w:rPr>
      <w:b/>
      <w:sz w:val="32"/>
    </w:rPr>
  </w:style>
  <w:style w:type="character" w:default="1" w:styleId="17">
    <w:name w:val="Default Paragraph Font"/>
    <w:qFormat/>
    <w:uiPriority w:val="0"/>
  </w:style>
  <w:style w:type="table" w:default="1" w:styleId="16">
    <w:name w:val="Normal Table"/>
    <w:semiHidden/>
    <w:qFormat/>
    <w:uiPriority w:val="0"/>
    <w:tblPr>
      <w:tblCellMar>
        <w:top w:w="0" w:type="dxa"/>
        <w:left w:w="108" w:type="dxa"/>
        <w:bottom w:w="0" w:type="dxa"/>
        <w:right w:w="108" w:type="dxa"/>
      </w:tblCellMar>
    </w:tblPr>
  </w:style>
  <w:style w:type="paragraph" w:styleId="5">
    <w:name w:val="table of authorities"/>
    <w:basedOn w:val="1"/>
    <w:next w:val="1"/>
    <w:unhideWhenUsed/>
    <w:qFormat/>
    <w:uiPriority w:val="99"/>
    <w:pPr>
      <w:ind w:left="420" w:leftChars="200"/>
      <w:jc w:val="left"/>
    </w:pPr>
    <w:rPr>
      <w:rFonts w:ascii="宋体" w:hAnsi="方正兰亭黑_GBK" w:eastAsia="宋体" w:cs="方正兰亭黑_GBK"/>
      <w:sz w:val="24"/>
      <w:szCs w:val="21"/>
    </w:rPr>
  </w:style>
  <w:style w:type="paragraph" w:styleId="6">
    <w:name w:val="Normal Indent"/>
    <w:basedOn w:val="1"/>
    <w:next w:val="1"/>
    <w:qFormat/>
    <w:uiPriority w:val="0"/>
    <w:pPr>
      <w:spacing w:before="50" w:beforeLines="50" w:line="360" w:lineRule="auto"/>
      <w:ind w:firstLine="200" w:firstLineChars="200"/>
    </w:pPr>
    <w:rPr>
      <w:rFonts w:eastAsia="仿宋"/>
      <w:sz w:val="24"/>
      <w:szCs w:val="23"/>
      <w:lang w:eastAsia="ar-SA"/>
    </w:rPr>
  </w:style>
  <w:style w:type="paragraph" w:styleId="7">
    <w:name w:val="Document Map"/>
    <w:basedOn w:val="1"/>
    <w:qFormat/>
    <w:uiPriority w:val="0"/>
    <w:rPr>
      <w:rFonts w:ascii="宋体" w:eastAsia="宋体"/>
      <w:sz w:val="18"/>
      <w:szCs w:val="18"/>
    </w:rPr>
  </w:style>
  <w:style w:type="paragraph" w:styleId="8">
    <w:name w:val="Body Text"/>
    <w:basedOn w:val="1"/>
    <w:next w:val="1"/>
    <w:qFormat/>
    <w:uiPriority w:val="0"/>
    <w:pPr>
      <w:spacing w:after="120"/>
    </w:pPr>
  </w:style>
  <w:style w:type="paragraph" w:styleId="9">
    <w:name w:val="Body Text Indent"/>
    <w:basedOn w:val="1"/>
    <w:qFormat/>
    <w:uiPriority w:val="0"/>
    <w:pPr>
      <w:spacing w:after="120"/>
      <w:ind w:left="200" w:leftChars="200"/>
    </w:pPr>
    <w:rPr>
      <w:rFonts w:ascii="仿宋_GB2312"/>
      <w:szCs w:val="32"/>
    </w:rPr>
  </w:style>
  <w:style w:type="paragraph" w:styleId="10">
    <w:name w:val="Plain Text"/>
    <w:basedOn w:val="1"/>
    <w:qFormat/>
    <w:uiPriority w:val="0"/>
    <w:rPr>
      <w:rFonts w:ascii="宋体" w:hAnsi="Courier New"/>
    </w:rPr>
  </w:style>
  <w:style w:type="paragraph" w:styleId="11">
    <w:name w:val="Balloon Text"/>
    <w:basedOn w:val="1"/>
    <w:qFormat/>
    <w:uiPriority w:val="0"/>
    <w:rPr>
      <w:sz w:val="18"/>
      <w:szCs w:val="18"/>
    </w:rPr>
  </w:style>
  <w:style w:type="paragraph" w:styleId="12">
    <w:name w:val="footer"/>
    <w:basedOn w:val="1"/>
    <w:qFormat/>
    <w:uiPriority w:val="0"/>
    <w:pPr>
      <w:tabs>
        <w:tab w:val="center" w:pos="4153"/>
        <w:tab w:val="right" w:pos="8306"/>
      </w:tabs>
      <w:snapToGrid w:val="0"/>
      <w:jc w:val="left"/>
    </w:pPr>
    <w:rPr>
      <w:rFonts w:eastAsia="宋体"/>
      <w:sz w:val="18"/>
      <w:szCs w:val="18"/>
    </w:rPr>
  </w:style>
  <w:style w:type="paragraph" w:styleId="13">
    <w:name w:val="header"/>
    <w:basedOn w:val="1"/>
    <w:qFormat/>
    <w:uiPriority w:val="0"/>
    <w:pPr>
      <w:pBdr>
        <w:bottom w:val="single" w:color="auto" w:sz="6" w:space="1"/>
      </w:pBdr>
      <w:tabs>
        <w:tab w:val="center" w:pos="4153"/>
        <w:tab w:val="right" w:pos="8306"/>
      </w:tabs>
      <w:snapToGrid w:val="0"/>
      <w:jc w:val="center"/>
    </w:pPr>
    <w:rPr>
      <w:rFonts w:eastAsia="宋体"/>
      <w:sz w:val="18"/>
      <w:szCs w:val="18"/>
    </w:rPr>
  </w:style>
  <w:style w:type="paragraph" w:styleId="14">
    <w:name w:val="toc 1"/>
    <w:basedOn w:val="1"/>
    <w:next w:val="1"/>
    <w:qFormat/>
    <w:uiPriority w:val="0"/>
  </w:style>
  <w:style w:type="paragraph" w:styleId="15">
    <w:name w:val="Body Text First Indent 2"/>
    <w:basedOn w:val="9"/>
    <w:qFormat/>
    <w:uiPriority w:val="0"/>
    <w:pPr>
      <w:ind w:firstLine="200" w:firstLineChars="200"/>
    </w:pPr>
  </w:style>
  <w:style w:type="character" w:styleId="18">
    <w:name w:val="Strong"/>
    <w:basedOn w:val="17"/>
    <w:qFormat/>
    <w:uiPriority w:val="0"/>
    <w:rPr>
      <w:b/>
    </w:rPr>
  </w:style>
  <w:style w:type="character" w:styleId="19">
    <w:name w:val="page number"/>
    <w:basedOn w:val="17"/>
    <w:qFormat/>
    <w:uiPriority w:val="0"/>
  </w:style>
  <w:style w:type="paragraph" w:customStyle="1" w:styleId="20">
    <w:name w:val="标题 5（有编号）（绿盟科技）"/>
    <w:next w:val="1"/>
    <w:qFormat/>
    <w:uiPriority w:val="0"/>
    <w:pPr>
      <w:keepNext/>
      <w:keepLines/>
      <w:widowControl w:val="0"/>
      <w:spacing w:before="280" w:after="156" w:line="377" w:lineRule="auto"/>
      <w:outlineLvl w:val="4"/>
    </w:pPr>
    <w:rPr>
      <w:rFonts w:ascii="Arial" w:hAnsi="Arial" w:eastAsia="黑体" w:cs="Times New Roman"/>
      <w:b/>
      <w:kern w:val="2"/>
      <w:sz w:val="24"/>
      <w:szCs w:val="28"/>
      <w:lang w:val="en-US" w:eastAsia="zh-CN" w:bidi="ar-SA"/>
    </w:rPr>
  </w:style>
  <w:style w:type="paragraph" w:customStyle="1" w:styleId="21">
    <w:name w:val="四号正文"/>
    <w:basedOn w:val="1"/>
    <w:qFormat/>
    <w:uiPriority w:val="0"/>
    <w:pPr>
      <w:spacing w:line="360" w:lineRule="auto"/>
    </w:pPr>
    <w:rPr>
      <w:rFonts w:ascii="??" w:hAnsi="??" w:eastAsia="宋体" w:cs="宋体"/>
      <w:color w:val="000000"/>
      <w:kern w:val="0"/>
      <w:sz w:val="28"/>
      <w:szCs w:val="21"/>
    </w:rPr>
  </w:style>
  <w:style w:type="paragraph" w:customStyle="1" w:styleId="22">
    <w:name w:val="a"/>
    <w:basedOn w:val="1"/>
    <w:qFormat/>
    <w:uiPriority w:val="0"/>
    <w:pPr>
      <w:widowControl/>
      <w:spacing w:before="100" w:beforeAutospacing="1" w:after="100" w:afterAutospacing="1"/>
      <w:jc w:val="left"/>
    </w:pPr>
    <w:rPr>
      <w:rFonts w:ascii="宋体" w:eastAsia="宋体" w:cs="宋体"/>
      <w:kern w:val="0"/>
      <w:sz w:val="24"/>
    </w:rPr>
  </w:style>
  <w:style w:type="character" w:customStyle="1" w:styleId="23">
    <w:name w:val="font31"/>
    <w:basedOn w:val="17"/>
    <w:qFormat/>
    <w:uiPriority w:val="0"/>
    <w:rPr>
      <w:rFonts w:ascii="宋体" w:eastAsia="宋体" w:cs="宋体"/>
      <w:color w:val="000000"/>
      <w:sz w:val="24"/>
      <w:szCs w:val="24"/>
      <w:u w:val="none"/>
    </w:rPr>
  </w:style>
  <w:style w:type="character" w:customStyle="1" w:styleId="24">
    <w:name w:val="font51"/>
    <w:basedOn w:val="17"/>
    <w:qFormat/>
    <w:uiPriority w:val="0"/>
    <w:rPr>
      <w:rFonts w:ascii="Wingdings 2" w:hAnsi="Wingdings 2" w:eastAsia="Wingdings 2" w:cs="Wingdings 2"/>
      <w:color w:val="000000"/>
      <w:sz w:val="18"/>
      <w:szCs w:val="18"/>
      <w:u w:val="none"/>
    </w:rPr>
  </w:style>
  <w:style w:type="character" w:customStyle="1" w:styleId="25">
    <w:name w:val="font01"/>
    <w:basedOn w:val="17"/>
    <w:qFormat/>
    <w:uiPriority w:val="0"/>
    <w:rPr>
      <w:rFonts w:ascii="宋体" w:eastAsia="宋体" w:cs="宋体"/>
      <w:color w:val="000000"/>
      <w:sz w:val="18"/>
      <w:szCs w:val="18"/>
      <w:u w:val="none"/>
    </w:rPr>
  </w:style>
  <w:style w:type="character" w:customStyle="1" w:styleId="26">
    <w:name w:val="font41"/>
    <w:basedOn w:val="17"/>
    <w:qFormat/>
    <w:uiPriority w:val="0"/>
    <w:rPr>
      <w:rFonts w:ascii="宋体" w:eastAsia="宋体" w:cs="宋体"/>
      <w:color w:val="000000"/>
      <w:sz w:val="18"/>
      <w:szCs w:val="18"/>
      <w:u w:val="none"/>
    </w:rPr>
  </w:style>
  <w:style w:type="paragraph" w:customStyle="1" w:styleId="27">
    <w:name w:val="Body Text First Indent 21"/>
    <w:basedOn w:val="1"/>
    <w:qFormat/>
    <w:uiPriority w:val="0"/>
    <w:pPr>
      <w:ind w:left="200" w:leftChars="200" w:firstLine="200" w:firstLineChars="200"/>
    </w:pPr>
    <w:rPr>
      <w:rFonts w:eastAsia="宋体"/>
      <w:sz w:val="21"/>
      <w:szCs w:val="2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Normal.eit</Template>
  <Company>PSZX</Company>
  <Pages>26</Pages>
  <Words>11659</Words>
  <Characters>12247</Characters>
  <Lines>339</Lines>
  <Paragraphs>173</Paragraphs>
  <TotalTime>17</TotalTime>
  <ScaleCrop>false</ScaleCrop>
  <LinksUpToDate>false</LinksUpToDate>
  <CharactersWithSpaces>12295</CharactersWithSpaces>
  <Application>WPS Office_12.1.0.25225_F1E327BC-269C-435d-A152-05C5408002CA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2025-03-27T08:07:00Z</dcterms:created>
  <dc:creator>陈萍</dc:creator>
  <cp:lastModifiedBy>贺明慧</cp:lastModifiedBy>
  <cp:lastPrinted>2025-03-04T19:05:00Z</cp:lastPrinted>
  <dcterms:modified xsi:type="dcterms:W3CDTF">2026-03-13T09:00:08Z</dcterms:modified>
  <dc:title>区域性就业培训基地建设项目</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KSOTemplateDocerSaveRecord">
    <vt:lpwstr>eyJoZGlkIjoiZTk2ODhmMWFlODNhYTQzODM1MDdjZTEzOTIzZDJmM2QiLCJ1c2VySWQiOiI0MDEyNDE3OTMifQ==</vt:lpwstr>
  </property>
  <property fmtid="{D5CDD505-2E9C-101B-9397-08002B2CF9AE}" pid="4" name="ICV">
    <vt:lpwstr>6930ADE75ED4496DBFA10A5AB8F06CA5_12</vt:lpwstr>
  </property>
</Properties>
</file>