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Override PartName="/word/theme/themeOverride2.xml" ContentType="application/vnd.openxmlformats-officedocument.themeOverride+xml"/>
  <Override PartName="/word/theme/themeOverride3.xml" ContentType="application/vnd.openxmlformats-officedocument.themeOverride+xml"/>
  <Override PartName="/word/theme/themeOverride4.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spacing w:beforeLines="0"/>
        <w:ind w:firstLine="880" w:firstLineChars="200"/>
        <w:jc w:val="center"/>
        <w:rPr>
          <w:rFonts w:ascii="Times New Roman" w:eastAsia="方正小标宋简体"/>
          <w:kern w:val="2"/>
          <w:sz w:val="44"/>
          <w:szCs w:val="44"/>
        </w:rPr>
      </w:pPr>
      <w:bookmarkStart w:id="80" w:name="_GoBack"/>
      <w:bookmarkEnd w:id="80"/>
      <w:bookmarkStart w:id="0" w:name="_Toc15306267"/>
      <w:bookmarkStart w:id="1" w:name="_Toc15396476"/>
      <w:bookmarkStart w:id="2" w:name="_Toc15377426"/>
      <w:bookmarkStart w:id="3" w:name="_Toc15396598"/>
      <w:bookmarkStart w:id="4" w:name="_Toc15377194"/>
      <w:bookmarkStart w:id="5" w:name="_Toc15378442"/>
    </w:p>
    <w:p>
      <w:pPr>
        <w:pStyle w:val="6"/>
        <w:spacing w:beforeLines="0"/>
        <w:ind w:firstLine="880" w:firstLineChars="200"/>
        <w:jc w:val="center"/>
        <w:rPr>
          <w:rFonts w:ascii="Times New Roman" w:eastAsia="方正小标宋简体"/>
          <w:kern w:val="2"/>
          <w:sz w:val="44"/>
          <w:szCs w:val="44"/>
        </w:rPr>
      </w:pPr>
    </w:p>
    <w:p>
      <w:pPr>
        <w:pStyle w:val="6"/>
        <w:spacing w:beforeLines="0"/>
        <w:ind w:firstLine="880" w:firstLineChars="200"/>
        <w:jc w:val="center"/>
        <w:rPr>
          <w:rFonts w:ascii="Times New Roman" w:eastAsia="方正小标宋简体"/>
          <w:kern w:val="2"/>
          <w:sz w:val="44"/>
          <w:szCs w:val="44"/>
        </w:rPr>
      </w:pPr>
    </w:p>
    <w:p>
      <w:pPr>
        <w:pStyle w:val="6"/>
        <w:spacing w:beforeLines="0"/>
        <w:ind w:firstLine="880" w:firstLineChars="200"/>
        <w:jc w:val="center"/>
        <w:rPr>
          <w:rFonts w:ascii="Times New Roman" w:eastAsia="方正小标宋简体"/>
          <w:kern w:val="2"/>
          <w:sz w:val="44"/>
          <w:szCs w:val="44"/>
        </w:rPr>
      </w:pPr>
    </w:p>
    <w:p>
      <w:pPr>
        <w:pStyle w:val="6"/>
        <w:spacing w:beforeLines="0"/>
        <w:ind w:firstLine="880" w:firstLineChars="200"/>
        <w:jc w:val="center"/>
        <w:rPr>
          <w:rFonts w:ascii="Times New Roman" w:eastAsia="方正小标宋简体"/>
          <w:kern w:val="2"/>
          <w:sz w:val="44"/>
          <w:szCs w:val="44"/>
        </w:rPr>
      </w:pPr>
    </w:p>
    <w:p>
      <w:pPr>
        <w:pStyle w:val="6"/>
        <w:spacing w:beforeLines="0"/>
        <w:ind w:firstLine="880" w:firstLineChars="200"/>
        <w:rPr>
          <w:rFonts w:ascii="Times New Roman" w:eastAsia="方正小标宋简体"/>
          <w:kern w:val="2"/>
          <w:sz w:val="44"/>
          <w:szCs w:val="44"/>
        </w:rPr>
      </w:pPr>
    </w:p>
    <w:p>
      <w:pPr>
        <w:pStyle w:val="6"/>
        <w:spacing w:beforeLines="0"/>
        <w:jc w:val="center"/>
        <w:rPr>
          <w:rFonts w:ascii="Times New Roman" w:eastAsia="方正小标宋_GBK"/>
          <w:kern w:val="2"/>
          <w:sz w:val="72"/>
          <w:szCs w:val="72"/>
        </w:rPr>
      </w:pPr>
      <w:r>
        <w:rPr>
          <w:rFonts w:ascii="Times New Roman" w:eastAsia="方正小标宋_GBK"/>
          <w:kern w:val="2"/>
          <w:sz w:val="72"/>
          <w:szCs w:val="72"/>
        </w:rPr>
        <w:t>2025年度</w:t>
      </w:r>
      <w:bookmarkEnd w:id="0"/>
      <w:bookmarkStart w:id="6" w:name="_Toc15306268"/>
      <w:r>
        <w:rPr>
          <w:rFonts w:ascii="Times New Roman" w:eastAsia="方正小标宋_GBK"/>
          <w:kern w:val="2"/>
          <w:sz w:val="72"/>
          <w:szCs w:val="72"/>
        </w:rPr>
        <w:t>攀枝花市</w:t>
      </w:r>
    </w:p>
    <w:p>
      <w:pPr>
        <w:pStyle w:val="6"/>
        <w:spacing w:beforeLines="0"/>
        <w:jc w:val="center"/>
        <w:rPr>
          <w:rFonts w:ascii="Times New Roman" w:eastAsia="方正小标宋_GBK"/>
          <w:kern w:val="2"/>
          <w:sz w:val="72"/>
          <w:szCs w:val="72"/>
        </w:rPr>
      </w:pPr>
      <w:r>
        <w:rPr>
          <w:rFonts w:ascii="Times New Roman" w:eastAsia="方正小标宋_GBK"/>
          <w:kern w:val="2"/>
          <w:sz w:val="72"/>
          <w:szCs w:val="72"/>
        </w:rPr>
        <w:t>医疗保障事务中心</w:t>
      </w:r>
    </w:p>
    <w:p>
      <w:pPr>
        <w:pStyle w:val="6"/>
        <w:spacing w:beforeLines="0"/>
        <w:jc w:val="center"/>
        <w:rPr>
          <w:rFonts w:hint="default" w:ascii="Times New Roman" w:eastAsia="方正小标宋_GBK"/>
          <w:kern w:val="2"/>
          <w:sz w:val="48"/>
          <w:szCs w:val="48"/>
          <w:lang w:val="en-US" w:eastAsia="zh-CN"/>
        </w:rPr>
      </w:pPr>
      <w:r>
        <w:rPr>
          <w:rFonts w:ascii="Times New Roman" w:eastAsia="方正小标宋_GBK"/>
          <w:kern w:val="2"/>
          <w:sz w:val="72"/>
          <w:szCs w:val="72"/>
        </w:rPr>
        <w:t>部门决算</w:t>
      </w:r>
      <w:bookmarkEnd w:id="1"/>
      <w:bookmarkEnd w:id="2"/>
      <w:bookmarkEnd w:id="3"/>
      <w:bookmarkEnd w:id="4"/>
      <w:bookmarkEnd w:id="5"/>
      <w:bookmarkEnd w:id="6"/>
      <w:r>
        <w:rPr>
          <w:rFonts w:ascii="Times New Roman" w:eastAsia="方正小标宋_GBK"/>
          <w:kern w:val="2"/>
          <w:sz w:val="72"/>
          <w:szCs w:val="72"/>
        </w:rPr>
        <w:t>公开</w:t>
      </w:r>
      <w:r>
        <w:rPr>
          <w:rFonts w:hint="eastAsia" w:ascii="Times New Roman" w:eastAsia="方正小标宋_GBK"/>
          <w:kern w:val="2"/>
          <w:sz w:val="72"/>
          <w:szCs w:val="72"/>
          <w:lang w:val="en-US" w:eastAsia="zh-CN"/>
        </w:rPr>
        <w:t>编制说明</w:t>
      </w:r>
    </w:p>
    <w:p>
      <w:pPr>
        <w:pStyle w:val="16"/>
        <w:adjustRightInd w:val="0"/>
        <w:snapToGrid w:val="0"/>
        <w:ind w:left="0" w:leftChars="0" w:firstLine="640" w:firstLineChars="200"/>
        <w:jc w:val="left"/>
        <w:rPr>
          <w:rFonts w:eastAsia="仿宋_GB2312"/>
          <w:sz w:val="32"/>
          <w:szCs w:val="32"/>
        </w:rPr>
      </w:pPr>
    </w:p>
    <w:p>
      <w:pPr>
        <w:widowControl/>
        <w:ind w:firstLine="720" w:firstLineChars="200"/>
        <w:jc w:val="center"/>
        <w:rPr>
          <w:rFonts w:eastAsia="黑体"/>
          <w:sz w:val="48"/>
          <w:szCs w:val="48"/>
        </w:rPr>
      </w:pPr>
      <w:r>
        <w:rPr>
          <w:rFonts w:eastAsia="方正小标宋简体"/>
          <w:sz w:val="36"/>
          <w:szCs w:val="36"/>
        </w:rPr>
        <w:br w:type="page"/>
      </w:r>
      <w:r>
        <w:rPr>
          <w:rFonts w:eastAsia="方正黑体_GBK"/>
          <w:sz w:val="48"/>
          <w:szCs w:val="48"/>
        </w:rPr>
        <w:t>目录</w:t>
      </w:r>
    </w:p>
    <w:p>
      <w:pPr>
        <w:widowControl/>
        <w:ind w:firstLine="560" w:firstLineChars="200"/>
        <w:jc w:val="center"/>
        <w:rPr>
          <w:rFonts w:eastAsia="黑体"/>
          <w:sz w:val="28"/>
          <w:szCs w:val="28"/>
        </w:rPr>
      </w:pPr>
    </w:p>
    <w:p>
      <w:pPr>
        <w:pStyle w:val="14"/>
        <w:spacing w:before="0"/>
        <w:ind w:firstLine="640" w:firstLineChars="200"/>
        <w:rPr>
          <w:rFonts w:ascii="Times New Roman" w:hAnsi="Times New Roman" w:eastAsia="仿宋_GB2312"/>
          <w:sz w:val="32"/>
          <w:szCs w:val="32"/>
        </w:rPr>
      </w:pPr>
      <w:r>
        <w:rPr>
          <w:rFonts w:ascii="Times New Roman" w:hAnsi="Times New Roman" w:eastAsia="方正仿宋_GBK"/>
          <w:sz w:val="32"/>
          <w:szCs w:val="32"/>
        </w:rPr>
        <w:t>公开时间：2026年9月14日</w:t>
      </w:r>
    </w:p>
    <w:p>
      <w:pPr>
        <w:pStyle w:val="14"/>
        <w:spacing w:before="0"/>
        <w:ind w:firstLine="640" w:firstLineChars="200"/>
        <w:jc w:val="distribute"/>
        <w:rPr>
          <w:rFonts w:ascii="Times New Roman" w:hAnsi="Times New Roman" w:eastAsia="黑体"/>
        </w:rPr>
      </w:pPr>
      <w:r>
        <w:rPr>
          <w:rFonts w:ascii="Times New Roman" w:hAnsi="Times New Roman" w:eastAsia="方正黑体_GBK"/>
          <w:sz w:val="32"/>
          <w:szCs w:val="32"/>
        </w:rPr>
        <w:t>第一部分 部门概况...................................................</w:t>
      </w:r>
      <w:r>
        <w:rPr>
          <w:rFonts w:hint="eastAsia" w:ascii="Times New Roman" w:hAnsi="Times New Roman" w:eastAsia="方正黑体_GBK"/>
          <w:sz w:val="32"/>
          <w:szCs w:val="32"/>
        </w:rPr>
        <w:t>..</w:t>
      </w:r>
      <w:r>
        <w:rPr>
          <w:rFonts w:ascii="Times New Roman" w:hAnsi="Times New Roman" w:eastAsia="方正黑体_GBK"/>
          <w:sz w:val="32"/>
          <w:szCs w:val="32"/>
        </w:rPr>
        <w:t>..</w:t>
      </w:r>
      <w:r>
        <w:rPr>
          <w:rFonts w:ascii="Times New Roman" w:hAnsi="Times New Roman" w:eastAsia="黑体"/>
          <w:sz w:val="32"/>
          <w:szCs w:val="32"/>
        </w:rPr>
        <w:t>3</w:t>
      </w:r>
    </w:p>
    <w:p>
      <w:pPr>
        <w:pStyle w:val="16"/>
        <w:adjustRightInd w:val="0"/>
        <w:snapToGrid w:val="0"/>
        <w:ind w:left="0" w:leftChars="0" w:firstLine="640" w:firstLineChars="200"/>
        <w:jc w:val="left"/>
        <w:rPr>
          <w:rFonts w:eastAsia="仿宋_GB2312"/>
          <w:sz w:val="32"/>
          <w:szCs w:val="32"/>
        </w:rPr>
      </w:pPr>
      <w:r>
        <w:rPr>
          <w:rFonts w:eastAsia="方正仿宋_GBK"/>
          <w:sz w:val="32"/>
          <w:szCs w:val="32"/>
        </w:rPr>
        <w:t>一、部门职责</w:t>
      </w:r>
      <w:r>
        <w:rPr>
          <w:rFonts w:eastAsia="仿宋_GB2312"/>
          <w:sz w:val="32"/>
          <w:szCs w:val="32"/>
        </w:rPr>
        <w:t>..................................................................</w:t>
      </w:r>
      <w:r>
        <w:rPr>
          <w:rFonts w:hint="eastAsia" w:eastAsia="仿宋_GB2312"/>
          <w:sz w:val="32"/>
          <w:szCs w:val="32"/>
        </w:rPr>
        <w:t>....</w:t>
      </w:r>
      <w:r>
        <w:rPr>
          <w:rFonts w:eastAsia="仿宋_GB2312"/>
          <w:sz w:val="32"/>
          <w:szCs w:val="32"/>
        </w:rPr>
        <w:t>.3</w:t>
      </w:r>
    </w:p>
    <w:p>
      <w:pPr>
        <w:pStyle w:val="16"/>
        <w:adjustRightInd w:val="0"/>
        <w:snapToGrid w:val="0"/>
        <w:ind w:left="0" w:leftChars="0" w:firstLine="640" w:firstLineChars="200"/>
        <w:jc w:val="left"/>
        <w:rPr>
          <w:rFonts w:eastAsia="仿宋_GB2312"/>
          <w:sz w:val="32"/>
          <w:szCs w:val="32"/>
        </w:rPr>
      </w:pPr>
      <w:r>
        <w:rPr>
          <w:rFonts w:eastAsia="方正仿宋_GBK"/>
          <w:sz w:val="32"/>
          <w:szCs w:val="32"/>
        </w:rPr>
        <w:t>二、机构设置</w:t>
      </w:r>
      <w:r>
        <w:rPr>
          <w:rFonts w:eastAsia="仿宋_GB2312"/>
          <w:sz w:val="32"/>
          <w:szCs w:val="32"/>
        </w:rPr>
        <w:t>..................................................................</w:t>
      </w:r>
      <w:r>
        <w:rPr>
          <w:rFonts w:hint="eastAsia" w:eastAsia="仿宋_GB2312"/>
          <w:sz w:val="32"/>
          <w:szCs w:val="32"/>
        </w:rPr>
        <w:t>....</w:t>
      </w:r>
      <w:r>
        <w:rPr>
          <w:rFonts w:eastAsia="仿宋_GB2312"/>
          <w:sz w:val="32"/>
          <w:szCs w:val="32"/>
        </w:rPr>
        <w:t>.4</w:t>
      </w:r>
    </w:p>
    <w:p>
      <w:pPr>
        <w:pStyle w:val="14"/>
        <w:adjustRightInd w:val="0"/>
        <w:snapToGrid w:val="0"/>
        <w:spacing w:before="0"/>
        <w:ind w:firstLine="640" w:firstLineChars="200"/>
        <w:jc w:val="left"/>
        <w:rPr>
          <w:rFonts w:ascii="Times New Roman" w:hAnsi="Times New Roman" w:eastAsia="黑体"/>
          <w:sz w:val="32"/>
          <w:szCs w:val="32"/>
        </w:rPr>
      </w:pPr>
      <w:r>
        <w:rPr>
          <w:rFonts w:ascii="Times New Roman" w:hAnsi="Times New Roman" w:eastAsia="方正黑体_GBK"/>
          <w:sz w:val="32"/>
          <w:szCs w:val="32"/>
        </w:rPr>
        <w:t>第二部分 2025年度部门决算情况</w:t>
      </w:r>
      <w:r>
        <w:rPr>
          <w:rFonts w:hint="eastAsia" w:ascii="Times New Roman" w:hAnsi="Times New Roman" w:eastAsia="方正黑体_GBK"/>
          <w:sz w:val="32"/>
          <w:szCs w:val="32"/>
          <w:lang w:val="en-US" w:eastAsia="zh-CN"/>
        </w:rPr>
        <w:t>说</w:t>
      </w:r>
      <w:r>
        <w:rPr>
          <w:rFonts w:ascii="Times New Roman" w:hAnsi="Times New Roman" w:eastAsia="方正黑体_GBK"/>
          <w:sz w:val="32"/>
          <w:szCs w:val="32"/>
        </w:rPr>
        <w:t>明</w:t>
      </w:r>
      <w:r>
        <w:rPr>
          <w:rFonts w:ascii="Times New Roman" w:hAnsi="Times New Roman" w:eastAsia="黑体"/>
          <w:sz w:val="32"/>
          <w:szCs w:val="32"/>
        </w:rPr>
        <w:t>........................</w:t>
      </w:r>
      <w:r>
        <w:rPr>
          <w:rFonts w:hint="eastAsia" w:ascii="Times New Roman" w:hAnsi="Times New Roman" w:eastAsia="黑体"/>
          <w:sz w:val="32"/>
          <w:szCs w:val="32"/>
        </w:rPr>
        <w:t>..</w:t>
      </w:r>
      <w:r>
        <w:rPr>
          <w:rFonts w:ascii="Times New Roman" w:hAnsi="Times New Roman" w:eastAsia="黑体"/>
          <w:sz w:val="32"/>
          <w:szCs w:val="32"/>
        </w:rPr>
        <w:t>.5</w:t>
      </w:r>
    </w:p>
    <w:p>
      <w:pPr>
        <w:pStyle w:val="16"/>
        <w:adjustRightInd w:val="0"/>
        <w:snapToGrid w:val="0"/>
        <w:ind w:left="0" w:leftChars="0" w:firstLine="640" w:firstLineChars="200"/>
        <w:jc w:val="left"/>
        <w:rPr>
          <w:rFonts w:eastAsia="仿宋_GB2312"/>
          <w:sz w:val="32"/>
          <w:szCs w:val="32"/>
        </w:rPr>
      </w:pPr>
      <w:r>
        <w:rPr>
          <w:rFonts w:eastAsia="方正仿宋_GBK"/>
          <w:sz w:val="32"/>
          <w:szCs w:val="32"/>
        </w:rPr>
        <w:t>一、收入支出决算总体情况说明</w:t>
      </w:r>
      <w:r>
        <w:rPr>
          <w:rFonts w:eastAsia="仿宋_GB2312"/>
          <w:sz w:val="32"/>
          <w:szCs w:val="32"/>
        </w:rPr>
        <w:t>................................</w:t>
      </w:r>
      <w:r>
        <w:rPr>
          <w:rFonts w:hint="eastAsia" w:eastAsia="仿宋_GB2312"/>
          <w:sz w:val="32"/>
          <w:szCs w:val="32"/>
        </w:rPr>
        <w:t>..</w:t>
      </w:r>
      <w:r>
        <w:rPr>
          <w:rFonts w:eastAsia="仿宋_GB2312"/>
          <w:sz w:val="32"/>
          <w:szCs w:val="32"/>
        </w:rPr>
        <w:t>..</w:t>
      </w:r>
      <w:r>
        <w:rPr>
          <w:rFonts w:hint="eastAsia" w:eastAsia="仿宋_GB2312"/>
          <w:sz w:val="32"/>
          <w:szCs w:val="32"/>
        </w:rPr>
        <w:t>..</w:t>
      </w:r>
      <w:r>
        <w:rPr>
          <w:rFonts w:eastAsia="仿宋_GB2312"/>
          <w:sz w:val="32"/>
          <w:szCs w:val="32"/>
        </w:rPr>
        <w:t>.5</w:t>
      </w:r>
    </w:p>
    <w:p>
      <w:pPr>
        <w:pStyle w:val="16"/>
        <w:adjustRightInd w:val="0"/>
        <w:snapToGrid w:val="0"/>
        <w:ind w:left="0" w:leftChars="0" w:firstLine="640" w:firstLineChars="200"/>
        <w:jc w:val="left"/>
        <w:rPr>
          <w:rFonts w:eastAsia="仿宋_GB2312"/>
          <w:sz w:val="32"/>
          <w:szCs w:val="32"/>
        </w:rPr>
      </w:pPr>
      <w:r>
        <w:rPr>
          <w:rFonts w:eastAsia="方正仿宋_GBK"/>
          <w:sz w:val="32"/>
          <w:szCs w:val="32"/>
        </w:rPr>
        <w:t>二、收入决算情况说明</w:t>
      </w:r>
      <w:r>
        <w:rPr>
          <w:rFonts w:eastAsia="仿宋_GB2312"/>
          <w:sz w:val="32"/>
          <w:szCs w:val="32"/>
        </w:rPr>
        <w:t>.................................................</w:t>
      </w:r>
      <w:r>
        <w:rPr>
          <w:rFonts w:hint="eastAsia" w:eastAsia="仿宋_GB2312"/>
          <w:sz w:val="32"/>
          <w:szCs w:val="32"/>
        </w:rPr>
        <w:t>....</w:t>
      </w:r>
      <w:r>
        <w:rPr>
          <w:rFonts w:eastAsia="仿宋_GB2312"/>
          <w:sz w:val="32"/>
          <w:szCs w:val="32"/>
        </w:rPr>
        <w:t>..5</w:t>
      </w:r>
    </w:p>
    <w:p>
      <w:pPr>
        <w:pStyle w:val="16"/>
        <w:adjustRightInd w:val="0"/>
        <w:snapToGrid w:val="0"/>
        <w:ind w:left="0" w:leftChars="0" w:firstLine="640" w:firstLineChars="200"/>
        <w:jc w:val="left"/>
        <w:rPr>
          <w:rFonts w:eastAsia="仿宋_GB2312"/>
          <w:sz w:val="32"/>
          <w:szCs w:val="32"/>
        </w:rPr>
      </w:pPr>
      <w:r>
        <w:rPr>
          <w:rFonts w:eastAsia="方正仿宋_GBK"/>
          <w:sz w:val="32"/>
          <w:szCs w:val="32"/>
        </w:rPr>
        <w:t>三、支出决算情况说明</w:t>
      </w:r>
      <w:r>
        <w:rPr>
          <w:rFonts w:eastAsia="仿宋_GB2312"/>
          <w:sz w:val="32"/>
          <w:szCs w:val="32"/>
        </w:rPr>
        <w:t>.................................................</w:t>
      </w:r>
      <w:r>
        <w:rPr>
          <w:rFonts w:hint="eastAsia" w:eastAsia="仿宋_GB2312"/>
          <w:sz w:val="32"/>
          <w:szCs w:val="32"/>
        </w:rPr>
        <w:t>...</w:t>
      </w:r>
      <w:r>
        <w:rPr>
          <w:rFonts w:eastAsia="仿宋_GB2312"/>
          <w:sz w:val="32"/>
          <w:szCs w:val="32"/>
        </w:rPr>
        <w:t>...6</w:t>
      </w:r>
    </w:p>
    <w:p>
      <w:pPr>
        <w:pStyle w:val="16"/>
        <w:adjustRightInd w:val="0"/>
        <w:snapToGrid w:val="0"/>
        <w:ind w:left="0" w:leftChars="0" w:firstLine="640" w:firstLineChars="200"/>
        <w:jc w:val="left"/>
        <w:rPr>
          <w:rFonts w:eastAsia="仿宋_GB2312"/>
          <w:sz w:val="32"/>
          <w:szCs w:val="32"/>
        </w:rPr>
      </w:pPr>
      <w:r>
        <w:rPr>
          <w:rFonts w:eastAsia="方正仿宋_GBK"/>
          <w:sz w:val="32"/>
          <w:szCs w:val="32"/>
        </w:rPr>
        <w:t>四、财政拨款收入支出决算总体情况说明</w:t>
      </w:r>
      <w:r>
        <w:rPr>
          <w:rFonts w:eastAsia="仿宋_GB2312"/>
          <w:sz w:val="32"/>
          <w:szCs w:val="32"/>
        </w:rPr>
        <w:t>.................</w:t>
      </w:r>
      <w:r>
        <w:rPr>
          <w:rFonts w:hint="eastAsia" w:eastAsia="仿宋_GB2312"/>
          <w:sz w:val="32"/>
          <w:szCs w:val="32"/>
        </w:rPr>
        <w:t>...</w:t>
      </w:r>
      <w:r>
        <w:rPr>
          <w:rFonts w:eastAsia="仿宋_GB2312"/>
          <w:sz w:val="32"/>
          <w:szCs w:val="32"/>
        </w:rPr>
        <w:t>...</w:t>
      </w:r>
      <w:r>
        <w:rPr>
          <w:rFonts w:hint="eastAsia" w:eastAsia="仿宋_GB2312"/>
          <w:sz w:val="32"/>
          <w:szCs w:val="32"/>
        </w:rPr>
        <w:t>6</w:t>
      </w:r>
    </w:p>
    <w:p>
      <w:pPr>
        <w:pStyle w:val="16"/>
        <w:adjustRightInd w:val="0"/>
        <w:snapToGrid w:val="0"/>
        <w:ind w:left="0" w:leftChars="0" w:firstLine="640" w:firstLineChars="200"/>
        <w:jc w:val="left"/>
        <w:rPr>
          <w:rFonts w:eastAsia="仿宋_GB2312"/>
          <w:sz w:val="32"/>
          <w:szCs w:val="32"/>
        </w:rPr>
      </w:pPr>
      <w:r>
        <w:rPr>
          <w:rFonts w:eastAsia="方正仿宋_GBK"/>
          <w:sz w:val="32"/>
          <w:szCs w:val="32"/>
        </w:rPr>
        <w:t>五、一般公共预算财政拨款支出决算情况说明</w:t>
      </w:r>
      <w:r>
        <w:rPr>
          <w:rFonts w:eastAsia="仿宋_GB2312"/>
          <w:sz w:val="32"/>
          <w:szCs w:val="32"/>
        </w:rPr>
        <w:t>...........</w:t>
      </w:r>
      <w:r>
        <w:rPr>
          <w:rFonts w:hint="eastAsia" w:eastAsia="仿宋_GB2312"/>
          <w:sz w:val="32"/>
          <w:szCs w:val="32"/>
        </w:rPr>
        <w:t>..</w:t>
      </w:r>
      <w:r>
        <w:rPr>
          <w:rFonts w:eastAsia="仿宋_GB2312"/>
          <w:sz w:val="32"/>
          <w:szCs w:val="32"/>
        </w:rPr>
        <w:t>..7</w:t>
      </w:r>
    </w:p>
    <w:p>
      <w:pPr>
        <w:pStyle w:val="16"/>
        <w:adjustRightInd w:val="0"/>
        <w:snapToGrid w:val="0"/>
        <w:ind w:left="0" w:leftChars="0" w:firstLine="640" w:firstLineChars="200"/>
        <w:jc w:val="left"/>
        <w:rPr>
          <w:rFonts w:eastAsia="仿宋_GB2312"/>
          <w:sz w:val="32"/>
          <w:szCs w:val="32"/>
        </w:rPr>
      </w:pPr>
      <w:r>
        <w:rPr>
          <w:rFonts w:eastAsia="方正仿宋_GBK"/>
          <w:sz w:val="32"/>
          <w:szCs w:val="32"/>
        </w:rPr>
        <w:t>六、一般公共预算财政拨款基本支出决算情况说明</w:t>
      </w:r>
      <w:r>
        <w:rPr>
          <w:rFonts w:eastAsia="仿宋_GB2312"/>
          <w:sz w:val="32"/>
          <w:szCs w:val="32"/>
        </w:rPr>
        <w:t>..</w:t>
      </w:r>
      <w:r>
        <w:rPr>
          <w:rFonts w:hint="eastAsia" w:eastAsia="仿宋_GB2312"/>
          <w:sz w:val="32"/>
          <w:szCs w:val="32"/>
        </w:rPr>
        <w:t>...</w:t>
      </w:r>
      <w:r>
        <w:rPr>
          <w:rFonts w:eastAsia="仿宋_GB2312"/>
          <w:sz w:val="32"/>
          <w:szCs w:val="32"/>
        </w:rPr>
        <w:t>..</w:t>
      </w:r>
      <w:r>
        <w:rPr>
          <w:rFonts w:hint="eastAsia" w:eastAsia="仿宋_GB2312"/>
          <w:sz w:val="32"/>
          <w:szCs w:val="32"/>
        </w:rPr>
        <w:t>9</w:t>
      </w:r>
    </w:p>
    <w:p>
      <w:pPr>
        <w:pStyle w:val="16"/>
        <w:adjustRightInd w:val="0"/>
        <w:snapToGrid w:val="0"/>
        <w:ind w:left="0" w:leftChars="0" w:firstLine="640" w:firstLineChars="200"/>
        <w:jc w:val="left"/>
        <w:rPr>
          <w:rFonts w:eastAsia="方正仿宋_GBK"/>
          <w:sz w:val="32"/>
          <w:szCs w:val="32"/>
        </w:rPr>
      </w:pPr>
      <w:r>
        <w:rPr>
          <w:rFonts w:eastAsia="方正仿宋_GBK"/>
          <w:sz w:val="32"/>
          <w:szCs w:val="32"/>
        </w:rPr>
        <w:t>七、财政拨款“三公”经费支出决算情况说明..............</w:t>
      </w:r>
      <w:r>
        <w:rPr>
          <w:rFonts w:hint="eastAsia" w:eastAsia="方正仿宋_GBK"/>
          <w:sz w:val="32"/>
          <w:szCs w:val="32"/>
        </w:rPr>
        <w:t>...</w:t>
      </w:r>
      <w:r>
        <w:rPr>
          <w:rFonts w:eastAsia="方正仿宋_GBK"/>
          <w:sz w:val="32"/>
          <w:szCs w:val="32"/>
        </w:rPr>
        <w:t>.</w:t>
      </w:r>
      <w:r>
        <w:rPr>
          <w:rFonts w:hint="eastAsia" w:eastAsia="方正仿宋_GBK"/>
          <w:sz w:val="32"/>
          <w:szCs w:val="32"/>
        </w:rPr>
        <w:t>10</w:t>
      </w:r>
    </w:p>
    <w:p>
      <w:pPr>
        <w:pStyle w:val="16"/>
        <w:adjustRightInd w:val="0"/>
        <w:snapToGrid w:val="0"/>
        <w:ind w:left="0" w:leftChars="0" w:firstLine="640" w:firstLineChars="200"/>
        <w:jc w:val="left"/>
        <w:rPr>
          <w:rFonts w:eastAsia="方正仿宋_GBK"/>
          <w:sz w:val="32"/>
          <w:szCs w:val="32"/>
        </w:rPr>
      </w:pPr>
      <w:r>
        <w:rPr>
          <w:rFonts w:eastAsia="方正仿宋_GBK"/>
          <w:sz w:val="32"/>
          <w:szCs w:val="32"/>
        </w:rPr>
        <w:t>八、政府性基金预算支出决算情况说明....................</w:t>
      </w:r>
      <w:r>
        <w:rPr>
          <w:rFonts w:hint="eastAsia" w:eastAsia="方正仿宋_GBK"/>
          <w:sz w:val="32"/>
          <w:szCs w:val="32"/>
        </w:rPr>
        <w:t>....</w:t>
      </w:r>
      <w:r>
        <w:rPr>
          <w:rFonts w:eastAsia="方正仿宋_GBK"/>
          <w:sz w:val="32"/>
          <w:szCs w:val="32"/>
        </w:rPr>
        <w:t>.1</w:t>
      </w:r>
      <w:r>
        <w:rPr>
          <w:rFonts w:hint="eastAsia" w:eastAsia="方正仿宋_GBK"/>
          <w:sz w:val="32"/>
          <w:szCs w:val="32"/>
        </w:rPr>
        <w:t>1</w:t>
      </w:r>
    </w:p>
    <w:p>
      <w:pPr>
        <w:pStyle w:val="16"/>
        <w:adjustRightInd w:val="0"/>
        <w:snapToGrid w:val="0"/>
        <w:ind w:left="0" w:leftChars="0" w:firstLine="640" w:firstLineChars="200"/>
        <w:jc w:val="left"/>
        <w:rPr>
          <w:rFonts w:eastAsia="方正仿宋_GBK"/>
          <w:sz w:val="32"/>
          <w:szCs w:val="32"/>
        </w:rPr>
      </w:pPr>
      <w:r>
        <w:rPr>
          <w:rFonts w:eastAsia="方正仿宋_GBK"/>
          <w:sz w:val="32"/>
          <w:szCs w:val="32"/>
        </w:rPr>
        <w:t>九、国有资本经营预算支出决算情况说明.................</w:t>
      </w:r>
      <w:r>
        <w:rPr>
          <w:rFonts w:hint="eastAsia" w:eastAsia="方正仿宋_GBK"/>
          <w:sz w:val="32"/>
          <w:szCs w:val="32"/>
        </w:rPr>
        <w:t>...</w:t>
      </w:r>
      <w:r>
        <w:rPr>
          <w:rFonts w:eastAsia="方正仿宋_GBK"/>
          <w:sz w:val="32"/>
          <w:szCs w:val="32"/>
        </w:rPr>
        <w:t>.1</w:t>
      </w:r>
      <w:r>
        <w:rPr>
          <w:rFonts w:hint="eastAsia" w:eastAsia="方正仿宋_GBK"/>
          <w:sz w:val="32"/>
          <w:szCs w:val="32"/>
        </w:rPr>
        <w:t>1</w:t>
      </w:r>
    </w:p>
    <w:p>
      <w:pPr>
        <w:pStyle w:val="16"/>
        <w:adjustRightInd w:val="0"/>
        <w:snapToGrid w:val="0"/>
        <w:ind w:left="0" w:leftChars="0" w:firstLine="640" w:firstLineChars="200"/>
        <w:jc w:val="left"/>
        <w:rPr>
          <w:rFonts w:eastAsia="方正仿宋_GBK"/>
          <w:sz w:val="32"/>
          <w:szCs w:val="32"/>
        </w:rPr>
      </w:pPr>
      <w:r>
        <w:rPr>
          <w:rFonts w:eastAsia="方正仿宋_GBK"/>
          <w:sz w:val="32"/>
          <w:szCs w:val="32"/>
        </w:rPr>
        <w:t>十、其他重要事项的情况说明......................................</w:t>
      </w:r>
      <w:r>
        <w:rPr>
          <w:rFonts w:hint="eastAsia" w:eastAsia="方正仿宋_GBK"/>
          <w:sz w:val="32"/>
          <w:szCs w:val="32"/>
        </w:rPr>
        <w:t>.</w:t>
      </w:r>
      <w:r>
        <w:rPr>
          <w:rFonts w:eastAsia="方正仿宋_GBK"/>
          <w:sz w:val="32"/>
          <w:szCs w:val="32"/>
        </w:rPr>
        <w:t>..1</w:t>
      </w:r>
      <w:r>
        <w:rPr>
          <w:rFonts w:hint="eastAsia" w:eastAsia="方正仿宋_GBK"/>
          <w:sz w:val="32"/>
          <w:szCs w:val="32"/>
        </w:rPr>
        <w:t>1</w:t>
      </w:r>
    </w:p>
    <w:p>
      <w:pPr>
        <w:pStyle w:val="14"/>
        <w:adjustRightInd w:val="0"/>
        <w:snapToGrid w:val="0"/>
        <w:spacing w:before="0"/>
        <w:ind w:firstLine="640" w:firstLineChars="200"/>
        <w:jc w:val="both"/>
        <w:rPr>
          <w:rFonts w:ascii="Times New Roman" w:hAnsi="Times New Roman" w:eastAsia="黑体"/>
          <w:sz w:val="32"/>
          <w:szCs w:val="32"/>
        </w:rPr>
      </w:pPr>
      <w:r>
        <w:rPr>
          <w:rFonts w:ascii="Times New Roman" w:hAnsi="Times New Roman" w:eastAsia="方正黑体_GBK"/>
          <w:sz w:val="32"/>
          <w:szCs w:val="32"/>
        </w:rPr>
        <w:t>第三部分 名词解释................................................</w:t>
      </w:r>
      <w:r>
        <w:rPr>
          <w:rFonts w:hint="eastAsia" w:ascii="Times New Roman" w:hAnsi="Times New Roman" w:eastAsia="方正黑体_GBK"/>
          <w:sz w:val="32"/>
          <w:szCs w:val="32"/>
        </w:rPr>
        <w:t>..</w:t>
      </w:r>
      <w:r>
        <w:rPr>
          <w:rFonts w:ascii="Times New Roman" w:hAnsi="Times New Roman" w:eastAsia="方正黑体_GBK"/>
          <w:sz w:val="32"/>
          <w:szCs w:val="32"/>
        </w:rPr>
        <w:t>.......</w:t>
      </w:r>
      <w:r>
        <w:rPr>
          <w:rFonts w:ascii="Times New Roman" w:hAnsi="Times New Roman" w:eastAsia="黑体"/>
          <w:sz w:val="32"/>
          <w:szCs w:val="32"/>
        </w:rPr>
        <w:t>1</w:t>
      </w:r>
      <w:r>
        <w:rPr>
          <w:rFonts w:hint="eastAsia" w:ascii="Times New Roman" w:hAnsi="Times New Roman" w:eastAsia="黑体"/>
          <w:sz w:val="32"/>
          <w:szCs w:val="32"/>
        </w:rPr>
        <w:t>3</w:t>
      </w:r>
    </w:p>
    <w:p>
      <w:pPr>
        <w:pStyle w:val="14"/>
        <w:adjustRightInd w:val="0"/>
        <w:snapToGrid w:val="0"/>
        <w:spacing w:before="0"/>
        <w:ind w:firstLine="640" w:firstLineChars="200"/>
        <w:jc w:val="both"/>
        <w:rPr>
          <w:rFonts w:ascii="Times New Roman" w:hAnsi="Times New Roman" w:eastAsia="黑体"/>
          <w:sz w:val="32"/>
          <w:szCs w:val="32"/>
        </w:rPr>
      </w:pPr>
      <w:r>
        <w:rPr>
          <w:rFonts w:ascii="Times New Roman" w:hAnsi="Times New Roman" w:eastAsia="方正黑体_GBK"/>
          <w:sz w:val="32"/>
          <w:szCs w:val="32"/>
        </w:rPr>
        <w:t>第四部分 附件</w:t>
      </w:r>
      <w:r>
        <w:rPr>
          <w:rFonts w:ascii="Times New Roman" w:hAnsi="Times New Roman" w:eastAsia="黑体"/>
          <w:sz w:val="32"/>
          <w:szCs w:val="32"/>
        </w:rPr>
        <w:t>......................................................</w:t>
      </w:r>
      <w:r>
        <w:rPr>
          <w:rFonts w:hint="eastAsia" w:ascii="Times New Roman" w:hAnsi="Times New Roman" w:eastAsia="黑体"/>
          <w:sz w:val="32"/>
          <w:szCs w:val="32"/>
        </w:rPr>
        <w:t>...</w:t>
      </w:r>
      <w:r>
        <w:rPr>
          <w:rFonts w:ascii="Times New Roman" w:hAnsi="Times New Roman" w:eastAsia="黑体"/>
          <w:sz w:val="32"/>
          <w:szCs w:val="32"/>
        </w:rPr>
        <w:t>........</w:t>
      </w:r>
      <w:r>
        <w:rPr>
          <w:rFonts w:hint="eastAsia" w:ascii="Times New Roman" w:hAnsi="Times New Roman" w:eastAsia="黑体"/>
          <w:sz w:val="32"/>
          <w:szCs w:val="32"/>
        </w:rPr>
        <w:t>16</w:t>
      </w:r>
    </w:p>
    <w:p>
      <w:pPr>
        <w:pStyle w:val="14"/>
        <w:adjustRightInd w:val="0"/>
        <w:snapToGrid w:val="0"/>
        <w:spacing w:before="0"/>
        <w:ind w:firstLine="640" w:firstLineChars="200"/>
        <w:jc w:val="both"/>
        <w:rPr>
          <w:rFonts w:ascii="Times New Roman" w:hAnsi="Times New Roman" w:eastAsia="黑体"/>
          <w:sz w:val="32"/>
          <w:szCs w:val="32"/>
        </w:rPr>
      </w:pPr>
      <w:r>
        <w:rPr>
          <w:rFonts w:ascii="Times New Roman" w:hAnsi="Times New Roman" w:eastAsia="方正黑体_GBK"/>
          <w:sz w:val="32"/>
          <w:szCs w:val="32"/>
        </w:rPr>
        <w:t>第五部分 附表</w:t>
      </w:r>
      <w:r>
        <w:rPr>
          <w:rFonts w:ascii="Times New Roman" w:hAnsi="Times New Roman" w:eastAsia="黑体"/>
          <w:sz w:val="32"/>
          <w:szCs w:val="32"/>
        </w:rPr>
        <w:t>......................................................</w:t>
      </w:r>
      <w:r>
        <w:rPr>
          <w:rFonts w:hint="eastAsia" w:ascii="Times New Roman" w:hAnsi="Times New Roman" w:eastAsia="黑体"/>
          <w:sz w:val="32"/>
          <w:szCs w:val="32"/>
        </w:rPr>
        <w:t>...</w:t>
      </w:r>
      <w:r>
        <w:rPr>
          <w:rFonts w:ascii="Times New Roman" w:hAnsi="Times New Roman" w:eastAsia="黑体"/>
          <w:sz w:val="32"/>
          <w:szCs w:val="32"/>
        </w:rPr>
        <w:t>........</w:t>
      </w:r>
      <w:r>
        <w:rPr>
          <w:rFonts w:hint="eastAsia" w:ascii="Times New Roman" w:hAnsi="Times New Roman" w:eastAsia="黑体"/>
          <w:sz w:val="32"/>
          <w:szCs w:val="32"/>
        </w:rPr>
        <w:t>52</w:t>
      </w:r>
    </w:p>
    <w:p>
      <w:pPr>
        <w:widowControl/>
        <w:spacing w:line="0" w:lineRule="atLeast"/>
        <w:ind w:firstLine="643" w:firstLineChars="200"/>
        <w:jc w:val="center"/>
        <w:rPr>
          <w:rStyle w:val="31"/>
          <w:rFonts w:eastAsia="方正小标宋_GBK"/>
          <w:b w:val="0"/>
          <w:bCs w:val="0"/>
        </w:rPr>
      </w:pPr>
      <w:bookmarkStart w:id="7" w:name="_Toc15377196"/>
      <w:bookmarkStart w:id="8" w:name="_Toc15396599"/>
      <w:r>
        <w:rPr>
          <w:rFonts w:eastAsia="仿宋_GB2312"/>
          <w:b/>
          <w:sz w:val="32"/>
          <w:szCs w:val="32"/>
        </w:rPr>
        <w:br w:type="page"/>
      </w:r>
      <w:r>
        <w:rPr>
          <w:rFonts w:eastAsia="方正小标宋_GBK"/>
          <w:sz w:val="44"/>
          <w:szCs w:val="44"/>
        </w:rPr>
        <w:t xml:space="preserve">第一部分  </w:t>
      </w:r>
      <w:r>
        <w:rPr>
          <w:rStyle w:val="31"/>
          <w:rFonts w:eastAsia="方正小标宋_GBK"/>
          <w:b w:val="0"/>
          <w:bCs w:val="0"/>
        </w:rPr>
        <w:t>部门概况</w:t>
      </w:r>
      <w:bookmarkEnd w:id="7"/>
      <w:bookmarkEnd w:id="8"/>
    </w:p>
    <w:p>
      <w:pPr>
        <w:widowControl/>
        <w:spacing w:line="0" w:lineRule="atLeast"/>
        <w:ind w:firstLine="640" w:firstLineChars="200"/>
        <w:rPr>
          <w:rStyle w:val="31"/>
          <w:rFonts w:eastAsia="方正小标宋_GBK"/>
          <w:b w:val="0"/>
          <w:bCs w:val="0"/>
          <w:sz w:val="32"/>
          <w:szCs w:val="32"/>
        </w:rPr>
      </w:pPr>
    </w:p>
    <w:p>
      <w:pPr>
        <w:widowControl/>
        <w:adjustRightInd w:val="0"/>
        <w:snapToGrid w:val="0"/>
        <w:ind w:firstLine="640" w:firstLineChars="200"/>
        <w:jc w:val="left"/>
        <w:rPr>
          <w:rFonts w:eastAsia="方正黑体_GBK"/>
          <w:sz w:val="32"/>
          <w:szCs w:val="32"/>
        </w:rPr>
      </w:pPr>
      <w:r>
        <w:rPr>
          <w:rFonts w:eastAsia="方正黑体_GBK"/>
          <w:sz w:val="32"/>
          <w:szCs w:val="32"/>
        </w:rPr>
        <w:t>一、部门职责</w:t>
      </w:r>
    </w:p>
    <w:p>
      <w:pPr>
        <w:adjustRightInd w:val="0"/>
        <w:snapToGrid w:val="0"/>
        <w:ind w:firstLine="640" w:firstLineChars="200"/>
        <w:rPr>
          <w:rFonts w:eastAsia="方正仿宋_GBK"/>
          <w:sz w:val="32"/>
          <w:szCs w:val="32"/>
        </w:rPr>
      </w:pPr>
      <w:r>
        <w:rPr>
          <w:rFonts w:eastAsia="方正仿宋_GBK"/>
          <w:sz w:val="32"/>
          <w:szCs w:val="32"/>
        </w:rPr>
        <w:t>1.贯彻落实国家、省、市基本医疗保险、生育保险政策、法律和法规，并按照市医疗保障管理局的安排组织实施，参与拟订相关实施办法；</w:t>
      </w:r>
    </w:p>
    <w:p>
      <w:pPr>
        <w:adjustRightInd w:val="0"/>
        <w:snapToGrid w:val="0"/>
        <w:ind w:firstLine="640" w:firstLineChars="200"/>
        <w:rPr>
          <w:rFonts w:eastAsia="方正仿宋_GBK"/>
          <w:sz w:val="32"/>
          <w:szCs w:val="32"/>
        </w:rPr>
      </w:pPr>
      <w:r>
        <w:rPr>
          <w:rFonts w:eastAsia="方正仿宋_GBK"/>
          <w:sz w:val="32"/>
          <w:szCs w:val="32"/>
        </w:rPr>
        <w:t>2.负责城镇职工基本医疗保险、城乡居民基本医疗保险参保缴费、医疗待遇审核及支付工作；</w:t>
      </w:r>
    </w:p>
    <w:p>
      <w:pPr>
        <w:adjustRightInd w:val="0"/>
        <w:snapToGrid w:val="0"/>
        <w:ind w:firstLine="640" w:firstLineChars="200"/>
        <w:rPr>
          <w:rFonts w:eastAsia="方正仿宋_GBK"/>
          <w:sz w:val="32"/>
          <w:szCs w:val="32"/>
        </w:rPr>
      </w:pPr>
      <w:r>
        <w:rPr>
          <w:rFonts w:eastAsia="方正仿宋_GBK"/>
          <w:sz w:val="32"/>
          <w:szCs w:val="32"/>
        </w:rPr>
        <w:t>3.负责全市基本医疗保险、生育保险有关经办管理工作，对各县（区）、基层劳动保障所（站）及社区医疗服务机构开展基本医疗、生育保险经办业务进行指导和考核；</w:t>
      </w:r>
    </w:p>
    <w:p>
      <w:pPr>
        <w:adjustRightInd w:val="0"/>
        <w:snapToGrid w:val="0"/>
        <w:ind w:firstLine="640" w:firstLineChars="200"/>
        <w:rPr>
          <w:rFonts w:eastAsia="方正仿宋_GBK"/>
          <w:sz w:val="32"/>
          <w:szCs w:val="32"/>
        </w:rPr>
      </w:pPr>
      <w:r>
        <w:rPr>
          <w:rFonts w:eastAsia="方正仿宋_GBK"/>
          <w:sz w:val="32"/>
          <w:szCs w:val="32"/>
        </w:rPr>
        <w:t>4.负责对全市医疗、生育和城乡居民医疗保险支付情况的稽核</w:t>
      </w:r>
      <w:r>
        <w:rPr>
          <w:rFonts w:hint="eastAsia" w:eastAsia="方正仿宋_GBK"/>
          <w:sz w:val="32"/>
          <w:szCs w:val="32"/>
        </w:rPr>
        <w:t>，</w:t>
      </w:r>
      <w:r>
        <w:rPr>
          <w:rFonts w:eastAsia="方正仿宋_GBK"/>
          <w:sz w:val="32"/>
          <w:szCs w:val="32"/>
        </w:rPr>
        <w:t>对定点医药机构进行监督管理和考核；</w:t>
      </w:r>
    </w:p>
    <w:p>
      <w:pPr>
        <w:adjustRightInd w:val="0"/>
        <w:snapToGrid w:val="0"/>
        <w:ind w:firstLine="640" w:firstLineChars="200"/>
        <w:rPr>
          <w:rFonts w:eastAsia="方正仿宋_GBK"/>
          <w:sz w:val="32"/>
          <w:szCs w:val="32"/>
        </w:rPr>
      </w:pPr>
      <w:r>
        <w:rPr>
          <w:rFonts w:eastAsia="方正仿宋_GBK"/>
          <w:sz w:val="32"/>
          <w:szCs w:val="32"/>
        </w:rPr>
        <w:t>5.按照协议对基本医疗保险、生育保险定点医疗机构，定点零售药店执行保险政策规定和为参保病员提供医疗服务的情况进行监督管理；</w:t>
      </w:r>
    </w:p>
    <w:p>
      <w:pPr>
        <w:adjustRightInd w:val="0"/>
        <w:snapToGrid w:val="0"/>
        <w:ind w:firstLine="640" w:firstLineChars="200"/>
        <w:rPr>
          <w:rFonts w:eastAsia="方正仿宋_GBK"/>
          <w:sz w:val="32"/>
          <w:szCs w:val="32"/>
        </w:rPr>
      </w:pPr>
      <w:r>
        <w:rPr>
          <w:rFonts w:eastAsia="方正仿宋_GBK"/>
          <w:sz w:val="32"/>
          <w:szCs w:val="32"/>
        </w:rPr>
        <w:t>6.负责本地参保人员在全省范围内异地就医和刷卡购药即时结算；负责全省异地就医人员在本地区定点医疗机构和定点零售药店发生的医疗费用审核结算和监管工作，考核当地定点医疗机构和定点零售药店的异地就医服务质量；</w:t>
      </w:r>
    </w:p>
    <w:p>
      <w:pPr>
        <w:adjustRightInd w:val="0"/>
        <w:snapToGrid w:val="0"/>
        <w:ind w:firstLine="640" w:firstLineChars="200"/>
        <w:rPr>
          <w:rFonts w:eastAsia="方正仿宋_GBK"/>
          <w:sz w:val="32"/>
          <w:szCs w:val="32"/>
        </w:rPr>
      </w:pPr>
      <w:r>
        <w:rPr>
          <w:rFonts w:eastAsia="方正仿宋_GBK"/>
          <w:sz w:val="32"/>
          <w:szCs w:val="32"/>
        </w:rPr>
        <w:t>7.负责全市疾病应急救助基金的日常管理工作，包括基金预决算，开展各类募捐活动，审核汇总各县（市、区）医保经办机构的支付申请，向市级财政部门提交用款申请；</w:t>
      </w:r>
    </w:p>
    <w:p>
      <w:pPr>
        <w:adjustRightInd w:val="0"/>
        <w:snapToGrid w:val="0"/>
        <w:ind w:firstLine="640" w:firstLineChars="200"/>
        <w:rPr>
          <w:rFonts w:eastAsia="方正仿宋_GBK"/>
          <w:sz w:val="32"/>
          <w:szCs w:val="32"/>
        </w:rPr>
      </w:pPr>
      <w:r>
        <w:rPr>
          <w:rFonts w:eastAsia="方正仿宋_GBK"/>
          <w:sz w:val="32"/>
          <w:szCs w:val="32"/>
        </w:rPr>
        <w:t>8.配合相关部门对城镇职工医疗保险、生育保险、城镇居民医保信息系统的建设、运行、升级维护和安全管理等协调工作；</w:t>
      </w:r>
    </w:p>
    <w:p>
      <w:pPr>
        <w:adjustRightInd w:val="0"/>
        <w:snapToGrid w:val="0"/>
        <w:ind w:firstLine="640" w:firstLineChars="200"/>
        <w:rPr>
          <w:rFonts w:eastAsia="方正仿宋_GBK"/>
          <w:sz w:val="32"/>
          <w:szCs w:val="32"/>
        </w:rPr>
      </w:pPr>
      <w:r>
        <w:rPr>
          <w:rFonts w:eastAsia="方正仿宋_GBK"/>
          <w:sz w:val="32"/>
          <w:szCs w:val="32"/>
        </w:rPr>
        <w:t>9.指导县（区）、企业做好医疗保险和补充医疗保险经办工作；</w:t>
      </w:r>
    </w:p>
    <w:p>
      <w:pPr>
        <w:adjustRightInd w:val="0"/>
        <w:snapToGrid w:val="0"/>
        <w:ind w:firstLine="640" w:firstLineChars="200"/>
        <w:rPr>
          <w:rFonts w:eastAsia="方正仿宋_GBK"/>
          <w:sz w:val="32"/>
          <w:szCs w:val="32"/>
        </w:rPr>
      </w:pPr>
      <w:r>
        <w:rPr>
          <w:rFonts w:eastAsia="方正仿宋_GBK"/>
          <w:sz w:val="32"/>
          <w:szCs w:val="32"/>
        </w:rPr>
        <w:t>10.开展调查研究，为市政府及其相关职能部门制定和完善基本医疗保险政策提出建议意见。</w:t>
      </w:r>
    </w:p>
    <w:p>
      <w:pPr>
        <w:pStyle w:val="3"/>
        <w:adjustRightInd w:val="0"/>
        <w:snapToGrid w:val="0"/>
        <w:spacing w:before="0" w:after="0" w:line="240" w:lineRule="auto"/>
        <w:ind w:firstLine="640" w:firstLineChars="200"/>
        <w:rPr>
          <w:rStyle w:val="32"/>
          <w:rFonts w:ascii="Times New Roman" w:hAnsi="Times New Roman" w:eastAsia="方正黑体_GBK" w:cs="Times New Roman"/>
          <w:b w:val="0"/>
          <w:bCs w:val="0"/>
        </w:rPr>
      </w:pPr>
      <w:bookmarkStart w:id="9" w:name="_Toc15377200"/>
      <w:bookmarkStart w:id="10" w:name="_Toc15396601"/>
      <w:r>
        <w:rPr>
          <w:rFonts w:ascii="Times New Roman" w:hAnsi="Times New Roman" w:eastAsia="方正黑体_GBK" w:cs="Times New Roman"/>
          <w:b w:val="0"/>
        </w:rPr>
        <w:t>二、机</w:t>
      </w:r>
      <w:r>
        <w:rPr>
          <w:rStyle w:val="32"/>
          <w:rFonts w:ascii="Times New Roman" w:hAnsi="Times New Roman" w:eastAsia="方正黑体_GBK" w:cs="Times New Roman"/>
          <w:b w:val="0"/>
          <w:bCs w:val="0"/>
        </w:rPr>
        <w:t>构设置</w:t>
      </w:r>
      <w:bookmarkEnd w:id="9"/>
      <w:bookmarkEnd w:id="10"/>
    </w:p>
    <w:p>
      <w:pPr>
        <w:pStyle w:val="6"/>
        <w:adjustRightInd w:val="0"/>
        <w:snapToGrid w:val="0"/>
        <w:spacing w:beforeLines="0"/>
        <w:ind w:firstLine="640" w:firstLineChars="200"/>
        <w:outlineLvl w:val="2"/>
        <w:rPr>
          <w:rFonts w:ascii="Times New Roman" w:eastAsia="方正仿宋_GBK"/>
          <w:kern w:val="2"/>
          <w:sz w:val="32"/>
          <w:szCs w:val="32"/>
        </w:rPr>
      </w:pPr>
      <w:r>
        <w:rPr>
          <w:rFonts w:ascii="Times New Roman" w:eastAsia="方正仿宋_GBK"/>
          <w:kern w:val="2"/>
          <w:sz w:val="32"/>
          <w:szCs w:val="32"/>
        </w:rPr>
        <w:t>攀枝花市医疗保障事务中心属参照公务员法管理的事业单位，无下属二级单位。</w:t>
      </w:r>
    </w:p>
    <w:p>
      <w:pPr>
        <w:widowControl/>
        <w:numPr>
          <w:ilvl w:val="0"/>
          <w:numId w:val="1"/>
        </w:numPr>
        <w:spacing w:line="0" w:lineRule="atLeast"/>
        <w:ind w:firstLine="640" w:firstLineChars="200"/>
        <w:jc w:val="left"/>
        <w:rPr>
          <w:rFonts w:eastAsia="方正小标宋_GBK"/>
          <w:sz w:val="44"/>
          <w:szCs w:val="44"/>
        </w:rPr>
      </w:pPr>
      <w:r>
        <w:rPr>
          <w:rFonts w:eastAsia="方正仿宋_GBK"/>
          <w:sz w:val="32"/>
          <w:szCs w:val="32"/>
        </w:rPr>
        <w:br w:type="page"/>
      </w:r>
      <w:bookmarkStart w:id="11" w:name="_Toc15377204"/>
      <w:bookmarkStart w:id="12" w:name="_Toc15396602"/>
      <w:r>
        <w:rPr>
          <w:rFonts w:eastAsia="方正小标宋_GBK"/>
          <w:sz w:val="44"/>
          <w:szCs w:val="44"/>
        </w:rPr>
        <w:t xml:space="preserve"> 2025年度部门决算情况说明</w:t>
      </w:r>
      <w:bookmarkEnd w:id="11"/>
      <w:bookmarkEnd w:id="12"/>
    </w:p>
    <w:p>
      <w:pPr>
        <w:pStyle w:val="30"/>
        <w:adjustRightInd w:val="0"/>
        <w:snapToGrid w:val="0"/>
        <w:ind w:firstLine="640"/>
        <w:outlineLvl w:val="1"/>
        <w:rPr>
          <w:rFonts w:eastAsia="方正黑体_GBK"/>
          <w:sz w:val="32"/>
          <w:szCs w:val="32"/>
        </w:rPr>
      </w:pPr>
      <w:bookmarkStart w:id="13" w:name="_Toc15396603"/>
      <w:bookmarkStart w:id="14" w:name="_Toc15377205"/>
    </w:p>
    <w:p>
      <w:pPr>
        <w:pStyle w:val="30"/>
        <w:adjustRightInd w:val="0"/>
        <w:snapToGrid w:val="0"/>
        <w:ind w:firstLine="640"/>
        <w:outlineLvl w:val="1"/>
        <w:rPr>
          <w:rStyle w:val="32"/>
          <w:rFonts w:ascii="Times New Roman" w:hAnsi="Times New Roman" w:eastAsia="方正黑体_GBK" w:cs="Times New Roman"/>
          <w:b w:val="0"/>
        </w:rPr>
      </w:pPr>
      <w:r>
        <w:rPr>
          <w:rFonts w:eastAsia="方正黑体_GBK"/>
          <w:sz w:val="32"/>
          <w:szCs w:val="32"/>
        </w:rPr>
        <w:t>一、收</w:t>
      </w:r>
      <w:r>
        <w:rPr>
          <w:rStyle w:val="32"/>
          <w:rFonts w:ascii="Times New Roman" w:hAnsi="Times New Roman" w:eastAsia="方正黑体_GBK" w:cs="Times New Roman"/>
          <w:b w:val="0"/>
        </w:rPr>
        <w:t>入支出决算总体情况说明</w:t>
      </w:r>
      <w:bookmarkEnd w:id="13"/>
      <w:bookmarkEnd w:id="14"/>
    </w:p>
    <w:p>
      <w:pPr>
        <w:pStyle w:val="30"/>
        <w:adjustRightInd w:val="0"/>
        <w:snapToGrid w:val="0"/>
        <w:ind w:firstLine="640"/>
        <w:outlineLvl w:val="1"/>
        <w:rPr>
          <w:rFonts w:eastAsia="方正仿宋_GBK"/>
          <w:sz w:val="32"/>
          <w:szCs w:val="32"/>
        </w:rPr>
      </w:pPr>
      <w:bookmarkStart w:id="15" w:name="_Toc238828757"/>
      <w:bookmarkStart w:id="16" w:name="_Toc238828675"/>
      <w:bookmarkStart w:id="17" w:name="_Toc238828399"/>
      <w:r>
        <w:rPr>
          <w:rFonts w:eastAsia="方正仿宋_GBK"/>
          <w:sz w:val="32"/>
          <w:szCs w:val="32"/>
        </w:rPr>
        <w:t>2025年度收入、支出总计均为1407.72万元。与上年度相比，收入、支出总计各增加139.41万元，增长10.99%。增长原因</w:t>
      </w:r>
      <w:r>
        <w:rPr>
          <w:rFonts w:hint="eastAsia" w:eastAsia="方正仿宋_GBK"/>
          <w:sz w:val="32"/>
          <w:szCs w:val="32"/>
        </w:rPr>
        <w:t>为：</w:t>
      </w:r>
      <w:r>
        <w:rPr>
          <w:rFonts w:eastAsia="方正仿宋_GBK"/>
          <w:sz w:val="32"/>
          <w:szCs w:val="32"/>
        </w:rPr>
        <w:t>2025年人员经费较上年增加47万元，</w:t>
      </w:r>
      <w:bookmarkEnd w:id="15"/>
      <w:bookmarkEnd w:id="16"/>
      <w:bookmarkEnd w:id="17"/>
      <w:r>
        <w:rPr>
          <w:rFonts w:eastAsia="方正仿宋_GBK"/>
          <w:sz w:val="32"/>
          <w:szCs w:val="32"/>
        </w:rPr>
        <w:t>攀枝花市基本医疗保险按疾病诊断相关分组结合点数法付费应用软件系统暨医保基金第三方支付评审</w:t>
      </w:r>
      <w:r>
        <w:rPr>
          <w:rFonts w:hint="eastAsia" w:eastAsia="方正仿宋_GBK"/>
          <w:sz w:val="32"/>
          <w:szCs w:val="32"/>
        </w:rPr>
        <w:t>（以下简称</w:t>
      </w:r>
      <w:r>
        <w:rPr>
          <w:rFonts w:eastAsia="方正仿宋_GBK"/>
          <w:sz w:val="32"/>
          <w:szCs w:val="32"/>
        </w:rPr>
        <w:t>DRG</w:t>
      </w:r>
      <w:r>
        <w:rPr>
          <w:rFonts w:hint="eastAsia" w:eastAsia="方正仿宋_GBK"/>
          <w:sz w:val="32"/>
          <w:szCs w:val="32"/>
        </w:rPr>
        <w:t>）</w:t>
      </w:r>
      <w:r>
        <w:rPr>
          <w:rFonts w:eastAsia="方正仿宋_GBK"/>
          <w:sz w:val="32"/>
          <w:szCs w:val="32"/>
        </w:rPr>
        <w:t>项目预算</w:t>
      </w:r>
      <w:r>
        <w:rPr>
          <w:rFonts w:hint="eastAsia" w:eastAsia="方正仿宋_GBK"/>
          <w:sz w:val="32"/>
          <w:szCs w:val="32"/>
        </w:rPr>
        <w:t>资金</w:t>
      </w:r>
      <w:r>
        <w:rPr>
          <w:rFonts w:eastAsia="方正仿宋_GBK"/>
          <w:sz w:val="32"/>
          <w:szCs w:val="32"/>
        </w:rPr>
        <w:t>较2024年增加</w:t>
      </w:r>
      <w:r>
        <w:rPr>
          <w:rFonts w:hint="eastAsia" w:eastAsia="方正仿宋_GBK"/>
          <w:sz w:val="32"/>
          <w:szCs w:val="32"/>
        </w:rPr>
        <w:t>82.01</w:t>
      </w:r>
      <w:r>
        <w:rPr>
          <w:rFonts w:eastAsia="方正仿宋_GBK"/>
          <w:sz w:val="32"/>
          <w:szCs w:val="32"/>
        </w:rPr>
        <w:t>万元。</w:t>
      </w:r>
    </w:p>
    <w:p>
      <w:pPr>
        <w:adjustRightInd w:val="0"/>
        <w:snapToGrid w:val="0"/>
        <w:ind w:firstLine="640" w:firstLineChars="200"/>
        <w:rPr>
          <w:rFonts w:eastAsia="仿宋_GB2312"/>
          <w:sz w:val="32"/>
          <w:szCs w:val="32"/>
        </w:rPr>
      </w:pPr>
      <w:r>
        <w:rPr>
          <w:rFonts w:eastAsia="仿宋_GB2312"/>
          <w:sz w:val="32"/>
          <w:szCs w:val="32"/>
        </w:rPr>
        <w:drawing>
          <wp:inline distT="0" distB="0" distL="114300" distR="114300">
            <wp:extent cx="5256530" cy="2426970"/>
            <wp:effectExtent l="4445" t="4445" r="12065" b="52705"/>
            <wp:docPr id="1" name="图表 1" descr="7b0a202020202263686172745265734964223a20223230343732303435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pPr>
        <w:adjustRightInd w:val="0"/>
        <w:snapToGrid w:val="0"/>
        <w:ind w:firstLine="640" w:firstLineChars="200"/>
        <w:rPr>
          <w:rFonts w:eastAsia="方正仿宋_GBK"/>
          <w:sz w:val="32"/>
          <w:szCs w:val="32"/>
        </w:rPr>
      </w:pPr>
      <w:r>
        <w:rPr>
          <w:rFonts w:eastAsia="方正仿宋_GBK"/>
          <w:sz w:val="32"/>
          <w:szCs w:val="32"/>
        </w:rPr>
        <w:t>（图1：收入、支出决算总计变动情况图）（柱状图）</w:t>
      </w:r>
    </w:p>
    <w:p>
      <w:pPr>
        <w:pStyle w:val="30"/>
        <w:adjustRightInd w:val="0"/>
        <w:snapToGrid w:val="0"/>
        <w:ind w:firstLine="640"/>
        <w:outlineLvl w:val="1"/>
        <w:rPr>
          <w:rFonts w:eastAsia="方正黑体_GBK"/>
          <w:sz w:val="32"/>
          <w:szCs w:val="32"/>
        </w:rPr>
      </w:pPr>
      <w:bookmarkStart w:id="18" w:name="_Toc15377206"/>
      <w:bookmarkStart w:id="19" w:name="_Toc15396604"/>
      <w:r>
        <w:rPr>
          <w:rFonts w:eastAsia="方正黑体_GBK"/>
          <w:sz w:val="32"/>
          <w:szCs w:val="32"/>
        </w:rPr>
        <w:t>二、收入决算情况说明</w:t>
      </w:r>
      <w:bookmarkEnd w:id="18"/>
      <w:bookmarkEnd w:id="19"/>
    </w:p>
    <w:p>
      <w:pPr>
        <w:pStyle w:val="30"/>
        <w:adjustRightInd w:val="0"/>
        <w:snapToGrid w:val="0"/>
        <w:ind w:firstLine="640"/>
        <w:outlineLvl w:val="1"/>
        <w:rPr>
          <w:rFonts w:eastAsia="方正仿宋_GBK"/>
          <w:b/>
          <w:bCs/>
          <w:sz w:val="32"/>
          <w:szCs w:val="32"/>
        </w:rPr>
      </w:pPr>
      <w:bookmarkStart w:id="20" w:name="_Toc238828678"/>
      <w:bookmarkStart w:id="21" w:name="_Toc238828402"/>
      <w:bookmarkStart w:id="22" w:name="_Toc238828760"/>
      <w:r>
        <w:rPr>
          <w:rFonts w:eastAsia="方正仿宋_GBK"/>
          <w:sz w:val="32"/>
          <w:szCs w:val="32"/>
        </w:rPr>
        <w:t>2025年度本年收入合计1407.72万元，其中：一般公共预算财政拨款收入1407.72万元，占100%。</w:t>
      </w:r>
      <w:bookmarkEnd w:id="20"/>
      <w:bookmarkEnd w:id="21"/>
      <w:bookmarkEnd w:id="22"/>
    </w:p>
    <w:p>
      <w:pPr>
        <w:pStyle w:val="30"/>
        <w:adjustRightInd w:val="0"/>
        <w:snapToGrid w:val="0"/>
        <w:ind w:firstLine="640"/>
        <w:jc w:val="left"/>
        <w:outlineLvl w:val="1"/>
        <w:rPr>
          <w:rFonts w:eastAsia="方正仿宋_GBK"/>
          <w:sz w:val="32"/>
          <w:szCs w:val="32"/>
        </w:rPr>
      </w:pPr>
    </w:p>
    <w:p>
      <w:pPr>
        <w:adjustRightInd w:val="0"/>
        <w:snapToGrid w:val="0"/>
        <w:ind w:firstLine="640" w:firstLineChars="200"/>
        <w:rPr>
          <w:rFonts w:eastAsia="方正仿宋_GBK"/>
          <w:sz w:val="32"/>
          <w:szCs w:val="32"/>
        </w:rPr>
      </w:pPr>
      <w:r>
        <w:rPr>
          <w:rFonts w:eastAsia="方正仿宋_GBK"/>
          <w:sz w:val="32"/>
          <w:szCs w:val="32"/>
        </w:rPr>
        <w:drawing>
          <wp:inline distT="0" distB="0" distL="114300" distR="114300">
            <wp:extent cx="5256530" cy="2893695"/>
            <wp:effectExtent l="4445" t="4445" r="15875" b="16510"/>
            <wp:docPr id="2" name="图表 2" descr="7b0a202020202263686172745265734964223a20223230343732313936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pPr>
        <w:adjustRightInd w:val="0"/>
        <w:snapToGrid w:val="0"/>
        <w:ind w:firstLine="640" w:firstLineChars="200"/>
        <w:rPr>
          <w:rFonts w:eastAsia="方正仿宋_GBK"/>
          <w:sz w:val="32"/>
          <w:szCs w:val="32"/>
        </w:rPr>
      </w:pPr>
      <w:r>
        <w:rPr>
          <w:rFonts w:eastAsia="方正仿宋_GBK"/>
          <w:sz w:val="32"/>
          <w:szCs w:val="32"/>
        </w:rPr>
        <w:t>（图2：收入决算结构图）（饼状图）</w:t>
      </w:r>
    </w:p>
    <w:p>
      <w:pPr>
        <w:pStyle w:val="30"/>
        <w:adjustRightInd w:val="0"/>
        <w:snapToGrid w:val="0"/>
        <w:ind w:firstLine="640"/>
        <w:outlineLvl w:val="1"/>
        <w:rPr>
          <w:rStyle w:val="32"/>
          <w:rFonts w:ascii="Times New Roman" w:hAnsi="Times New Roman" w:eastAsia="方正黑体_GBK" w:cs="Times New Roman"/>
          <w:b w:val="0"/>
        </w:rPr>
      </w:pPr>
      <w:bookmarkStart w:id="23" w:name="_Toc15396605"/>
      <w:bookmarkStart w:id="24" w:name="_Toc15377207"/>
      <w:r>
        <w:rPr>
          <w:rFonts w:eastAsia="方正黑体_GBK"/>
          <w:sz w:val="32"/>
          <w:szCs w:val="32"/>
        </w:rPr>
        <w:t>三、支</w:t>
      </w:r>
      <w:r>
        <w:rPr>
          <w:rStyle w:val="32"/>
          <w:rFonts w:ascii="Times New Roman" w:hAnsi="Times New Roman" w:eastAsia="方正黑体_GBK" w:cs="Times New Roman"/>
          <w:b w:val="0"/>
        </w:rPr>
        <w:t>出决算情况说明</w:t>
      </w:r>
      <w:bookmarkEnd w:id="23"/>
      <w:bookmarkEnd w:id="24"/>
    </w:p>
    <w:p>
      <w:pPr>
        <w:pStyle w:val="30"/>
        <w:adjustRightInd w:val="0"/>
        <w:snapToGrid w:val="0"/>
        <w:ind w:firstLine="640"/>
        <w:outlineLvl w:val="1"/>
        <w:rPr>
          <w:rFonts w:eastAsia="方正仿宋_GBK"/>
          <w:sz w:val="32"/>
          <w:szCs w:val="32"/>
        </w:rPr>
      </w:pPr>
      <w:bookmarkStart w:id="25" w:name="_Toc238828681"/>
      <w:bookmarkStart w:id="26" w:name="_Toc238828405"/>
      <w:bookmarkStart w:id="27" w:name="_Toc238828763"/>
      <w:r>
        <w:rPr>
          <w:rFonts w:eastAsia="方正仿宋_GBK"/>
          <w:sz w:val="32"/>
          <w:szCs w:val="32"/>
        </w:rPr>
        <w:t>2025年度本年支出合计1407.72万元，其中：基本支出1021.47万元，占72.56%；项目支出386.25万元，占27.44%。</w:t>
      </w:r>
      <w:bookmarkEnd w:id="25"/>
      <w:bookmarkEnd w:id="26"/>
      <w:bookmarkEnd w:id="27"/>
    </w:p>
    <w:p>
      <w:pPr>
        <w:pStyle w:val="30"/>
        <w:adjustRightInd w:val="0"/>
        <w:snapToGrid w:val="0"/>
        <w:ind w:firstLine="640"/>
        <w:outlineLvl w:val="1"/>
        <w:rPr>
          <w:rFonts w:eastAsia="方正仿宋_GBK"/>
          <w:sz w:val="32"/>
          <w:szCs w:val="32"/>
        </w:rPr>
      </w:pPr>
    </w:p>
    <w:p>
      <w:pPr>
        <w:adjustRightInd w:val="0"/>
        <w:snapToGrid w:val="0"/>
        <w:ind w:firstLine="640" w:firstLineChars="200"/>
        <w:rPr>
          <w:rFonts w:eastAsia="方正仿宋_GBK"/>
          <w:sz w:val="32"/>
          <w:szCs w:val="32"/>
        </w:rPr>
      </w:pPr>
      <w:r>
        <w:rPr>
          <w:rFonts w:eastAsia="方正仿宋_GBK"/>
          <w:sz w:val="32"/>
          <w:szCs w:val="32"/>
        </w:rPr>
        <w:drawing>
          <wp:inline distT="0" distB="0" distL="114300" distR="114300">
            <wp:extent cx="5256530" cy="2988310"/>
            <wp:effectExtent l="5080" t="4445" r="11430" b="9525"/>
            <wp:docPr id="3" name="图表 3" descr="7b0a202020202263686172745265734964223a202234353338343236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pPr>
        <w:adjustRightInd w:val="0"/>
        <w:snapToGrid w:val="0"/>
        <w:ind w:firstLine="640" w:firstLineChars="200"/>
        <w:rPr>
          <w:rFonts w:eastAsia="方正仿宋_GBK"/>
          <w:sz w:val="32"/>
          <w:szCs w:val="32"/>
        </w:rPr>
      </w:pPr>
      <w:r>
        <w:rPr>
          <w:rFonts w:eastAsia="方正仿宋_GBK"/>
          <w:sz w:val="32"/>
          <w:szCs w:val="32"/>
        </w:rPr>
        <w:t>（图3：支出决算结构图）（饼状图）</w:t>
      </w:r>
    </w:p>
    <w:p>
      <w:pPr>
        <w:adjustRightInd w:val="0"/>
        <w:snapToGrid w:val="0"/>
        <w:ind w:firstLine="640" w:firstLineChars="200"/>
        <w:outlineLvl w:val="1"/>
        <w:rPr>
          <w:rStyle w:val="32"/>
          <w:rFonts w:ascii="Times New Roman" w:hAnsi="Times New Roman" w:eastAsia="方正黑体_GBK" w:cs="Times New Roman"/>
          <w:b w:val="0"/>
        </w:rPr>
      </w:pPr>
      <w:bookmarkStart w:id="28" w:name="_Toc15377208"/>
      <w:bookmarkStart w:id="29" w:name="_Toc15396606"/>
      <w:r>
        <w:rPr>
          <w:rFonts w:eastAsia="方正黑体_GBK"/>
          <w:sz w:val="32"/>
          <w:szCs w:val="32"/>
        </w:rPr>
        <w:t>四、财</w:t>
      </w:r>
      <w:r>
        <w:rPr>
          <w:rStyle w:val="32"/>
          <w:rFonts w:ascii="Times New Roman" w:hAnsi="Times New Roman" w:eastAsia="方正黑体_GBK" w:cs="Times New Roman"/>
          <w:b w:val="0"/>
        </w:rPr>
        <w:t>政拨款收入支出决算总体情况说明</w:t>
      </w:r>
      <w:bookmarkEnd w:id="28"/>
      <w:bookmarkEnd w:id="29"/>
    </w:p>
    <w:p>
      <w:pPr>
        <w:adjustRightInd w:val="0"/>
        <w:snapToGrid w:val="0"/>
        <w:ind w:firstLine="640" w:firstLineChars="200"/>
        <w:rPr>
          <w:rFonts w:eastAsia="方正仿宋_GBK"/>
          <w:sz w:val="32"/>
          <w:szCs w:val="32"/>
        </w:rPr>
      </w:pPr>
      <w:r>
        <w:rPr>
          <w:rFonts w:eastAsia="方正仿宋_GBK"/>
          <w:sz w:val="32"/>
          <w:szCs w:val="32"/>
        </w:rPr>
        <w:t>2025年度财政拨款收入、支出总计均为1407.72万元。与2024年度相比，财政拨款收入、支出总计各增加139.41万元，增长10.99%。</w:t>
      </w:r>
    </w:p>
    <w:p>
      <w:pPr>
        <w:adjustRightInd w:val="0"/>
        <w:snapToGrid w:val="0"/>
        <w:ind w:firstLine="640" w:firstLineChars="200"/>
        <w:rPr>
          <w:rFonts w:eastAsia="方正仿宋_GBK"/>
          <w:sz w:val="32"/>
          <w:szCs w:val="32"/>
        </w:rPr>
      </w:pPr>
      <w:r>
        <w:rPr>
          <w:rFonts w:eastAsia="方正仿宋_GBK"/>
          <w:sz w:val="32"/>
          <w:szCs w:val="32"/>
        </w:rPr>
        <w:drawing>
          <wp:anchor distT="0" distB="0" distL="114300" distR="114300" simplePos="0" relativeHeight="251660288" behindDoc="0" locked="0" layoutInCell="1" allowOverlap="1">
            <wp:simplePos x="0" y="0"/>
            <wp:positionH relativeFrom="column">
              <wp:posOffset>220980</wp:posOffset>
            </wp:positionH>
            <wp:positionV relativeFrom="paragraph">
              <wp:posOffset>96520</wp:posOffset>
            </wp:positionV>
            <wp:extent cx="5256530" cy="2426970"/>
            <wp:effectExtent l="4445" t="4445" r="12065" b="52705"/>
            <wp:wrapNone/>
            <wp:docPr id="12" name="图表 12" descr="7b0a202020202263686172745265734964223a20223230343732303435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pPr>
        <w:adjustRightInd w:val="0"/>
        <w:snapToGrid w:val="0"/>
        <w:ind w:firstLine="640" w:firstLineChars="200"/>
        <w:rPr>
          <w:rFonts w:eastAsia="方正仿宋_GBK"/>
          <w:sz w:val="32"/>
          <w:szCs w:val="32"/>
        </w:rPr>
      </w:pPr>
    </w:p>
    <w:p>
      <w:pPr>
        <w:adjustRightInd w:val="0"/>
        <w:snapToGrid w:val="0"/>
        <w:ind w:firstLine="640" w:firstLineChars="200"/>
        <w:rPr>
          <w:rFonts w:eastAsia="方正仿宋_GBK"/>
          <w:sz w:val="32"/>
          <w:szCs w:val="32"/>
        </w:rPr>
      </w:pPr>
    </w:p>
    <w:p>
      <w:pPr>
        <w:adjustRightInd w:val="0"/>
        <w:snapToGrid w:val="0"/>
        <w:ind w:firstLine="640" w:firstLineChars="200"/>
        <w:rPr>
          <w:rFonts w:eastAsia="方正仿宋_GBK"/>
          <w:sz w:val="32"/>
          <w:szCs w:val="32"/>
        </w:rPr>
      </w:pPr>
    </w:p>
    <w:p>
      <w:pPr>
        <w:adjustRightInd w:val="0"/>
        <w:snapToGrid w:val="0"/>
        <w:ind w:firstLine="640" w:firstLineChars="200"/>
        <w:rPr>
          <w:rFonts w:eastAsia="方正仿宋_GBK"/>
          <w:sz w:val="32"/>
          <w:szCs w:val="32"/>
        </w:rPr>
      </w:pPr>
    </w:p>
    <w:p>
      <w:pPr>
        <w:adjustRightInd w:val="0"/>
        <w:snapToGrid w:val="0"/>
        <w:ind w:firstLine="640" w:firstLineChars="200"/>
        <w:rPr>
          <w:rFonts w:eastAsia="方正仿宋_GBK"/>
          <w:sz w:val="32"/>
          <w:szCs w:val="32"/>
        </w:rPr>
      </w:pPr>
    </w:p>
    <w:p>
      <w:pPr>
        <w:adjustRightInd w:val="0"/>
        <w:snapToGrid w:val="0"/>
        <w:ind w:firstLine="640" w:firstLineChars="200"/>
        <w:rPr>
          <w:rFonts w:eastAsia="方正仿宋_GBK"/>
          <w:sz w:val="32"/>
          <w:szCs w:val="32"/>
        </w:rPr>
      </w:pPr>
    </w:p>
    <w:p>
      <w:pPr>
        <w:adjustRightInd w:val="0"/>
        <w:snapToGrid w:val="0"/>
        <w:ind w:firstLine="640" w:firstLineChars="200"/>
        <w:rPr>
          <w:rFonts w:eastAsia="方正仿宋_GBK"/>
          <w:sz w:val="32"/>
          <w:szCs w:val="32"/>
        </w:rPr>
      </w:pPr>
    </w:p>
    <w:p>
      <w:pPr>
        <w:adjustRightInd w:val="0"/>
        <w:snapToGrid w:val="0"/>
        <w:ind w:firstLine="640" w:firstLineChars="200"/>
        <w:rPr>
          <w:rFonts w:eastAsia="方正仿宋_GBK"/>
          <w:sz w:val="32"/>
          <w:szCs w:val="32"/>
        </w:rPr>
      </w:pPr>
    </w:p>
    <w:p>
      <w:pPr>
        <w:adjustRightInd w:val="0"/>
        <w:snapToGrid w:val="0"/>
        <w:ind w:firstLine="640" w:firstLineChars="200"/>
        <w:rPr>
          <w:rFonts w:eastAsia="方正仿宋_GBK"/>
          <w:sz w:val="32"/>
          <w:szCs w:val="32"/>
        </w:rPr>
      </w:pPr>
    </w:p>
    <w:p>
      <w:pPr>
        <w:adjustRightInd w:val="0"/>
        <w:snapToGrid w:val="0"/>
        <w:rPr>
          <w:rFonts w:eastAsia="方正仿宋_GBK"/>
          <w:sz w:val="32"/>
          <w:szCs w:val="32"/>
        </w:rPr>
      </w:pPr>
    </w:p>
    <w:p>
      <w:pPr>
        <w:adjustRightInd w:val="0"/>
        <w:snapToGrid w:val="0"/>
        <w:ind w:firstLine="640" w:firstLineChars="200"/>
        <w:rPr>
          <w:rFonts w:eastAsia="方正仿宋_GBK"/>
          <w:sz w:val="32"/>
          <w:szCs w:val="32"/>
        </w:rPr>
      </w:pPr>
      <w:r>
        <w:rPr>
          <w:rFonts w:eastAsia="方正仿宋_GBK"/>
          <w:sz w:val="32"/>
          <w:szCs w:val="32"/>
        </w:rPr>
        <w:t>（图4：财政拨款收、支决算总计变动情况）（柱状图）</w:t>
      </w:r>
    </w:p>
    <w:p>
      <w:pPr>
        <w:adjustRightInd w:val="0"/>
        <w:snapToGrid w:val="0"/>
        <w:ind w:firstLine="640" w:firstLineChars="200"/>
        <w:outlineLvl w:val="1"/>
        <w:rPr>
          <w:rStyle w:val="32"/>
          <w:rFonts w:ascii="Times New Roman" w:hAnsi="Times New Roman" w:eastAsia="方正黑体_GBK" w:cs="Times New Roman"/>
          <w:b w:val="0"/>
        </w:rPr>
      </w:pPr>
      <w:bookmarkStart w:id="30" w:name="_Toc15396607"/>
      <w:bookmarkStart w:id="31" w:name="_Toc15377209"/>
      <w:r>
        <w:rPr>
          <w:rFonts w:eastAsia="方正黑体_GBK"/>
          <w:sz w:val="32"/>
          <w:szCs w:val="32"/>
        </w:rPr>
        <w:t>五、</w:t>
      </w:r>
      <w:r>
        <w:rPr>
          <w:rFonts w:eastAsia="方正黑体_GBK"/>
          <w:b/>
          <w:sz w:val="32"/>
          <w:szCs w:val="32"/>
        </w:rPr>
        <w:t>一</w:t>
      </w:r>
      <w:r>
        <w:rPr>
          <w:rStyle w:val="32"/>
          <w:rFonts w:ascii="Times New Roman" w:hAnsi="Times New Roman" w:eastAsia="方正黑体_GBK" w:cs="Times New Roman"/>
          <w:b w:val="0"/>
        </w:rPr>
        <w:t>般公共预算财政拨款支出决算情况说明</w:t>
      </w:r>
      <w:bookmarkEnd w:id="30"/>
      <w:bookmarkEnd w:id="31"/>
    </w:p>
    <w:p>
      <w:pPr>
        <w:adjustRightInd w:val="0"/>
        <w:snapToGrid w:val="0"/>
        <w:ind w:firstLine="643" w:firstLineChars="200"/>
        <w:outlineLvl w:val="2"/>
        <w:rPr>
          <w:rFonts w:eastAsia="方正楷体_GBK"/>
          <w:b/>
          <w:sz w:val="32"/>
          <w:szCs w:val="32"/>
        </w:rPr>
      </w:pPr>
      <w:bookmarkStart w:id="32" w:name="_Toc15377210"/>
      <w:r>
        <w:rPr>
          <w:rFonts w:eastAsia="方正楷体_GBK"/>
          <w:b/>
          <w:sz w:val="32"/>
          <w:szCs w:val="32"/>
        </w:rPr>
        <w:t>（一）一般公共预算财政拨款支出决算总体情况</w:t>
      </w:r>
      <w:bookmarkEnd w:id="32"/>
    </w:p>
    <w:p>
      <w:pPr>
        <w:adjustRightInd w:val="0"/>
        <w:snapToGrid w:val="0"/>
        <w:ind w:firstLine="640" w:firstLineChars="200"/>
        <w:rPr>
          <w:rFonts w:eastAsia="方正仿宋_GBK"/>
          <w:sz w:val="32"/>
          <w:szCs w:val="32"/>
        </w:rPr>
      </w:pPr>
      <w:r>
        <w:rPr>
          <w:rFonts w:eastAsia="方正仿宋_GBK"/>
          <w:sz w:val="32"/>
          <w:szCs w:val="32"/>
        </w:rPr>
        <w:t>2025年度一般公共预算财政拨款支出1407.72万元，占本年支出合计的100%。与上年度相比，一般公共预算财政拨款支出增加139.41万元，增长10.99%。主要变动原因</w:t>
      </w:r>
      <w:r>
        <w:rPr>
          <w:rFonts w:hint="eastAsia" w:eastAsia="方正仿宋_GBK"/>
          <w:sz w:val="32"/>
          <w:szCs w:val="32"/>
        </w:rPr>
        <w:t>：</w:t>
      </w:r>
      <w:r>
        <w:rPr>
          <w:rFonts w:eastAsia="方正仿宋_GBK"/>
          <w:sz w:val="32"/>
          <w:szCs w:val="32"/>
        </w:rPr>
        <w:t>2025年人员经费较上年增加47万元，DRG项目预算</w:t>
      </w:r>
      <w:r>
        <w:rPr>
          <w:rFonts w:hint="eastAsia" w:eastAsia="方正仿宋_GBK"/>
          <w:sz w:val="32"/>
          <w:szCs w:val="32"/>
        </w:rPr>
        <w:t>资金</w:t>
      </w:r>
      <w:r>
        <w:rPr>
          <w:rFonts w:eastAsia="方正仿宋_GBK"/>
          <w:sz w:val="32"/>
          <w:szCs w:val="32"/>
        </w:rPr>
        <w:t>较2024年增加</w:t>
      </w:r>
      <w:r>
        <w:rPr>
          <w:rFonts w:hint="eastAsia" w:eastAsia="方正仿宋_GBK"/>
          <w:sz w:val="32"/>
          <w:szCs w:val="32"/>
        </w:rPr>
        <w:t>82.01</w:t>
      </w:r>
      <w:r>
        <w:rPr>
          <w:rFonts w:eastAsia="方正仿宋_GBK"/>
          <w:sz w:val="32"/>
          <w:szCs w:val="32"/>
        </w:rPr>
        <w:t>万元。</w:t>
      </w:r>
    </w:p>
    <w:p>
      <w:pPr>
        <w:adjustRightInd w:val="0"/>
        <w:snapToGrid w:val="0"/>
        <w:ind w:firstLine="640" w:firstLineChars="200"/>
        <w:rPr>
          <w:rFonts w:eastAsia="方正仿宋_GBK"/>
          <w:sz w:val="32"/>
          <w:szCs w:val="32"/>
        </w:rPr>
      </w:pPr>
      <w:r>
        <w:rPr>
          <w:rFonts w:eastAsia="方正仿宋_GBK"/>
          <w:sz w:val="32"/>
        </w:rPr>
        <w:drawing>
          <wp:anchor distT="0" distB="0" distL="114300" distR="114300" simplePos="0" relativeHeight="251661312" behindDoc="0" locked="0" layoutInCell="1" allowOverlap="1">
            <wp:simplePos x="0" y="0"/>
            <wp:positionH relativeFrom="column">
              <wp:posOffset>173990</wp:posOffset>
            </wp:positionH>
            <wp:positionV relativeFrom="paragraph">
              <wp:posOffset>92075</wp:posOffset>
            </wp:positionV>
            <wp:extent cx="5256530" cy="2426970"/>
            <wp:effectExtent l="0" t="0" r="20320" b="11430"/>
            <wp:wrapNone/>
            <wp:docPr id="13" name="图表 13" descr="7b0a202020202263686172745265734964223a20223230343732303435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pPr>
        <w:adjustRightInd w:val="0"/>
        <w:snapToGrid w:val="0"/>
        <w:ind w:firstLine="640" w:firstLineChars="200"/>
        <w:rPr>
          <w:rFonts w:eastAsia="方正仿宋_GBK"/>
          <w:sz w:val="32"/>
          <w:szCs w:val="32"/>
        </w:rPr>
      </w:pPr>
    </w:p>
    <w:p>
      <w:pPr>
        <w:adjustRightInd w:val="0"/>
        <w:snapToGrid w:val="0"/>
        <w:ind w:firstLine="640" w:firstLineChars="200"/>
        <w:rPr>
          <w:rFonts w:eastAsia="方正仿宋_GBK"/>
          <w:sz w:val="32"/>
          <w:szCs w:val="32"/>
        </w:rPr>
      </w:pPr>
    </w:p>
    <w:p>
      <w:pPr>
        <w:adjustRightInd w:val="0"/>
        <w:snapToGrid w:val="0"/>
        <w:ind w:firstLine="640" w:firstLineChars="200"/>
        <w:rPr>
          <w:rFonts w:eastAsia="方正仿宋_GBK"/>
          <w:sz w:val="32"/>
          <w:szCs w:val="32"/>
        </w:rPr>
      </w:pPr>
    </w:p>
    <w:p>
      <w:pPr>
        <w:adjustRightInd w:val="0"/>
        <w:snapToGrid w:val="0"/>
        <w:ind w:firstLine="640" w:firstLineChars="200"/>
        <w:rPr>
          <w:rFonts w:eastAsia="方正仿宋_GBK"/>
          <w:sz w:val="32"/>
          <w:szCs w:val="32"/>
        </w:rPr>
      </w:pPr>
    </w:p>
    <w:p>
      <w:pPr>
        <w:pStyle w:val="8"/>
        <w:adjustRightInd w:val="0"/>
        <w:snapToGrid w:val="0"/>
        <w:spacing w:after="0"/>
        <w:ind w:left="0" w:leftChars="0" w:firstLine="640"/>
        <w:rPr>
          <w:rFonts w:ascii="Times New Roman" w:eastAsia="方正仿宋_GBK"/>
          <w:sz w:val="32"/>
        </w:rPr>
      </w:pPr>
    </w:p>
    <w:p>
      <w:pPr>
        <w:pStyle w:val="8"/>
        <w:adjustRightInd w:val="0"/>
        <w:snapToGrid w:val="0"/>
        <w:spacing w:after="0"/>
        <w:ind w:left="0" w:leftChars="0" w:firstLine="640"/>
        <w:rPr>
          <w:rFonts w:ascii="Times New Roman" w:eastAsia="方正仿宋_GBK"/>
          <w:sz w:val="32"/>
        </w:rPr>
      </w:pPr>
    </w:p>
    <w:p>
      <w:pPr>
        <w:pStyle w:val="8"/>
        <w:adjustRightInd w:val="0"/>
        <w:snapToGrid w:val="0"/>
        <w:spacing w:after="0"/>
        <w:ind w:left="0" w:leftChars="0" w:firstLine="640"/>
        <w:rPr>
          <w:rFonts w:ascii="Times New Roman" w:eastAsia="方正仿宋_GBK"/>
          <w:sz w:val="32"/>
        </w:rPr>
      </w:pPr>
    </w:p>
    <w:p>
      <w:pPr>
        <w:pStyle w:val="8"/>
        <w:adjustRightInd w:val="0"/>
        <w:snapToGrid w:val="0"/>
        <w:spacing w:after="0"/>
        <w:ind w:left="0" w:leftChars="0" w:firstLine="640"/>
        <w:rPr>
          <w:rFonts w:ascii="Times New Roman" w:eastAsia="方正仿宋_GBK"/>
          <w:sz w:val="32"/>
        </w:rPr>
      </w:pPr>
    </w:p>
    <w:p>
      <w:pPr>
        <w:pStyle w:val="8"/>
        <w:adjustRightInd w:val="0"/>
        <w:snapToGrid w:val="0"/>
        <w:spacing w:after="0"/>
        <w:ind w:left="0" w:leftChars="0" w:firstLine="640"/>
        <w:rPr>
          <w:rFonts w:ascii="Times New Roman" w:eastAsia="方正仿宋_GBK"/>
          <w:sz w:val="32"/>
        </w:rPr>
      </w:pPr>
    </w:p>
    <w:p>
      <w:pPr>
        <w:adjustRightInd w:val="0"/>
        <w:snapToGrid w:val="0"/>
        <w:ind w:firstLine="640" w:firstLineChars="200"/>
        <w:rPr>
          <w:rFonts w:eastAsia="方正仿宋_GBK"/>
          <w:sz w:val="32"/>
          <w:szCs w:val="32"/>
        </w:rPr>
      </w:pPr>
    </w:p>
    <w:p>
      <w:pPr>
        <w:adjustRightInd w:val="0"/>
        <w:snapToGrid w:val="0"/>
        <w:ind w:firstLine="640" w:firstLineChars="200"/>
        <w:rPr>
          <w:rFonts w:eastAsia="方正仿宋_GBK"/>
          <w:sz w:val="32"/>
          <w:szCs w:val="32"/>
        </w:rPr>
      </w:pPr>
      <w:r>
        <w:rPr>
          <w:rFonts w:eastAsia="方正仿宋_GBK"/>
          <w:sz w:val="32"/>
          <w:szCs w:val="32"/>
        </w:rPr>
        <w:t>（图5：一般公共预算财政拨款支出决算变动情况）（柱状图）</w:t>
      </w:r>
    </w:p>
    <w:p>
      <w:pPr>
        <w:adjustRightInd w:val="0"/>
        <w:snapToGrid w:val="0"/>
        <w:ind w:firstLine="643" w:firstLineChars="200"/>
        <w:outlineLvl w:val="2"/>
        <w:rPr>
          <w:rFonts w:eastAsia="方正楷体_GBK"/>
          <w:b/>
          <w:color w:val="FF0000"/>
          <w:sz w:val="32"/>
          <w:szCs w:val="32"/>
        </w:rPr>
      </w:pPr>
      <w:bookmarkStart w:id="33" w:name="_Toc15377211"/>
      <w:r>
        <w:rPr>
          <w:rFonts w:eastAsia="方正楷体_GBK"/>
          <w:b/>
          <w:sz w:val="32"/>
          <w:szCs w:val="32"/>
        </w:rPr>
        <w:t>（二）一般公共预算财政拨款支出决算结构情况</w:t>
      </w:r>
      <w:bookmarkEnd w:id="33"/>
    </w:p>
    <w:p>
      <w:pPr>
        <w:adjustRightInd w:val="0"/>
        <w:snapToGrid w:val="0"/>
        <w:ind w:firstLine="640" w:firstLineChars="200"/>
        <w:rPr>
          <w:rFonts w:eastAsia="方正仿宋_GBK"/>
          <w:sz w:val="32"/>
          <w:szCs w:val="32"/>
        </w:rPr>
      </w:pPr>
      <w:r>
        <w:rPr>
          <w:rFonts w:eastAsia="方正仿宋_GBK"/>
          <w:sz w:val="32"/>
          <w:szCs w:val="32"/>
        </w:rPr>
        <w:t>2025年度一般公共预算财政拨款支出1407.72万元，主要用于以下方面：一般公共服务支出2.54万元，占0.18%；社会保障和就业支出171.26万元，占12.17%；卫生健康支出1165.84万元，占82.81%；住房保障支出68.08万元，占4.84%。</w:t>
      </w:r>
    </w:p>
    <w:p>
      <w:pPr>
        <w:pStyle w:val="8"/>
        <w:adjustRightInd w:val="0"/>
        <w:snapToGrid w:val="0"/>
        <w:spacing w:after="0"/>
        <w:ind w:left="0" w:leftChars="0" w:firstLine="640"/>
        <w:rPr>
          <w:rFonts w:ascii="Times New Roman" w:eastAsia="方正仿宋_GBK"/>
          <w:sz w:val="32"/>
        </w:rPr>
      </w:pPr>
      <w:r>
        <w:rPr>
          <w:rFonts w:ascii="Times New Roman" w:eastAsia="方正仿宋_GBK"/>
          <w:sz w:val="32"/>
        </w:rPr>
        <w:drawing>
          <wp:inline distT="0" distB="0" distL="114300" distR="114300">
            <wp:extent cx="5373370" cy="2816860"/>
            <wp:effectExtent l="4445" t="4445" r="17145" b="13335"/>
            <wp:docPr id="14" name="图表 14" descr="7b0a202020202263686172745265734964223a20223230343731333838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pPr>
        <w:adjustRightInd w:val="0"/>
        <w:snapToGrid w:val="0"/>
        <w:ind w:firstLine="640" w:firstLineChars="200"/>
        <w:rPr>
          <w:rFonts w:eastAsia="方正仿宋_GBK"/>
          <w:sz w:val="32"/>
          <w:szCs w:val="32"/>
        </w:rPr>
      </w:pPr>
      <w:r>
        <w:rPr>
          <w:rFonts w:eastAsia="方正仿宋_GBK"/>
          <w:sz w:val="32"/>
          <w:szCs w:val="32"/>
        </w:rPr>
        <w:t>（图6：一般公共预算财政拨款支出决算结构）（饼状图）</w:t>
      </w:r>
    </w:p>
    <w:p>
      <w:pPr>
        <w:tabs>
          <w:tab w:val="left" w:pos="606"/>
        </w:tabs>
        <w:adjustRightInd w:val="0"/>
        <w:snapToGrid w:val="0"/>
        <w:ind w:firstLine="643" w:firstLineChars="200"/>
        <w:outlineLvl w:val="2"/>
        <w:rPr>
          <w:rFonts w:eastAsia="方正楷体_GBK"/>
          <w:b/>
          <w:sz w:val="32"/>
          <w:szCs w:val="32"/>
        </w:rPr>
      </w:pPr>
      <w:bookmarkStart w:id="34" w:name="_Toc15377212"/>
      <w:r>
        <w:rPr>
          <w:rFonts w:eastAsia="方正楷体_GBK"/>
          <w:b/>
          <w:sz w:val="32"/>
          <w:szCs w:val="32"/>
        </w:rPr>
        <w:t>（三）一般公共预算财政拨款支出决算具体情况</w:t>
      </w:r>
      <w:bookmarkEnd w:id="34"/>
    </w:p>
    <w:p>
      <w:pPr>
        <w:adjustRightInd w:val="0"/>
        <w:snapToGrid w:val="0"/>
        <w:ind w:firstLine="640" w:firstLineChars="200"/>
        <w:rPr>
          <w:rFonts w:eastAsia="方正仿宋_GBK"/>
          <w:sz w:val="32"/>
          <w:szCs w:val="32"/>
        </w:rPr>
      </w:pPr>
      <w:bookmarkStart w:id="35" w:name="_Toc15377213"/>
      <w:bookmarkStart w:id="36" w:name="_Toc15378460"/>
      <w:bookmarkStart w:id="37" w:name="_Toc15377444"/>
      <w:r>
        <w:rPr>
          <w:rFonts w:eastAsia="方正仿宋_GBK"/>
          <w:sz w:val="32"/>
          <w:szCs w:val="32"/>
        </w:rPr>
        <w:t>2025年度一般公共预算财政拨款支出决算数为1407.72万元，完成预算100%。其中：</w:t>
      </w:r>
      <w:bookmarkEnd w:id="35"/>
      <w:bookmarkEnd w:id="36"/>
      <w:bookmarkEnd w:id="37"/>
    </w:p>
    <w:p>
      <w:pPr>
        <w:adjustRightInd w:val="0"/>
        <w:snapToGrid w:val="0"/>
        <w:ind w:firstLine="640" w:firstLineChars="200"/>
        <w:rPr>
          <w:rFonts w:eastAsia="方正仿宋_GBK"/>
          <w:sz w:val="32"/>
          <w:szCs w:val="32"/>
        </w:rPr>
      </w:pPr>
      <w:r>
        <w:rPr>
          <w:rFonts w:eastAsia="方正仿宋_GBK"/>
          <w:sz w:val="32"/>
          <w:szCs w:val="32"/>
        </w:rPr>
        <w:t>1.一般公共服务支出</w:t>
      </w:r>
    </w:p>
    <w:p>
      <w:pPr>
        <w:adjustRightInd w:val="0"/>
        <w:snapToGrid w:val="0"/>
        <w:ind w:firstLine="640" w:firstLineChars="200"/>
        <w:rPr>
          <w:rFonts w:eastAsia="方正仿宋_GBK"/>
          <w:sz w:val="32"/>
          <w:szCs w:val="32"/>
        </w:rPr>
      </w:pPr>
      <w:r>
        <w:rPr>
          <w:rFonts w:eastAsia="方正仿宋_GBK"/>
          <w:sz w:val="32"/>
          <w:szCs w:val="32"/>
        </w:rPr>
        <w:t>2013299其他组织事务支出：支出决算为2.54万元，完成预算100%，决算数等于预算数。</w:t>
      </w:r>
    </w:p>
    <w:p>
      <w:pPr>
        <w:adjustRightInd w:val="0"/>
        <w:snapToGrid w:val="0"/>
        <w:ind w:firstLine="640" w:firstLineChars="200"/>
        <w:rPr>
          <w:rFonts w:eastAsia="方正仿宋_GBK"/>
          <w:sz w:val="32"/>
          <w:szCs w:val="32"/>
        </w:rPr>
      </w:pPr>
      <w:r>
        <w:rPr>
          <w:rFonts w:eastAsia="方正仿宋_GBK"/>
          <w:sz w:val="32"/>
          <w:szCs w:val="32"/>
        </w:rPr>
        <w:t>2.社会保障和就业支出</w:t>
      </w:r>
    </w:p>
    <w:p>
      <w:pPr>
        <w:adjustRightInd w:val="0"/>
        <w:snapToGrid w:val="0"/>
        <w:ind w:firstLine="640" w:firstLineChars="200"/>
        <w:rPr>
          <w:rFonts w:eastAsia="方正仿宋_GBK"/>
          <w:sz w:val="32"/>
          <w:szCs w:val="32"/>
        </w:rPr>
      </w:pPr>
      <w:r>
        <w:rPr>
          <w:rFonts w:eastAsia="方正仿宋_GBK"/>
          <w:sz w:val="32"/>
          <w:szCs w:val="32"/>
        </w:rPr>
        <w:t>2080501行政单位离退休：支出决算为68.95万元，完成预算100%，决算数等于预算数。</w:t>
      </w:r>
    </w:p>
    <w:p>
      <w:pPr>
        <w:adjustRightInd w:val="0"/>
        <w:snapToGrid w:val="0"/>
        <w:ind w:firstLine="640" w:firstLineChars="200"/>
        <w:rPr>
          <w:rFonts w:eastAsia="方正仿宋_GBK"/>
          <w:sz w:val="32"/>
          <w:szCs w:val="32"/>
        </w:rPr>
      </w:pPr>
      <w:r>
        <w:rPr>
          <w:rFonts w:eastAsia="方正仿宋_GBK"/>
          <w:sz w:val="32"/>
          <w:szCs w:val="32"/>
        </w:rPr>
        <w:t>2080505机关事业单位基本养老保险缴费支出：支出决算为85.07万元，完成预算100%，决算数等于预算数。</w:t>
      </w:r>
    </w:p>
    <w:p>
      <w:pPr>
        <w:pStyle w:val="15"/>
        <w:adjustRightInd w:val="0"/>
        <w:ind w:firstLine="640" w:firstLineChars="200"/>
        <w:rPr>
          <w:rFonts w:eastAsia="方正仿宋_GBK"/>
          <w:sz w:val="32"/>
          <w:szCs w:val="32"/>
        </w:rPr>
      </w:pPr>
      <w:r>
        <w:rPr>
          <w:rFonts w:eastAsia="方正仿宋_GBK"/>
          <w:sz w:val="32"/>
          <w:szCs w:val="32"/>
        </w:rPr>
        <w:t>2080506机关事业单位职业年金缴费支出：支出决算为17.24万元，完成预算100%，决算数等于预算数。</w:t>
      </w:r>
    </w:p>
    <w:p>
      <w:pPr>
        <w:adjustRightInd w:val="0"/>
        <w:snapToGrid w:val="0"/>
        <w:ind w:firstLine="640" w:firstLineChars="200"/>
        <w:rPr>
          <w:rFonts w:eastAsia="方正仿宋_GBK"/>
          <w:sz w:val="32"/>
          <w:szCs w:val="32"/>
        </w:rPr>
      </w:pPr>
      <w:r>
        <w:rPr>
          <w:rFonts w:eastAsia="方正仿宋_GBK"/>
          <w:sz w:val="32"/>
          <w:szCs w:val="32"/>
        </w:rPr>
        <w:t>3.卫生健康支出</w:t>
      </w:r>
    </w:p>
    <w:p>
      <w:pPr>
        <w:adjustRightInd w:val="0"/>
        <w:snapToGrid w:val="0"/>
        <w:ind w:firstLine="640" w:firstLineChars="200"/>
        <w:rPr>
          <w:rFonts w:eastAsia="方正仿宋_GBK"/>
          <w:sz w:val="32"/>
          <w:szCs w:val="32"/>
        </w:rPr>
      </w:pPr>
      <w:r>
        <w:rPr>
          <w:rFonts w:eastAsia="方正仿宋_GBK"/>
          <w:sz w:val="32"/>
          <w:szCs w:val="32"/>
        </w:rPr>
        <w:t>2101101行政单位医疗：支出决算为45.27万元，完成预算100%，决算数等于预算数。</w:t>
      </w:r>
    </w:p>
    <w:p>
      <w:pPr>
        <w:adjustRightInd w:val="0"/>
        <w:snapToGrid w:val="0"/>
        <w:ind w:firstLine="640" w:firstLineChars="200"/>
        <w:rPr>
          <w:rFonts w:eastAsia="方正仿宋_GBK"/>
          <w:sz w:val="32"/>
          <w:szCs w:val="32"/>
        </w:rPr>
      </w:pPr>
      <w:r>
        <w:rPr>
          <w:rFonts w:eastAsia="方正仿宋_GBK"/>
          <w:sz w:val="32"/>
          <w:szCs w:val="32"/>
        </w:rPr>
        <w:t>2101103公务员医疗补助：支出决算为5.23万元，完成预算100%，决算数等于预算数。</w:t>
      </w:r>
    </w:p>
    <w:p>
      <w:pPr>
        <w:adjustRightInd w:val="0"/>
        <w:snapToGrid w:val="0"/>
        <w:ind w:firstLine="640" w:firstLineChars="200"/>
        <w:rPr>
          <w:rFonts w:eastAsia="方正仿宋_GBK"/>
          <w:sz w:val="32"/>
          <w:szCs w:val="32"/>
        </w:rPr>
      </w:pPr>
      <w:r>
        <w:rPr>
          <w:rFonts w:eastAsia="方正仿宋_GBK"/>
          <w:sz w:val="32"/>
          <w:szCs w:val="32"/>
        </w:rPr>
        <w:t>2101199其他行政事业单位医疗支出：支出决算为5.73万元，完成预算100%，决算数等于预算数。</w:t>
      </w:r>
    </w:p>
    <w:p>
      <w:pPr>
        <w:adjustRightInd w:val="0"/>
        <w:snapToGrid w:val="0"/>
        <w:ind w:firstLine="640" w:firstLineChars="200"/>
        <w:rPr>
          <w:rFonts w:eastAsia="方正仿宋_GBK"/>
          <w:sz w:val="32"/>
          <w:szCs w:val="32"/>
        </w:rPr>
      </w:pPr>
      <w:r>
        <w:rPr>
          <w:rFonts w:eastAsia="方正仿宋_GBK"/>
          <w:sz w:val="32"/>
          <w:szCs w:val="32"/>
        </w:rPr>
        <w:t>2101501行政运行：支出决算为725.90万元，完成预算100%，决算数等于预算数。</w:t>
      </w:r>
    </w:p>
    <w:p>
      <w:pPr>
        <w:adjustRightInd w:val="0"/>
        <w:snapToGrid w:val="0"/>
        <w:ind w:firstLine="640" w:firstLineChars="200"/>
        <w:rPr>
          <w:rFonts w:eastAsia="方正仿宋_GBK"/>
          <w:sz w:val="32"/>
          <w:szCs w:val="32"/>
        </w:rPr>
      </w:pPr>
      <w:r>
        <w:rPr>
          <w:rFonts w:eastAsia="方正仿宋_GBK"/>
          <w:sz w:val="32"/>
          <w:szCs w:val="32"/>
        </w:rPr>
        <w:t>2101599其他医疗保障管理事务支出：支出决算为383.71万元，完成预算100%，决算数等于预算数。</w:t>
      </w:r>
    </w:p>
    <w:p>
      <w:pPr>
        <w:adjustRightInd w:val="0"/>
        <w:snapToGrid w:val="0"/>
        <w:ind w:firstLine="640" w:firstLineChars="200"/>
        <w:rPr>
          <w:rFonts w:eastAsia="方正仿宋_GBK"/>
          <w:sz w:val="32"/>
          <w:szCs w:val="32"/>
        </w:rPr>
      </w:pPr>
      <w:r>
        <w:rPr>
          <w:rFonts w:eastAsia="方正仿宋_GBK"/>
          <w:sz w:val="32"/>
          <w:szCs w:val="32"/>
        </w:rPr>
        <w:t>4.住房保障支出</w:t>
      </w:r>
    </w:p>
    <w:p>
      <w:pPr>
        <w:adjustRightInd w:val="0"/>
        <w:snapToGrid w:val="0"/>
        <w:ind w:firstLine="640" w:firstLineChars="200"/>
        <w:rPr>
          <w:rFonts w:eastAsia="方正仿宋_GBK"/>
          <w:sz w:val="32"/>
          <w:szCs w:val="32"/>
        </w:rPr>
      </w:pPr>
      <w:r>
        <w:rPr>
          <w:rFonts w:eastAsia="方正仿宋_GBK"/>
          <w:sz w:val="32"/>
          <w:szCs w:val="32"/>
        </w:rPr>
        <w:t>2210201住房公积金：支出决算为68.08万元，完成预算100%，决算数等于预算数。</w:t>
      </w:r>
      <w:bookmarkStart w:id="38" w:name="_Toc15377214"/>
      <w:bookmarkStart w:id="39" w:name="_Toc15396608"/>
    </w:p>
    <w:p>
      <w:pPr>
        <w:tabs>
          <w:tab w:val="right" w:pos="8306"/>
        </w:tabs>
        <w:adjustRightInd w:val="0"/>
        <w:snapToGrid w:val="0"/>
        <w:ind w:firstLine="640" w:firstLineChars="200"/>
        <w:outlineLvl w:val="1"/>
        <w:rPr>
          <w:rStyle w:val="32"/>
          <w:rFonts w:ascii="Times New Roman" w:hAnsi="Times New Roman" w:eastAsia="方正仿宋_GBK" w:cs="Times New Roman"/>
        </w:rPr>
      </w:pPr>
      <w:r>
        <w:rPr>
          <w:rFonts w:eastAsia="方正黑体_GBK"/>
          <w:sz w:val="32"/>
          <w:szCs w:val="32"/>
        </w:rPr>
        <w:t>六</w:t>
      </w:r>
      <w:r>
        <w:rPr>
          <w:rFonts w:eastAsia="方正黑体_GBK"/>
          <w:b/>
          <w:sz w:val="32"/>
          <w:szCs w:val="32"/>
        </w:rPr>
        <w:t>、一</w:t>
      </w:r>
      <w:r>
        <w:rPr>
          <w:rStyle w:val="32"/>
          <w:rFonts w:ascii="Times New Roman" w:hAnsi="Times New Roman" w:eastAsia="方正黑体_GBK" w:cs="Times New Roman"/>
          <w:b w:val="0"/>
        </w:rPr>
        <w:t>般公共预算财政拨款基本支出决算情况说明</w:t>
      </w:r>
      <w:bookmarkEnd w:id="38"/>
      <w:bookmarkEnd w:id="39"/>
      <w:r>
        <w:rPr>
          <w:rStyle w:val="32"/>
          <w:rFonts w:ascii="Times New Roman" w:hAnsi="Times New Roman" w:eastAsia="方正仿宋_GBK" w:cs="Times New Roman"/>
          <w:b w:val="0"/>
        </w:rPr>
        <w:tab/>
      </w:r>
    </w:p>
    <w:p>
      <w:pPr>
        <w:adjustRightInd w:val="0"/>
        <w:snapToGrid w:val="0"/>
        <w:ind w:firstLine="640" w:firstLineChars="200"/>
        <w:rPr>
          <w:rFonts w:eastAsia="方正仿宋_GBK"/>
          <w:sz w:val="32"/>
          <w:szCs w:val="32"/>
        </w:rPr>
      </w:pPr>
      <w:r>
        <w:rPr>
          <w:rFonts w:eastAsia="方正仿宋_GBK"/>
          <w:sz w:val="32"/>
          <w:szCs w:val="32"/>
        </w:rPr>
        <w:t>2025年度一般公共预算财政拨款基本支出1021.47万元，其中：</w:t>
      </w:r>
    </w:p>
    <w:p>
      <w:pPr>
        <w:adjustRightInd w:val="0"/>
        <w:snapToGrid w:val="0"/>
        <w:ind w:firstLine="640" w:firstLineChars="200"/>
        <w:rPr>
          <w:rFonts w:eastAsia="方正仿宋_GBK"/>
          <w:sz w:val="32"/>
          <w:szCs w:val="32"/>
        </w:rPr>
      </w:pPr>
      <w:r>
        <w:rPr>
          <w:rFonts w:eastAsia="方正仿宋_GBK"/>
          <w:sz w:val="32"/>
          <w:szCs w:val="32"/>
        </w:rPr>
        <w:t>人员经费921.52万元，主要包括：基本工资225.22万元、津贴补贴163.48万元、奖金228.46万元、机关事业单位基本养老保险缴费85.07万元、职业年金缴费17.24万元、职工基本医疗保险缴费45.27万元、公务员医疗补助缴费10.96万元、其他社会保障缴费1.15万元、住房公积金68.08万元、其他工资福利支出9.03万元、对个人和家庭的补助67.56万元。</w:t>
      </w:r>
    </w:p>
    <w:p>
      <w:pPr>
        <w:adjustRightInd w:val="0"/>
        <w:snapToGrid w:val="0"/>
        <w:ind w:firstLine="640" w:firstLineChars="200"/>
        <w:rPr>
          <w:rFonts w:eastAsia="方正仿宋_GBK"/>
          <w:sz w:val="32"/>
          <w:szCs w:val="32"/>
        </w:rPr>
      </w:pPr>
      <w:r>
        <w:rPr>
          <w:rFonts w:eastAsia="方正仿宋_GBK"/>
          <w:sz w:val="32"/>
          <w:szCs w:val="32"/>
        </w:rPr>
        <w:t>公用经费99.95万元，主要包括：办公费7.85万元、水费0.18万元、邮电费3.27万元、差旅费12.68万元、维修（护）费0.75万元、租赁费0.48万元、培训费0.05万元、公务接待费0.62万元、劳务费15.57万元、工会经费11.92万元、福利费6.03万元、其他交通费用38.04万元、其他商品和服务支出2.51万元。</w:t>
      </w:r>
    </w:p>
    <w:p>
      <w:pPr>
        <w:adjustRightInd w:val="0"/>
        <w:snapToGrid w:val="0"/>
        <w:ind w:firstLine="640" w:firstLineChars="200"/>
        <w:outlineLvl w:val="1"/>
        <w:rPr>
          <w:rStyle w:val="32"/>
          <w:rFonts w:ascii="Times New Roman" w:hAnsi="Times New Roman" w:eastAsia="方正黑体_GBK" w:cs="Times New Roman"/>
          <w:b w:val="0"/>
        </w:rPr>
      </w:pPr>
      <w:bookmarkStart w:id="40" w:name="_Toc15377215"/>
      <w:bookmarkStart w:id="41" w:name="_Toc15396609"/>
      <w:r>
        <w:rPr>
          <w:rFonts w:eastAsia="方正黑体_GBK"/>
          <w:sz w:val="32"/>
          <w:szCs w:val="32"/>
        </w:rPr>
        <w:t>七、</w:t>
      </w:r>
      <w:r>
        <w:rPr>
          <w:rStyle w:val="32"/>
          <w:rFonts w:ascii="Times New Roman" w:hAnsi="Times New Roman" w:eastAsia="方正黑体_GBK" w:cs="Times New Roman"/>
          <w:b w:val="0"/>
        </w:rPr>
        <w:t>财政拨款</w:t>
      </w:r>
      <w:r>
        <w:rPr>
          <w:rStyle w:val="32"/>
          <w:rFonts w:ascii="Times New Roman" w:hAnsi="Times New Roman" w:eastAsia="方正黑体_GBK" w:cs="Times New Roman"/>
        </w:rPr>
        <w:t>“</w:t>
      </w:r>
      <w:r>
        <w:rPr>
          <w:rStyle w:val="32"/>
          <w:rFonts w:ascii="Times New Roman" w:hAnsi="Times New Roman" w:eastAsia="方正黑体_GBK" w:cs="Times New Roman"/>
          <w:b w:val="0"/>
        </w:rPr>
        <w:t>三公”经费支出决算情况说明</w:t>
      </w:r>
      <w:bookmarkEnd w:id="40"/>
      <w:bookmarkEnd w:id="41"/>
    </w:p>
    <w:p>
      <w:pPr>
        <w:adjustRightInd w:val="0"/>
        <w:snapToGrid w:val="0"/>
        <w:ind w:firstLine="643" w:firstLineChars="200"/>
        <w:outlineLvl w:val="2"/>
        <w:rPr>
          <w:rFonts w:eastAsia="方正楷体_GBK"/>
          <w:b/>
          <w:sz w:val="32"/>
          <w:szCs w:val="32"/>
        </w:rPr>
      </w:pPr>
      <w:bookmarkStart w:id="42" w:name="_Toc15377216"/>
      <w:r>
        <w:rPr>
          <w:rFonts w:eastAsia="方正楷体_GBK"/>
          <w:b/>
          <w:sz w:val="32"/>
          <w:szCs w:val="32"/>
        </w:rPr>
        <w:t>（一）“三公”经费财政拨款支出决算总体情况说明</w:t>
      </w:r>
      <w:bookmarkEnd w:id="42"/>
    </w:p>
    <w:p>
      <w:pPr>
        <w:adjustRightInd w:val="0"/>
        <w:snapToGrid w:val="0"/>
        <w:ind w:firstLine="640" w:firstLineChars="200"/>
        <w:outlineLvl w:val="2"/>
        <w:rPr>
          <w:rFonts w:eastAsia="方正仿宋_GBK"/>
          <w:sz w:val="32"/>
          <w:szCs w:val="32"/>
        </w:rPr>
      </w:pPr>
      <w:bookmarkStart w:id="43" w:name="_Toc15377217"/>
      <w:r>
        <w:rPr>
          <w:rFonts w:eastAsia="方正仿宋_GBK"/>
          <w:sz w:val="32"/>
          <w:szCs w:val="32"/>
        </w:rPr>
        <w:t>2025年度财政拨款“三公”经费支出决算为0.62万元，完成预算100%，较上年度增加0.16万元，增长33.79%。决算数与预算数持平。</w:t>
      </w:r>
    </w:p>
    <w:p>
      <w:pPr>
        <w:adjustRightInd w:val="0"/>
        <w:snapToGrid w:val="0"/>
        <w:ind w:firstLine="643" w:firstLineChars="200"/>
        <w:outlineLvl w:val="2"/>
        <w:rPr>
          <w:rFonts w:eastAsia="方正楷体_GBK"/>
          <w:b/>
          <w:sz w:val="32"/>
          <w:szCs w:val="32"/>
        </w:rPr>
      </w:pPr>
      <w:r>
        <w:rPr>
          <w:rFonts w:eastAsia="方正楷体_GBK"/>
          <w:b/>
          <w:sz w:val="32"/>
          <w:szCs w:val="32"/>
        </w:rPr>
        <w:t>（二）“三公”经费财政拨款支出决算具体情况说明</w:t>
      </w:r>
      <w:bookmarkEnd w:id="43"/>
    </w:p>
    <w:p>
      <w:pPr>
        <w:adjustRightInd w:val="0"/>
        <w:snapToGrid w:val="0"/>
        <w:ind w:firstLine="640" w:firstLineChars="200"/>
        <w:rPr>
          <w:rFonts w:eastAsia="方正仿宋_GBK"/>
          <w:sz w:val="32"/>
          <w:szCs w:val="32"/>
        </w:rPr>
      </w:pPr>
      <w:r>
        <w:rPr>
          <w:rFonts w:eastAsia="方正仿宋_GBK"/>
          <w:sz w:val="32"/>
          <w:szCs w:val="32"/>
        </w:rPr>
        <w:t>2025年度“三公”经费财政拨款支出决算中，因公出国（境）费支出决算0万元，占0%；公务用车购置及运行维护费支出决算0万元，占0%；公务接待费支出决算</w:t>
      </w:r>
      <w:r>
        <w:rPr>
          <w:rFonts w:hint="eastAsia" w:eastAsia="方正仿宋_GBK"/>
          <w:sz w:val="32"/>
          <w:szCs w:val="32"/>
        </w:rPr>
        <w:t>0.62</w:t>
      </w:r>
      <w:r>
        <w:rPr>
          <w:rFonts w:eastAsia="方正仿宋_GBK"/>
          <w:sz w:val="32"/>
          <w:szCs w:val="32"/>
        </w:rPr>
        <w:t>万元，占100%。具体情况如下：</w:t>
      </w:r>
    </w:p>
    <w:p>
      <w:pPr>
        <w:adjustRightInd w:val="0"/>
        <w:snapToGrid w:val="0"/>
        <w:ind w:firstLine="640" w:firstLineChars="200"/>
        <w:rPr>
          <w:rFonts w:eastAsia="方正仿宋_GBK"/>
          <w:sz w:val="32"/>
          <w:szCs w:val="32"/>
        </w:rPr>
      </w:pPr>
      <w:r>
        <w:rPr>
          <w:rFonts w:eastAsia="方正仿宋_GBK"/>
          <w:sz w:val="32"/>
        </w:rPr>
        <w:drawing>
          <wp:anchor distT="0" distB="0" distL="114300" distR="114300" simplePos="0" relativeHeight="251662336" behindDoc="0" locked="0" layoutInCell="1" allowOverlap="1">
            <wp:simplePos x="0" y="0"/>
            <wp:positionH relativeFrom="column">
              <wp:posOffset>414655</wp:posOffset>
            </wp:positionH>
            <wp:positionV relativeFrom="paragraph">
              <wp:posOffset>150495</wp:posOffset>
            </wp:positionV>
            <wp:extent cx="5181600" cy="2143125"/>
            <wp:effectExtent l="0" t="0" r="19050" b="9525"/>
            <wp:wrapNone/>
            <wp:docPr id="15"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pPr>
        <w:adjustRightInd w:val="0"/>
        <w:snapToGrid w:val="0"/>
        <w:ind w:firstLine="640" w:firstLineChars="200"/>
        <w:rPr>
          <w:rFonts w:eastAsia="方正仿宋_GBK"/>
          <w:sz w:val="32"/>
          <w:szCs w:val="32"/>
        </w:rPr>
      </w:pPr>
    </w:p>
    <w:p>
      <w:pPr>
        <w:adjustRightInd w:val="0"/>
        <w:snapToGrid w:val="0"/>
        <w:ind w:firstLine="640" w:firstLineChars="200"/>
        <w:rPr>
          <w:rFonts w:eastAsia="方正仿宋_GBK"/>
          <w:sz w:val="32"/>
          <w:szCs w:val="32"/>
        </w:rPr>
      </w:pPr>
    </w:p>
    <w:p>
      <w:pPr>
        <w:adjustRightInd w:val="0"/>
        <w:snapToGrid w:val="0"/>
        <w:ind w:firstLine="640" w:firstLineChars="200"/>
        <w:rPr>
          <w:rFonts w:eastAsia="方正仿宋_GBK"/>
          <w:sz w:val="32"/>
          <w:szCs w:val="32"/>
        </w:rPr>
      </w:pPr>
    </w:p>
    <w:p>
      <w:pPr>
        <w:adjustRightInd w:val="0"/>
        <w:snapToGrid w:val="0"/>
        <w:ind w:firstLine="640" w:firstLineChars="200"/>
        <w:rPr>
          <w:rFonts w:eastAsia="方正仿宋_GBK"/>
          <w:sz w:val="32"/>
          <w:szCs w:val="32"/>
        </w:rPr>
      </w:pPr>
    </w:p>
    <w:p>
      <w:pPr>
        <w:adjustRightInd w:val="0"/>
        <w:snapToGrid w:val="0"/>
        <w:ind w:firstLine="640" w:firstLineChars="200"/>
        <w:rPr>
          <w:rFonts w:eastAsia="方正仿宋_GBK"/>
          <w:sz w:val="32"/>
          <w:szCs w:val="32"/>
        </w:rPr>
      </w:pPr>
    </w:p>
    <w:p>
      <w:pPr>
        <w:pStyle w:val="8"/>
        <w:adjustRightInd w:val="0"/>
        <w:snapToGrid w:val="0"/>
        <w:spacing w:after="0"/>
        <w:ind w:left="0" w:leftChars="0"/>
        <w:rPr>
          <w:rFonts w:ascii="Times New Roman" w:eastAsia="方正仿宋_GBK"/>
        </w:rPr>
      </w:pPr>
    </w:p>
    <w:p>
      <w:pPr>
        <w:pStyle w:val="8"/>
        <w:adjustRightInd w:val="0"/>
        <w:snapToGrid w:val="0"/>
        <w:spacing w:after="0"/>
        <w:ind w:left="420"/>
        <w:rPr>
          <w:rFonts w:ascii="Times New Roman" w:eastAsia="方正仿宋_GBK"/>
        </w:rPr>
      </w:pPr>
    </w:p>
    <w:p>
      <w:pPr>
        <w:pStyle w:val="8"/>
        <w:adjustRightInd w:val="0"/>
        <w:snapToGrid w:val="0"/>
        <w:spacing w:after="0"/>
        <w:ind w:left="0" w:leftChars="0"/>
        <w:rPr>
          <w:rFonts w:ascii="Times New Roman" w:eastAsia="方正仿宋_GBK"/>
        </w:rPr>
      </w:pPr>
    </w:p>
    <w:p>
      <w:pPr>
        <w:pStyle w:val="8"/>
        <w:adjustRightInd w:val="0"/>
        <w:snapToGrid w:val="0"/>
        <w:spacing w:after="0"/>
        <w:ind w:left="0" w:leftChars="0"/>
        <w:rPr>
          <w:rFonts w:ascii="Times New Roman" w:eastAsia="方正仿宋_GBK"/>
        </w:rPr>
      </w:pPr>
    </w:p>
    <w:p>
      <w:pPr>
        <w:pStyle w:val="8"/>
        <w:adjustRightInd w:val="0"/>
        <w:snapToGrid w:val="0"/>
        <w:spacing w:after="0"/>
        <w:ind w:left="0" w:leftChars="0"/>
        <w:rPr>
          <w:rFonts w:ascii="Times New Roman" w:eastAsia="方正仿宋_GBK"/>
        </w:rPr>
      </w:pPr>
    </w:p>
    <w:p>
      <w:pPr>
        <w:adjustRightInd w:val="0"/>
        <w:snapToGrid w:val="0"/>
        <w:rPr>
          <w:rFonts w:eastAsia="方正仿宋_GBK"/>
          <w:sz w:val="32"/>
          <w:szCs w:val="32"/>
        </w:rPr>
      </w:pPr>
    </w:p>
    <w:p>
      <w:pPr>
        <w:adjustRightInd w:val="0"/>
        <w:snapToGrid w:val="0"/>
        <w:ind w:firstLine="640" w:firstLineChars="200"/>
        <w:rPr>
          <w:rFonts w:eastAsia="方正仿宋_GBK"/>
          <w:sz w:val="32"/>
          <w:szCs w:val="32"/>
        </w:rPr>
      </w:pPr>
      <w:r>
        <w:rPr>
          <w:rFonts w:eastAsia="方正仿宋_GBK"/>
          <w:sz w:val="32"/>
          <w:szCs w:val="32"/>
        </w:rPr>
        <w:t>（图7：“三公”经费财政拨款支出结构）（饼状图）</w:t>
      </w:r>
    </w:p>
    <w:p>
      <w:pPr>
        <w:adjustRightInd w:val="0"/>
        <w:snapToGrid w:val="0"/>
        <w:ind w:firstLine="643" w:firstLineChars="200"/>
        <w:rPr>
          <w:rFonts w:eastAsia="方正仿宋_GBK"/>
          <w:sz w:val="32"/>
          <w:szCs w:val="32"/>
        </w:rPr>
      </w:pPr>
      <w:r>
        <w:rPr>
          <w:rFonts w:eastAsia="方正仿宋_GBK"/>
          <w:b/>
          <w:bCs/>
          <w:sz w:val="32"/>
          <w:szCs w:val="32"/>
        </w:rPr>
        <w:t>1.因公出国（境）经费支出0万元，完成预算0%。</w:t>
      </w:r>
      <w:r>
        <w:rPr>
          <w:rFonts w:eastAsia="方正仿宋_GBK"/>
          <w:sz w:val="32"/>
          <w:szCs w:val="32"/>
        </w:rPr>
        <w:t>全年安排因公出国（境）团组0次，出国（境）0人。因公出国（境）支出决算与</w:t>
      </w:r>
      <w:r>
        <w:rPr>
          <w:rFonts w:hint="eastAsia" w:eastAsia="方正仿宋_GBK"/>
          <w:sz w:val="32"/>
          <w:szCs w:val="32"/>
        </w:rPr>
        <w:t>2024</w:t>
      </w:r>
      <w:r>
        <w:rPr>
          <w:rFonts w:eastAsia="方正仿宋_GBK"/>
          <w:sz w:val="32"/>
          <w:szCs w:val="32"/>
        </w:rPr>
        <w:t>年度持平。</w:t>
      </w:r>
    </w:p>
    <w:p>
      <w:pPr>
        <w:adjustRightInd w:val="0"/>
        <w:snapToGrid w:val="0"/>
        <w:ind w:firstLine="643" w:firstLineChars="200"/>
        <w:rPr>
          <w:rFonts w:eastAsia="方正仿宋_GBK"/>
          <w:b/>
          <w:sz w:val="32"/>
          <w:szCs w:val="32"/>
        </w:rPr>
      </w:pPr>
      <w:r>
        <w:rPr>
          <w:rFonts w:eastAsia="方正仿宋_GBK"/>
          <w:b/>
          <w:sz w:val="32"/>
          <w:szCs w:val="32"/>
        </w:rPr>
        <w:t>2.公务用车购置及运行维护费支出0万元,</w:t>
      </w:r>
      <w:r>
        <w:rPr>
          <w:rStyle w:val="19"/>
          <w:rFonts w:eastAsia="方正仿宋_GBK"/>
          <w:sz w:val="32"/>
          <w:szCs w:val="32"/>
        </w:rPr>
        <w:t>完成预算0%</w:t>
      </w:r>
      <w:r>
        <w:rPr>
          <w:rStyle w:val="19"/>
          <w:rFonts w:eastAsia="方正仿宋_GBK"/>
          <w:b w:val="0"/>
          <w:bCs/>
          <w:sz w:val="32"/>
          <w:szCs w:val="32"/>
        </w:rPr>
        <w:t>。</w:t>
      </w:r>
      <w:r>
        <w:rPr>
          <w:rFonts w:eastAsia="方正仿宋_GBK"/>
          <w:sz w:val="32"/>
          <w:szCs w:val="32"/>
        </w:rPr>
        <w:t>公务用车购置及运行维护费支出决算与</w:t>
      </w:r>
      <w:r>
        <w:rPr>
          <w:rFonts w:hint="eastAsia" w:eastAsia="方正仿宋_GBK"/>
          <w:sz w:val="32"/>
          <w:szCs w:val="32"/>
        </w:rPr>
        <w:t>2024</w:t>
      </w:r>
      <w:r>
        <w:rPr>
          <w:rFonts w:eastAsia="方正仿宋_GBK"/>
          <w:sz w:val="32"/>
          <w:szCs w:val="32"/>
        </w:rPr>
        <w:t>年度持平。</w:t>
      </w:r>
    </w:p>
    <w:p>
      <w:pPr>
        <w:adjustRightInd w:val="0"/>
        <w:snapToGrid w:val="0"/>
        <w:ind w:firstLine="640" w:firstLineChars="200"/>
        <w:rPr>
          <w:rFonts w:eastAsia="方正仿宋_GBK"/>
          <w:b/>
          <w:sz w:val="32"/>
          <w:szCs w:val="32"/>
        </w:rPr>
      </w:pPr>
      <w:r>
        <w:rPr>
          <w:rFonts w:eastAsia="方正仿宋_GBK"/>
          <w:sz w:val="32"/>
          <w:szCs w:val="32"/>
        </w:rPr>
        <w:t>其中：</w:t>
      </w:r>
      <w:r>
        <w:rPr>
          <w:rFonts w:eastAsia="方正仿宋_GBK"/>
          <w:b/>
          <w:sz w:val="32"/>
          <w:szCs w:val="32"/>
        </w:rPr>
        <w:t>公务用车购置支出</w:t>
      </w:r>
      <w:r>
        <w:rPr>
          <w:rFonts w:eastAsia="方正仿宋_GBK"/>
          <w:sz w:val="32"/>
          <w:szCs w:val="32"/>
        </w:rPr>
        <w:t>0万元。全年按规定更新购置公务用车0辆，其中：轿车0辆、金额0万元，越野车0辆、金额0万元，载客汽车0辆、金额0万元。截至</w:t>
      </w:r>
      <w:r>
        <w:rPr>
          <w:rFonts w:hint="eastAsia" w:eastAsia="方正仿宋_GBK"/>
          <w:sz w:val="32"/>
          <w:szCs w:val="32"/>
        </w:rPr>
        <w:t>2024</w:t>
      </w:r>
      <w:r>
        <w:rPr>
          <w:rFonts w:eastAsia="方正仿宋_GBK"/>
          <w:sz w:val="32"/>
          <w:szCs w:val="32"/>
        </w:rPr>
        <w:t>年12月31日，部门共有公务用车0辆，其中：轿车0辆、越野车0辆、载客汽车0辆。</w:t>
      </w:r>
    </w:p>
    <w:p>
      <w:pPr>
        <w:adjustRightInd w:val="0"/>
        <w:snapToGrid w:val="0"/>
        <w:ind w:firstLine="643" w:firstLineChars="200"/>
        <w:rPr>
          <w:rFonts w:eastAsia="方正仿宋_GBK"/>
          <w:sz w:val="32"/>
          <w:szCs w:val="32"/>
        </w:rPr>
      </w:pPr>
      <w:r>
        <w:rPr>
          <w:rFonts w:eastAsia="方正仿宋_GBK"/>
          <w:b/>
          <w:sz w:val="32"/>
          <w:szCs w:val="32"/>
        </w:rPr>
        <w:t>公务用车运行维护费支出0万元。</w:t>
      </w:r>
    </w:p>
    <w:p>
      <w:pPr>
        <w:adjustRightInd w:val="0"/>
        <w:snapToGrid w:val="0"/>
        <w:ind w:firstLine="643" w:firstLineChars="200"/>
        <w:rPr>
          <w:rFonts w:eastAsia="方正仿宋_GBK"/>
          <w:sz w:val="32"/>
          <w:szCs w:val="32"/>
        </w:rPr>
      </w:pPr>
      <w:r>
        <w:rPr>
          <w:rFonts w:eastAsia="方正仿宋_GBK"/>
          <w:b/>
          <w:bCs/>
          <w:sz w:val="32"/>
          <w:szCs w:val="32"/>
        </w:rPr>
        <w:t>3.公务接待费支出0.62万元，完成预算100%。</w:t>
      </w:r>
      <w:r>
        <w:rPr>
          <w:rFonts w:eastAsia="方正仿宋_GBK"/>
          <w:sz w:val="32"/>
          <w:szCs w:val="32"/>
        </w:rPr>
        <w:t>公务接待费支出决算较上年度增加0.16万元，增长33.79%，决算数与预算数持平。其中：</w:t>
      </w:r>
    </w:p>
    <w:p>
      <w:pPr>
        <w:adjustRightInd w:val="0"/>
        <w:snapToGrid w:val="0"/>
        <w:ind w:firstLine="640" w:firstLineChars="200"/>
        <w:rPr>
          <w:rFonts w:eastAsia="方正仿宋_GBK"/>
          <w:sz w:val="32"/>
          <w:szCs w:val="32"/>
        </w:rPr>
      </w:pPr>
      <w:r>
        <w:rPr>
          <w:rFonts w:eastAsia="方正仿宋_GBK"/>
          <w:sz w:val="32"/>
          <w:szCs w:val="32"/>
        </w:rPr>
        <w:t>国内公务接待支出0.62万元，主要用于</w:t>
      </w:r>
      <w:r>
        <w:rPr>
          <w:rFonts w:eastAsia="方正仿宋_GBK"/>
          <w:color w:val="000000"/>
          <w:sz w:val="32"/>
          <w:szCs w:val="32"/>
        </w:rPr>
        <w:t>接待市州来攀开展医保业务工作考察调研、省医保局专项检查等公务接待费</w:t>
      </w:r>
      <w:r>
        <w:rPr>
          <w:rFonts w:eastAsia="方正仿宋_GBK"/>
          <w:sz w:val="32"/>
          <w:szCs w:val="32"/>
        </w:rPr>
        <w:t>。国内公务接待4批次，26人次（不包括陪同人员），共计支出0.62万元，具体内容包括：</w:t>
      </w:r>
    </w:p>
    <w:p>
      <w:pPr>
        <w:adjustRightInd w:val="0"/>
        <w:snapToGrid w:val="0"/>
        <w:ind w:firstLine="640" w:firstLineChars="200"/>
        <w:rPr>
          <w:rFonts w:eastAsia="方正仿宋_GBK"/>
          <w:sz w:val="32"/>
          <w:szCs w:val="32"/>
        </w:rPr>
      </w:pPr>
      <w:r>
        <w:rPr>
          <w:rFonts w:eastAsia="方正仿宋_GBK"/>
          <w:sz w:val="32"/>
          <w:szCs w:val="32"/>
        </w:rPr>
        <w:t>接待省医保中心、凉山医保局</w:t>
      </w:r>
      <w:r>
        <w:rPr>
          <w:rFonts w:hint="eastAsia" w:eastAsia="方正仿宋_GBK"/>
          <w:sz w:val="32"/>
          <w:szCs w:val="32"/>
        </w:rPr>
        <w:t>参加</w:t>
      </w:r>
      <w:r>
        <w:rPr>
          <w:rFonts w:eastAsia="方正仿宋_GBK"/>
          <w:sz w:val="32"/>
          <w:szCs w:val="32"/>
        </w:rPr>
        <w:t>攀枝花医保数据发布活动0.23万元、接待省医保异地结算中心调研医保支付方式改革、异地就医工作0.11万元、接待甘孜州医保中心考察学习“市级统筹基金财务管理”和“紧密型县域医供体建设”0.18万元、接待省医保局开展药品耗材审计问题整改落实情况核查工作0.1万元。</w:t>
      </w:r>
    </w:p>
    <w:p>
      <w:pPr>
        <w:adjustRightInd w:val="0"/>
        <w:snapToGrid w:val="0"/>
        <w:ind w:firstLine="640" w:firstLineChars="200"/>
        <w:rPr>
          <w:rFonts w:eastAsia="方正仿宋_GBK"/>
          <w:sz w:val="32"/>
          <w:szCs w:val="32"/>
        </w:rPr>
      </w:pPr>
      <w:r>
        <w:rPr>
          <w:rFonts w:eastAsia="方正仿宋_GBK"/>
          <w:sz w:val="32"/>
          <w:szCs w:val="32"/>
        </w:rPr>
        <w:t>外事接待支出0万元，外事接待0批次，0人次（不包括陪同人员），共计支出0万元。</w:t>
      </w:r>
    </w:p>
    <w:p>
      <w:pPr>
        <w:adjustRightInd w:val="0"/>
        <w:snapToGrid w:val="0"/>
        <w:ind w:firstLine="640" w:firstLineChars="200"/>
        <w:outlineLvl w:val="1"/>
        <w:rPr>
          <w:rStyle w:val="32"/>
          <w:rFonts w:ascii="Times New Roman" w:hAnsi="Times New Roman" w:eastAsia="方正黑体_GBK" w:cs="Times New Roman"/>
        </w:rPr>
      </w:pPr>
      <w:bookmarkStart w:id="44" w:name="_Toc15377218"/>
      <w:bookmarkStart w:id="45" w:name="_Toc15396610"/>
      <w:r>
        <w:rPr>
          <w:rFonts w:eastAsia="方正黑体_GBK"/>
          <w:sz w:val="32"/>
          <w:szCs w:val="32"/>
        </w:rPr>
        <w:t>八、</w:t>
      </w:r>
      <w:r>
        <w:rPr>
          <w:rStyle w:val="32"/>
          <w:rFonts w:ascii="Times New Roman" w:hAnsi="Times New Roman" w:eastAsia="方正黑体_GBK" w:cs="Times New Roman"/>
          <w:b w:val="0"/>
        </w:rPr>
        <w:t>政府性基金预算支出决算情况说明</w:t>
      </w:r>
      <w:bookmarkEnd w:id="44"/>
      <w:bookmarkEnd w:id="45"/>
    </w:p>
    <w:p>
      <w:pPr>
        <w:adjustRightInd w:val="0"/>
        <w:snapToGrid w:val="0"/>
        <w:ind w:firstLine="640" w:firstLineChars="200"/>
        <w:rPr>
          <w:rFonts w:eastAsia="方正仿宋_GBK"/>
          <w:sz w:val="32"/>
          <w:szCs w:val="32"/>
        </w:rPr>
      </w:pPr>
      <w:r>
        <w:rPr>
          <w:rFonts w:eastAsia="方正仿宋_GBK"/>
          <w:sz w:val="32"/>
          <w:szCs w:val="32"/>
        </w:rPr>
        <w:t>2025年度政府性基金预算财政拨款支出0万元，占本年支出合计的0%。与</w:t>
      </w:r>
      <w:r>
        <w:rPr>
          <w:rFonts w:hint="eastAsia" w:eastAsia="方正仿宋_GBK"/>
          <w:sz w:val="32"/>
          <w:szCs w:val="32"/>
        </w:rPr>
        <w:t>2024</w:t>
      </w:r>
      <w:r>
        <w:rPr>
          <w:rFonts w:eastAsia="方正仿宋_GBK"/>
          <w:sz w:val="32"/>
          <w:szCs w:val="32"/>
        </w:rPr>
        <w:t>年度相比，政府性基金预算财政拨款支出与上年持平。</w:t>
      </w:r>
    </w:p>
    <w:p>
      <w:pPr>
        <w:adjustRightInd w:val="0"/>
        <w:snapToGrid w:val="0"/>
        <w:ind w:firstLine="640" w:firstLineChars="200"/>
        <w:outlineLvl w:val="1"/>
        <w:rPr>
          <w:rStyle w:val="32"/>
          <w:rFonts w:ascii="Times New Roman" w:hAnsi="Times New Roman" w:eastAsia="方正黑体_GBK" w:cs="Times New Roman"/>
          <w:b w:val="0"/>
        </w:rPr>
      </w:pPr>
      <w:bookmarkStart w:id="46" w:name="_Toc15377219"/>
      <w:bookmarkStart w:id="47" w:name="_Toc15396611"/>
      <w:r>
        <w:rPr>
          <w:rStyle w:val="32"/>
          <w:rFonts w:ascii="Times New Roman" w:hAnsi="Times New Roman" w:eastAsia="方正黑体_GBK" w:cs="Times New Roman"/>
          <w:b w:val="0"/>
        </w:rPr>
        <w:t>九、国有资本经营预算支出决算情况说明</w:t>
      </w:r>
      <w:bookmarkEnd w:id="46"/>
      <w:bookmarkEnd w:id="47"/>
    </w:p>
    <w:p>
      <w:pPr>
        <w:adjustRightInd w:val="0"/>
        <w:snapToGrid w:val="0"/>
        <w:ind w:firstLine="640" w:firstLineChars="200"/>
        <w:rPr>
          <w:rFonts w:eastAsia="方正仿宋_GBK"/>
          <w:sz w:val="32"/>
          <w:szCs w:val="32"/>
        </w:rPr>
      </w:pPr>
      <w:r>
        <w:rPr>
          <w:rFonts w:eastAsia="方正仿宋_GBK"/>
          <w:sz w:val="32"/>
          <w:szCs w:val="32"/>
        </w:rPr>
        <w:t>2025年度国有资本经营预算财政拨款支出0万元，占本年支出合计的0%。与</w:t>
      </w:r>
      <w:r>
        <w:rPr>
          <w:rFonts w:hint="eastAsia" w:eastAsia="方正仿宋_GBK"/>
          <w:sz w:val="32"/>
          <w:szCs w:val="32"/>
        </w:rPr>
        <w:t>2024</w:t>
      </w:r>
      <w:r>
        <w:rPr>
          <w:rFonts w:eastAsia="方正仿宋_GBK"/>
          <w:sz w:val="32"/>
          <w:szCs w:val="32"/>
        </w:rPr>
        <w:t>年度相比，国有资本经营预算财政拨款支出与上年持平。</w:t>
      </w:r>
      <w:bookmarkStart w:id="48" w:name="_Toc15396612"/>
      <w:bookmarkStart w:id="49" w:name="_Toc15377221"/>
    </w:p>
    <w:p>
      <w:pPr>
        <w:adjustRightInd w:val="0"/>
        <w:snapToGrid w:val="0"/>
        <w:ind w:firstLine="640" w:firstLineChars="200"/>
        <w:rPr>
          <w:rStyle w:val="32"/>
          <w:rFonts w:ascii="Times New Roman" w:hAnsi="Times New Roman" w:eastAsia="方正黑体_GBK" w:cs="Times New Roman"/>
          <w:b w:val="0"/>
        </w:rPr>
      </w:pPr>
      <w:r>
        <w:rPr>
          <w:rStyle w:val="32"/>
          <w:rFonts w:ascii="Times New Roman" w:hAnsi="Times New Roman" w:eastAsia="方正黑体_GBK" w:cs="Times New Roman"/>
          <w:b w:val="0"/>
        </w:rPr>
        <w:t>十、其他重要事项的情况说明</w:t>
      </w:r>
      <w:bookmarkEnd w:id="48"/>
      <w:bookmarkEnd w:id="49"/>
    </w:p>
    <w:p>
      <w:pPr>
        <w:adjustRightInd w:val="0"/>
        <w:snapToGrid w:val="0"/>
        <w:ind w:firstLine="643" w:firstLineChars="200"/>
        <w:outlineLvl w:val="2"/>
        <w:rPr>
          <w:rFonts w:eastAsia="方正楷体_GBK"/>
          <w:b/>
          <w:sz w:val="32"/>
          <w:szCs w:val="32"/>
        </w:rPr>
      </w:pPr>
      <w:bookmarkStart w:id="50" w:name="_Toc15377222"/>
      <w:r>
        <w:rPr>
          <w:rFonts w:eastAsia="方正楷体_GBK"/>
          <w:b/>
          <w:sz w:val="32"/>
          <w:szCs w:val="32"/>
        </w:rPr>
        <w:t>（一）机关运行经费支出情况</w:t>
      </w:r>
      <w:bookmarkEnd w:id="50"/>
    </w:p>
    <w:p>
      <w:pPr>
        <w:adjustRightInd w:val="0"/>
        <w:snapToGrid w:val="0"/>
        <w:ind w:firstLine="640" w:firstLineChars="200"/>
        <w:rPr>
          <w:rFonts w:eastAsia="方正仿宋_GBK"/>
          <w:sz w:val="32"/>
          <w:szCs w:val="32"/>
        </w:rPr>
      </w:pPr>
      <w:r>
        <w:rPr>
          <w:rFonts w:eastAsia="方正仿宋_GBK"/>
          <w:sz w:val="32"/>
          <w:szCs w:val="32"/>
        </w:rPr>
        <w:t>2025年度，攀枝花市医疗保障事务中心机关运行经费支出99.95万元，比2024年度95.29万元增加4.66万元，增长4.89%。主要原因是2025年新增3人，其中公招1人、调</w:t>
      </w:r>
      <w:r>
        <w:rPr>
          <w:rFonts w:hint="eastAsia" w:eastAsia="方正仿宋_GBK"/>
          <w:sz w:val="32"/>
          <w:szCs w:val="32"/>
        </w:rPr>
        <w:t>动</w:t>
      </w:r>
      <w:r>
        <w:rPr>
          <w:rFonts w:eastAsia="方正仿宋_GBK"/>
          <w:sz w:val="32"/>
          <w:szCs w:val="32"/>
        </w:rPr>
        <w:t>2人。</w:t>
      </w:r>
    </w:p>
    <w:p>
      <w:pPr>
        <w:adjustRightInd w:val="0"/>
        <w:snapToGrid w:val="0"/>
        <w:ind w:firstLine="643" w:firstLineChars="200"/>
        <w:outlineLvl w:val="2"/>
        <w:rPr>
          <w:rFonts w:eastAsia="方正楷体_GBK"/>
          <w:b/>
          <w:sz w:val="32"/>
          <w:szCs w:val="32"/>
        </w:rPr>
      </w:pPr>
      <w:bookmarkStart w:id="51" w:name="_Toc15377223"/>
      <w:r>
        <w:rPr>
          <w:rFonts w:eastAsia="方正楷体_GBK"/>
          <w:b/>
          <w:sz w:val="32"/>
          <w:szCs w:val="32"/>
        </w:rPr>
        <w:t>（二）政府采购支出情况</w:t>
      </w:r>
      <w:bookmarkEnd w:id="51"/>
    </w:p>
    <w:p>
      <w:pPr>
        <w:adjustRightInd w:val="0"/>
        <w:snapToGrid w:val="0"/>
        <w:ind w:firstLine="640" w:firstLineChars="200"/>
        <w:outlineLvl w:val="2"/>
        <w:rPr>
          <w:rFonts w:eastAsia="方正仿宋_GBK"/>
          <w:sz w:val="32"/>
          <w:szCs w:val="32"/>
        </w:rPr>
      </w:pPr>
      <w:bookmarkStart w:id="52" w:name="_Toc15377224"/>
      <w:r>
        <w:rPr>
          <w:rFonts w:eastAsia="方正仿宋_GBK"/>
          <w:sz w:val="32"/>
          <w:szCs w:val="32"/>
        </w:rPr>
        <w:t>2025年度，攀枝花市医疗保障事务中心政府采购支出总额49.5万元，其中：政府采购货物支出0万元、政府采购工程支出0万元、政府采购服务支出49.5万元。</w:t>
      </w:r>
      <w:r>
        <w:rPr>
          <w:rFonts w:hint="eastAsia" w:eastAsia="方正仿宋_GBK"/>
          <w:sz w:val="32"/>
          <w:szCs w:val="32"/>
          <w:highlight w:val="none"/>
        </w:rPr>
        <w:t>主要用于第三方机构服务稽核检查本级定点医药机构</w:t>
      </w:r>
      <w:r>
        <w:rPr>
          <w:rFonts w:eastAsia="方正仿宋_GBK"/>
          <w:sz w:val="32"/>
          <w:szCs w:val="32"/>
          <w:highlight w:val="none"/>
        </w:rPr>
        <w:t>44.5</w:t>
      </w:r>
      <w:r>
        <w:rPr>
          <w:rFonts w:hint="eastAsia" w:eastAsia="方正仿宋_GBK"/>
          <w:sz w:val="32"/>
          <w:szCs w:val="32"/>
          <w:highlight w:val="none"/>
        </w:rPr>
        <w:t>万元，康复病组按价值付费项目</w:t>
      </w:r>
      <w:r>
        <w:rPr>
          <w:rFonts w:eastAsia="方正仿宋_GBK"/>
          <w:sz w:val="32"/>
          <w:szCs w:val="32"/>
          <w:highlight w:val="none"/>
        </w:rPr>
        <w:t>5</w:t>
      </w:r>
      <w:r>
        <w:rPr>
          <w:rFonts w:hint="eastAsia" w:eastAsia="方正仿宋_GBK"/>
          <w:sz w:val="32"/>
          <w:szCs w:val="32"/>
          <w:highlight w:val="none"/>
        </w:rPr>
        <w:t>万元。</w:t>
      </w:r>
      <w:r>
        <w:rPr>
          <w:rFonts w:eastAsia="方正仿宋_GBK"/>
          <w:sz w:val="32"/>
          <w:szCs w:val="32"/>
        </w:rPr>
        <w:t>授予中小企业合同金额44.5万元，占政府采购支出总额的89.9%，其中：授予小微企业合同金额0万元，占政府采购支出总额的0%。</w:t>
      </w:r>
    </w:p>
    <w:p>
      <w:pPr>
        <w:adjustRightInd w:val="0"/>
        <w:snapToGrid w:val="0"/>
        <w:ind w:firstLine="643" w:firstLineChars="200"/>
        <w:outlineLvl w:val="2"/>
        <w:rPr>
          <w:rFonts w:eastAsia="方正楷体_GBK"/>
          <w:b/>
          <w:sz w:val="32"/>
          <w:szCs w:val="32"/>
        </w:rPr>
      </w:pPr>
      <w:r>
        <w:rPr>
          <w:rFonts w:eastAsia="方正楷体_GBK"/>
          <w:b/>
          <w:sz w:val="32"/>
          <w:szCs w:val="32"/>
        </w:rPr>
        <w:t>（三）国有资产占有使用情况</w:t>
      </w:r>
      <w:bookmarkEnd w:id="52"/>
    </w:p>
    <w:p>
      <w:pPr>
        <w:adjustRightInd w:val="0"/>
        <w:snapToGrid w:val="0"/>
        <w:ind w:firstLine="640" w:firstLineChars="200"/>
        <w:rPr>
          <w:rFonts w:eastAsia="方正仿宋_GBK"/>
          <w:sz w:val="32"/>
          <w:szCs w:val="32"/>
        </w:rPr>
      </w:pPr>
      <w:r>
        <w:rPr>
          <w:rFonts w:eastAsia="方正仿宋_GBK"/>
          <w:sz w:val="32"/>
          <w:szCs w:val="32"/>
        </w:rPr>
        <w:t>截至2025年12月31日，攀枝花市医疗保障事务中心共有车辆0辆，其中：主要负责人用车0辆、机要通信用车0辆、应急保障用车0辆、其他用车0辆。</w:t>
      </w:r>
    </w:p>
    <w:p>
      <w:pPr>
        <w:adjustRightInd w:val="0"/>
        <w:snapToGrid w:val="0"/>
        <w:ind w:firstLine="643" w:firstLineChars="200"/>
        <w:outlineLvl w:val="2"/>
        <w:rPr>
          <w:rFonts w:eastAsia="方正楷体_GBK"/>
          <w:b/>
          <w:sz w:val="32"/>
          <w:szCs w:val="32"/>
        </w:rPr>
      </w:pPr>
      <w:r>
        <w:rPr>
          <w:rFonts w:eastAsia="方正楷体_GBK"/>
          <w:b/>
          <w:sz w:val="32"/>
          <w:szCs w:val="32"/>
        </w:rPr>
        <w:t>（四）预算绩效管理情况</w:t>
      </w:r>
    </w:p>
    <w:p>
      <w:pPr>
        <w:adjustRightInd w:val="0"/>
        <w:snapToGrid w:val="0"/>
        <w:ind w:firstLine="640" w:firstLineChars="200"/>
        <w:rPr>
          <w:rFonts w:eastAsia="方正仿宋_GBK"/>
          <w:sz w:val="32"/>
          <w:szCs w:val="32"/>
        </w:rPr>
      </w:pPr>
      <w:bookmarkStart w:id="53" w:name="_Toc15396613"/>
      <w:bookmarkStart w:id="54" w:name="_Toc15377225"/>
      <w:r>
        <w:rPr>
          <w:rFonts w:eastAsia="方正仿宋_GBK"/>
          <w:sz w:val="32"/>
          <w:szCs w:val="32"/>
        </w:rPr>
        <w:t>根据预算绩效管理要求，攀枝花市医疗保障事务中心在2025年度，组织对</w:t>
      </w:r>
      <w:r>
        <w:rPr>
          <w:rFonts w:eastAsia="仿宋_GB2312"/>
          <w:sz w:val="32"/>
          <w:szCs w:val="32"/>
        </w:rPr>
        <w:t>医疗服务与保障能力提升中央财政补助资金</w:t>
      </w:r>
      <w:r>
        <w:rPr>
          <w:rFonts w:eastAsia="方正仿宋_GBK"/>
          <w:sz w:val="32"/>
          <w:szCs w:val="32"/>
        </w:rPr>
        <w:t>等4个项目开展了预算事前绩效评估，对4个项目编制了绩效目标，预算执行过程中，选取4个项目开展绩效监控。</w:t>
      </w:r>
    </w:p>
    <w:p>
      <w:pPr>
        <w:adjustRightInd w:val="0"/>
        <w:snapToGrid w:val="0"/>
        <w:ind w:firstLine="640" w:firstLineChars="200"/>
        <w:rPr>
          <w:rFonts w:eastAsia="方正仿宋_GBK"/>
          <w:sz w:val="32"/>
          <w:szCs w:val="32"/>
          <w:highlight w:val="yellow"/>
        </w:rPr>
      </w:pPr>
      <w:r>
        <w:rPr>
          <w:rFonts w:eastAsia="方正仿宋_GBK"/>
          <w:sz w:val="32"/>
          <w:szCs w:val="32"/>
        </w:rPr>
        <w:t>组织对2025年度一般公共预算开展绩效自评，形成攀枝花市医疗保障事务中心2025年度部门</w:t>
      </w:r>
      <w:r>
        <w:rPr>
          <w:rFonts w:hint="eastAsia" w:eastAsia="方正仿宋_GBK"/>
          <w:sz w:val="32"/>
          <w:szCs w:val="32"/>
        </w:rPr>
        <w:t>预算</w:t>
      </w:r>
      <w:r>
        <w:rPr>
          <w:rFonts w:eastAsia="方正仿宋_GBK"/>
          <w:sz w:val="32"/>
          <w:szCs w:val="32"/>
        </w:rPr>
        <w:t>绩效自评报告</w:t>
      </w:r>
      <w:r>
        <w:rPr>
          <w:rFonts w:hint="eastAsia" w:eastAsia="方正仿宋_GBK"/>
          <w:sz w:val="32"/>
          <w:szCs w:val="32"/>
        </w:rPr>
        <w:t>、2025年</w:t>
      </w:r>
      <w:r>
        <w:rPr>
          <w:rFonts w:eastAsia="方正仿宋_GBK"/>
          <w:sz w:val="32"/>
          <w:szCs w:val="32"/>
        </w:rPr>
        <w:t>部门预算项目</w:t>
      </w:r>
      <w:r>
        <w:rPr>
          <w:rFonts w:hint="eastAsia" w:eastAsia="方正仿宋_GBK"/>
          <w:sz w:val="32"/>
          <w:szCs w:val="32"/>
        </w:rPr>
        <w:t>绩效自评报告，</w:t>
      </w:r>
      <w:r>
        <w:rPr>
          <w:rFonts w:eastAsia="方正仿宋_GBK"/>
          <w:sz w:val="32"/>
          <w:szCs w:val="32"/>
        </w:rPr>
        <w:t>其中，攀枝花市医疗保障事务中心2025年度部门</w:t>
      </w:r>
      <w:r>
        <w:rPr>
          <w:rFonts w:hint="eastAsia" w:eastAsia="方正仿宋_GBK"/>
          <w:sz w:val="32"/>
          <w:szCs w:val="32"/>
        </w:rPr>
        <w:t>预算</w:t>
      </w:r>
      <w:r>
        <w:rPr>
          <w:rFonts w:eastAsia="方正仿宋_GBK"/>
          <w:sz w:val="32"/>
          <w:szCs w:val="32"/>
        </w:rPr>
        <w:t>绩效自评得分为</w:t>
      </w:r>
      <w:r>
        <w:rPr>
          <w:rFonts w:hint="eastAsia" w:eastAsia="方正仿宋_GBK"/>
          <w:sz w:val="32"/>
          <w:szCs w:val="32"/>
        </w:rPr>
        <w:t>94.16分</w:t>
      </w:r>
      <w:r>
        <w:rPr>
          <w:rFonts w:eastAsia="方正仿宋_GBK"/>
          <w:sz w:val="32"/>
          <w:szCs w:val="32"/>
        </w:rPr>
        <w:t>，</w:t>
      </w:r>
      <w:r>
        <w:rPr>
          <w:rFonts w:hint="eastAsia" w:eastAsia="仿宋_GB2312" w:cs="仿宋_GB2312"/>
          <w:sz w:val="32"/>
          <w:szCs w:val="32"/>
        </w:rPr>
        <w:t>绩效自评综述</w:t>
      </w:r>
      <w:r>
        <w:rPr>
          <w:rFonts w:eastAsia="方正仿宋_GBK"/>
          <w:color w:val="000000"/>
          <w:sz w:val="32"/>
          <w:szCs w:val="32"/>
        </w:rPr>
        <w:t>为优秀</w:t>
      </w:r>
      <w:r>
        <w:rPr>
          <w:rFonts w:eastAsia="方正仿宋_GBK"/>
          <w:sz w:val="32"/>
          <w:szCs w:val="32"/>
        </w:rPr>
        <w:t>；DRG项目</w:t>
      </w:r>
      <w:r>
        <w:rPr>
          <w:rFonts w:hint="eastAsia" w:eastAsia="方正仿宋_GBK"/>
          <w:sz w:val="32"/>
          <w:szCs w:val="32"/>
        </w:rPr>
        <w:t>预算</w:t>
      </w:r>
      <w:r>
        <w:rPr>
          <w:rFonts w:eastAsia="方正仿宋_GBK"/>
          <w:sz w:val="32"/>
          <w:szCs w:val="32"/>
        </w:rPr>
        <w:t>绩效自评得分为100分，</w:t>
      </w:r>
      <w:r>
        <w:rPr>
          <w:rFonts w:hint="eastAsia" w:eastAsia="仿宋_GB2312" w:cs="仿宋_GB2312"/>
          <w:sz w:val="32"/>
          <w:szCs w:val="32"/>
        </w:rPr>
        <w:t>绩效自评综述</w:t>
      </w:r>
      <w:r>
        <w:rPr>
          <w:rFonts w:eastAsia="方正仿宋_GBK"/>
          <w:sz w:val="32"/>
          <w:szCs w:val="32"/>
        </w:rPr>
        <w:t>为优秀</w:t>
      </w:r>
      <w:r>
        <w:rPr>
          <w:rFonts w:hint="eastAsia" w:eastAsia="方正仿宋_GBK"/>
          <w:sz w:val="32"/>
          <w:szCs w:val="32"/>
        </w:rPr>
        <w:t>；医保定点医药机构监管项目预算绩效自评得分为100分，</w:t>
      </w:r>
      <w:r>
        <w:rPr>
          <w:rFonts w:hint="eastAsia" w:eastAsia="仿宋_GB2312" w:cs="仿宋_GB2312"/>
          <w:sz w:val="32"/>
          <w:szCs w:val="32"/>
        </w:rPr>
        <w:t>绩效自评综述</w:t>
      </w:r>
      <w:r>
        <w:rPr>
          <w:rFonts w:eastAsia="方正仿宋_GBK"/>
          <w:sz w:val="32"/>
          <w:szCs w:val="32"/>
        </w:rPr>
        <w:t>为优秀</w:t>
      </w:r>
      <w:r>
        <w:rPr>
          <w:rFonts w:hint="eastAsia" w:eastAsia="方正仿宋_GBK"/>
          <w:sz w:val="32"/>
          <w:szCs w:val="32"/>
        </w:rPr>
        <w:t>；医疗服务与保障能力提升中央财政补助资金绩效自评得分为99.1分，</w:t>
      </w:r>
      <w:r>
        <w:rPr>
          <w:rFonts w:hint="eastAsia" w:eastAsia="仿宋_GB2312" w:cs="仿宋_GB2312"/>
          <w:sz w:val="32"/>
          <w:szCs w:val="32"/>
        </w:rPr>
        <w:t>绩效自评综述</w:t>
      </w:r>
      <w:r>
        <w:rPr>
          <w:rFonts w:eastAsia="方正仿宋_GBK"/>
          <w:sz w:val="32"/>
          <w:szCs w:val="32"/>
        </w:rPr>
        <w:t>为优秀</w:t>
      </w:r>
      <w:r>
        <w:rPr>
          <w:rFonts w:hint="eastAsia" w:eastAsia="方正仿宋_GBK"/>
          <w:sz w:val="32"/>
          <w:szCs w:val="32"/>
        </w:rPr>
        <w:t>。</w:t>
      </w:r>
      <w:r>
        <w:rPr>
          <w:rFonts w:eastAsia="方正仿宋_GBK"/>
          <w:sz w:val="32"/>
          <w:szCs w:val="32"/>
        </w:rPr>
        <w:t>绩效自评报告详见附件。</w:t>
      </w:r>
    </w:p>
    <w:p>
      <w:pPr>
        <w:adjustRightInd w:val="0"/>
        <w:snapToGrid w:val="0"/>
        <w:rPr>
          <w:rFonts w:eastAsia="方正仿宋_GBK"/>
          <w:sz w:val="32"/>
          <w:szCs w:val="32"/>
          <w:highlight w:val="yellow"/>
        </w:rPr>
      </w:pPr>
    </w:p>
    <w:p>
      <w:pPr>
        <w:adjustRightInd w:val="0"/>
        <w:snapToGrid w:val="0"/>
        <w:rPr>
          <w:rFonts w:eastAsia="方正仿宋_GBK"/>
          <w:sz w:val="32"/>
          <w:szCs w:val="32"/>
          <w:highlight w:val="yellow"/>
        </w:rPr>
      </w:pPr>
    </w:p>
    <w:p>
      <w:pPr>
        <w:adjustRightInd w:val="0"/>
        <w:snapToGrid w:val="0"/>
        <w:ind w:firstLine="640" w:firstLineChars="200"/>
        <w:rPr>
          <w:rFonts w:eastAsia="方正仿宋_GBK"/>
          <w:sz w:val="32"/>
          <w:szCs w:val="32"/>
          <w:highlight w:val="yellow"/>
        </w:rPr>
      </w:pPr>
    </w:p>
    <w:p>
      <w:pPr>
        <w:numPr>
          <w:ilvl w:val="0"/>
          <w:numId w:val="2"/>
        </w:numPr>
        <w:adjustRightInd w:val="0"/>
        <w:snapToGrid w:val="0"/>
        <w:spacing w:line="0" w:lineRule="atLeast"/>
        <w:jc w:val="center"/>
        <w:outlineLvl w:val="0"/>
        <w:rPr>
          <w:rFonts w:eastAsia="方正黑体_GBK"/>
          <w:sz w:val="44"/>
          <w:szCs w:val="44"/>
        </w:rPr>
      </w:pPr>
      <w:r>
        <w:rPr>
          <w:rFonts w:eastAsia="方正黑体_GBK"/>
          <w:sz w:val="44"/>
          <w:szCs w:val="44"/>
        </w:rPr>
        <w:t xml:space="preserve"> 名词解释</w:t>
      </w:r>
      <w:bookmarkEnd w:id="53"/>
      <w:bookmarkEnd w:id="54"/>
    </w:p>
    <w:p>
      <w:pPr>
        <w:adjustRightInd w:val="0"/>
        <w:snapToGrid w:val="0"/>
        <w:spacing w:line="0" w:lineRule="atLeast"/>
        <w:outlineLvl w:val="0"/>
        <w:rPr>
          <w:rFonts w:eastAsia="方正黑体_GBK"/>
          <w:sz w:val="32"/>
          <w:szCs w:val="32"/>
        </w:rPr>
      </w:pPr>
    </w:p>
    <w:p>
      <w:pPr>
        <w:pStyle w:val="29"/>
        <w:snapToGrid w:val="0"/>
        <w:ind w:firstLine="640" w:firstLineChars="200"/>
        <w:rPr>
          <w:rFonts w:ascii="Times New Roman" w:hAnsi="Times New Roman" w:eastAsia="方正仿宋_GBK" w:cs="Times New Roman"/>
          <w:color w:val="auto"/>
          <w:sz w:val="32"/>
          <w:szCs w:val="32"/>
        </w:rPr>
      </w:pPr>
      <w:bookmarkStart w:id="55" w:name="_Toc15377226"/>
      <w:r>
        <w:rPr>
          <w:rFonts w:ascii="Times New Roman" w:hAnsi="Times New Roman" w:eastAsia="方正仿宋_GBK" w:cs="Times New Roman"/>
          <w:color w:val="auto"/>
          <w:sz w:val="32"/>
          <w:szCs w:val="32"/>
        </w:rPr>
        <w:t>1.财政拨款收入：指部门从同级财政部门取得的财政预算资金。</w:t>
      </w:r>
    </w:p>
    <w:p>
      <w:pPr>
        <w:pStyle w:val="29"/>
        <w:snapToGrid w:val="0"/>
        <w:ind w:firstLine="640" w:firstLineChars="200"/>
        <w:rPr>
          <w:rFonts w:ascii="Times New Roman" w:hAnsi="Times New Roman" w:eastAsia="方正仿宋_GBK" w:cs="Times New Roman"/>
          <w:color w:val="auto"/>
          <w:sz w:val="32"/>
          <w:szCs w:val="32"/>
        </w:rPr>
      </w:pPr>
      <w:r>
        <w:rPr>
          <w:rFonts w:ascii="Times New Roman" w:hAnsi="Times New Roman" w:eastAsia="方正仿宋_GBK" w:cs="Times New Roman"/>
          <w:color w:val="auto"/>
          <w:sz w:val="32"/>
          <w:szCs w:val="32"/>
        </w:rPr>
        <w:t>2.事业收入：指事业单位开展专业业务活动及辅助活动取得的收入。</w:t>
      </w:r>
    </w:p>
    <w:p>
      <w:pPr>
        <w:pStyle w:val="29"/>
        <w:snapToGrid w:val="0"/>
        <w:ind w:firstLine="640" w:firstLineChars="200"/>
        <w:rPr>
          <w:rFonts w:ascii="Times New Roman" w:hAnsi="Times New Roman" w:eastAsia="方正仿宋_GBK" w:cs="Times New Roman"/>
          <w:color w:val="auto"/>
          <w:sz w:val="32"/>
          <w:szCs w:val="32"/>
        </w:rPr>
      </w:pPr>
      <w:r>
        <w:rPr>
          <w:rFonts w:hint="eastAsia" w:ascii="Times New Roman" w:hAnsi="Times New Roman" w:eastAsia="方正仿宋_GBK" w:cs="Times New Roman"/>
          <w:color w:val="auto"/>
          <w:sz w:val="32"/>
          <w:szCs w:val="32"/>
        </w:rPr>
        <w:t>3</w:t>
      </w:r>
      <w:r>
        <w:rPr>
          <w:rFonts w:ascii="Times New Roman" w:hAnsi="Times New Roman" w:eastAsia="方正仿宋_GBK" w:cs="Times New Roman"/>
          <w:color w:val="auto"/>
          <w:sz w:val="32"/>
          <w:szCs w:val="32"/>
        </w:rPr>
        <w:t xml:space="preserve">.其他收入：指部门取得的除上述收入以外的各项收入。 </w:t>
      </w:r>
    </w:p>
    <w:p>
      <w:pPr>
        <w:pStyle w:val="29"/>
        <w:snapToGrid w:val="0"/>
        <w:ind w:firstLine="640" w:firstLineChars="200"/>
        <w:rPr>
          <w:rFonts w:ascii="Times New Roman" w:hAnsi="Times New Roman" w:eastAsia="方正仿宋_GBK" w:cs="Times New Roman"/>
          <w:color w:val="auto"/>
          <w:sz w:val="32"/>
          <w:szCs w:val="32"/>
        </w:rPr>
      </w:pPr>
      <w:r>
        <w:rPr>
          <w:rFonts w:hint="eastAsia" w:ascii="Times New Roman" w:hAnsi="Times New Roman" w:eastAsia="方正仿宋_GBK" w:cs="Times New Roman"/>
          <w:color w:val="auto"/>
          <w:sz w:val="32"/>
          <w:szCs w:val="32"/>
        </w:rPr>
        <w:t>4</w:t>
      </w:r>
      <w:r>
        <w:rPr>
          <w:rFonts w:ascii="Times New Roman" w:hAnsi="Times New Roman" w:eastAsia="方正仿宋_GBK" w:cs="Times New Roman"/>
          <w:color w:val="auto"/>
          <w:sz w:val="32"/>
          <w:szCs w:val="32"/>
        </w:rPr>
        <w:t>.</w:t>
      </w:r>
      <w:r>
        <w:rPr>
          <w:rFonts w:ascii="Times New Roman" w:hAnsi="Times New Roman" w:eastAsia="方正仿宋_GBK" w:cs="Times New Roman"/>
          <w:sz w:val="32"/>
          <w:szCs w:val="32"/>
        </w:rPr>
        <w:t>使用非财政拨款结余（含专用结余）</w:t>
      </w:r>
      <w:r>
        <w:rPr>
          <w:rFonts w:ascii="Times New Roman" w:hAnsi="Times New Roman" w:eastAsia="方正仿宋_GBK" w:cs="Times New Roman"/>
          <w:color w:val="auto"/>
          <w:sz w:val="32"/>
          <w:szCs w:val="32"/>
        </w:rPr>
        <w:t xml:space="preserve">：指事业单位使用以前年度积累的非财政拨款结余弥补当年收支差额的金额。 </w:t>
      </w:r>
    </w:p>
    <w:p>
      <w:pPr>
        <w:pStyle w:val="29"/>
        <w:snapToGrid w:val="0"/>
        <w:ind w:firstLine="640" w:firstLineChars="200"/>
        <w:rPr>
          <w:rFonts w:ascii="Times New Roman" w:hAnsi="Times New Roman" w:eastAsia="方正仿宋_GBK" w:cs="Times New Roman"/>
          <w:color w:val="auto"/>
          <w:sz w:val="32"/>
          <w:szCs w:val="32"/>
        </w:rPr>
      </w:pPr>
      <w:r>
        <w:rPr>
          <w:rFonts w:hint="eastAsia" w:ascii="Times New Roman" w:hAnsi="Times New Roman" w:eastAsia="方正仿宋_GBK" w:cs="Times New Roman"/>
          <w:color w:val="auto"/>
          <w:sz w:val="32"/>
          <w:szCs w:val="32"/>
        </w:rPr>
        <w:t>5</w:t>
      </w:r>
      <w:r>
        <w:rPr>
          <w:rFonts w:ascii="Times New Roman" w:hAnsi="Times New Roman" w:eastAsia="方正仿宋_GBK" w:cs="Times New Roman"/>
          <w:color w:val="auto"/>
          <w:sz w:val="32"/>
          <w:szCs w:val="32"/>
        </w:rPr>
        <w:t xml:space="preserve">.年初结转和结余：指以前年度尚未完成、结转到本年按有关规定继续使用的资金。 </w:t>
      </w:r>
    </w:p>
    <w:p>
      <w:pPr>
        <w:pStyle w:val="29"/>
        <w:snapToGrid w:val="0"/>
        <w:ind w:firstLine="640" w:firstLineChars="200"/>
        <w:rPr>
          <w:rFonts w:ascii="Times New Roman" w:hAnsi="Times New Roman" w:eastAsia="方正仿宋_GBK" w:cs="Times New Roman"/>
          <w:color w:val="auto"/>
          <w:sz w:val="32"/>
          <w:szCs w:val="32"/>
        </w:rPr>
      </w:pPr>
      <w:r>
        <w:rPr>
          <w:rFonts w:hint="eastAsia" w:ascii="Times New Roman" w:hAnsi="Times New Roman" w:eastAsia="方正仿宋_GBK" w:cs="Times New Roman"/>
          <w:color w:val="auto"/>
          <w:sz w:val="32"/>
          <w:szCs w:val="32"/>
        </w:rPr>
        <w:t>6</w:t>
      </w:r>
      <w:r>
        <w:rPr>
          <w:rFonts w:ascii="Times New Roman" w:hAnsi="Times New Roman" w:eastAsia="方正仿宋_GBK" w:cs="Times New Roman"/>
          <w:color w:val="auto"/>
          <w:sz w:val="32"/>
          <w:szCs w:val="32"/>
        </w:rPr>
        <w:t>.结余分配：指事业单位按照会计制度规定缴纳的所得税、提取的专用结余以及转入非财政拨款结余的金额等。</w:t>
      </w:r>
    </w:p>
    <w:p>
      <w:pPr>
        <w:pStyle w:val="29"/>
        <w:snapToGrid w:val="0"/>
        <w:ind w:firstLine="640" w:firstLineChars="200"/>
        <w:rPr>
          <w:rFonts w:ascii="Times New Roman" w:hAnsi="Times New Roman" w:eastAsia="方正仿宋_GBK" w:cs="Times New Roman"/>
          <w:color w:val="auto"/>
          <w:sz w:val="32"/>
          <w:szCs w:val="32"/>
        </w:rPr>
      </w:pPr>
      <w:r>
        <w:rPr>
          <w:rFonts w:hint="eastAsia" w:ascii="Times New Roman" w:hAnsi="Times New Roman" w:eastAsia="方正仿宋_GBK" w:cs="Times New Roman"/>
          <w:color w:val="auto"/>
          <w:sz w:val="32"/>
          <w:szCs w:val="32"/>
        </w:rPr>
        <w:t>7</w:t>
      </w:r>
      <w:r>
        <w:rPr>
          <w:rFonts w:ascii="Times New Roman" w:hAnsi="Times New Roman" w:eastAsia="方正仿宋_GBK" w:cs="Times New Roman"/>
          <w:color w:val="auto"/>
          <w:sz w:val="32"/>
          <w:szCs w:val="32"/>
        </w:rPr>
        <w:t>.年末结转和结余：指部门按有关规定结转到下年或以后年度继续使用的资金。</w:t>
      </w:r>
    </w:p>
    <w:p>
      <w:pPr>
        <w:adjustRightInd w:val="0"/>
        <w:snapToGrid w:val="0"/>
        <w:ind w:firstLine="640" w:firstLineChars="200"/>
        <w:rPr>
          <w:rFonts w:eastAsia="方正仿宋_GBK"/>
          <w:sz w:val="32"/>
          <w:szCs w:val="32"/>
        </w:rPr>
      </w:pPr>
      <w:r>
        <w:rPr>
          <w:rFonts w:hint="eastAsia" w:eastAsia="方正仿宋_GBK"/>
          <w:sz w:val="32"/>
          <w:szCs w:val="32"/>
        </w:rPr>
        <w:t>8</w:t>
      </w:r>
      <w:r>
        <w:rPr>
          <w:rFonts w:eastAsia="方正仿宋_GBK"/>
          <w:sz w:val="32"/>
          <w:szCs w:val="32"/>
        </w:rPr>
        <w:t>.一般公共服务201（类）32（款）99（项）其他事务支出：反映除上述项目以外其他适用于中国共产党组织部门的事务支出。</w:t>
      </w:r>
    </w:p>
    <w:p>
      <w:pPr>
        <w:numPr>
          <w:ilvl w:val="255"/>
          <w:numId w:val="0"/>
        </w:numPr>
        <w:adjustRightInd w:val="0"/>
        <w:snapToGrid w:val="0"/>
        <w:ind w:firstLine="640" w:firstLineChars="200"/>
        <w:rPr>
          <w:rFonts w:eastAsia="方正仿宋_GBK"/>
          <w:sz w:val="32"/>
          <w:szCs w:val="32"/>
        </w:rPr>
      </w:pPr>
      <w:r>
        <w:rPr>
          <w:rFonts w:hint="eastAsia" w:eastAsia="方正仿宋_GBK"/>
          <w:sz w:val="32"/>
          <w:szCs w:val="32"/>
        </w:rPr>
        <w:t>9.</w:t>
      </w:r>
      <w:r>
        <w:rPr>
          <w:rFonts w:eastAsia="方正仿宋_GBK"/>
          <w:sz w:val="32"/>
          <w:szCs w:val="32"/>
        </w:rPr>
        <w:t>社会保障和就业</w:t>
      </w:r>
    </w:p>
    <w:p>
      <w:pPr>
        <w:adjustRightInd w:val="0"/>
        <w:snapToGrid w:val="0"/>
        <w:ind w:firstLine="640" w:firstLineChars="200"/>
        <w:rPr>
          <w:rFonts w:eastAsia="方正仿宋_GBK"/>
          <w:sz w:val="32"/>
          <w:szCs w:val="32"/>
        </w:rPr>
      </w:pPr>
      <w:r>
        <w:rPr>
          <w:rFonts w:eastAsia="方正仿宋_GBK"/>
          <w:sz w:val="32"/>
          <w:szCs w:val="32"/>
        </w:rPr>
        <w:t>208（类）05（款）01（项）行政单位离退休：反映用于行政事业单位养老方面的支出。</w:t>
      </w:r>
    </w:p>
    <w:p>
      <w:pPr>
        <w:adjustRightInd w:val="0"/>
        <w:snapToGrid w:val="0"/>
        <w:ind w:firstLine="640" w:firstLineChars="200"/>
        <w:rPr>
          <w:rFonts w:eastAsia="方正仿宋_GBK"/>
          <w:sz w:val="32"/>
          <w:szCs w:val="32"/>
        </w:rPr>
      </w:pPr>
      <w:r>
        <w:rPr>
          <w:rFonts w:eastAsia="方正仿宋_GBK"/>
          <w:sz w:val="32"/>
          <w:szCs w:val="32"/>
        </w:rPr>
        <w:t>208（类）05（款）05（项）机关事业单位基本养老保险缴费支出：反映机关事业单位实施养老保险制度由单位实际缴纳的基本养老保险费支出。</w:t>
      </w:r>
    </w:p>
    <w:p>
      <w:pPr>
        <w:adjustRightInd w:val="0"/>
        <w:snapToGrid w:val="0"/>
        <w:ind w:firstLine="640" w:firstLineChars="200"/>
        <w:rPr>
          <w:rFonts w:eastAsia="方正仿宋_GBK"/>
          <w:sz w:val="32"/>
          <w:szCs w:val="32"/>
        </w:rPr>
      </w:pPr>
      <w:r>
        <w:rPr>
          <w:rFonts w:eastAsia="方正仿宋_GBK"/>
          <w:sz w:val="32"/>
          <w:szCs w:val="32"/>
        </w:rPr>
        <w:t>208（类）05（款）06（项）机关事业单位职业年金缴费支出：反映机关事业单位实施养老保险制度由单位实际缴纳的职业年金支出（含职业年金补记支出）。</w:t>
      </w:r>
    </w:p>
    <w:p>
      <w:pPr>
        <w:adjustRightInd w:val="0"/>
        <w:snapToGrid w:val="0"/>
        <w:ind w:firstLine="640" w:firstLineChars="200"/>
        <w:rPr>
          <w:rFonts w:eastAsia="方正仿宋_GBK"/>
          <w:sz w:val="32"/>
          <w:szCs w:val="32"/>
        </w:rPr>
      </w:pPr>
      <w:r>
        <w:rPr>
          <w:rFonts w:eastAsia="方正仿宋_GBK"/>
          <w:sz w:val="32"/>
          <w:szCs w:val="32"/>
        </w:rPr>
        <w:t>1</w:t>
      </w:r>
      <w:r>
        <w:rPr>
          <w:rFonts w:hint="eastAsia" w:eastAsia="方正仿宋_GBK"/>
          <w:sz w:val="32"/>
          <w:szCs w:val="32"/>
        </w:rPr>
        <w:t>0</w:t>
      </w:r>
      <w:r>
        <w:rPr>
          <w:rFonts w:eastAsia="方正仿宋_GBK"/>
          <w:sz w:val="32"/>
          <w:szCs w:val="32"/>
        </w:rPr>
        <w:t>.卫生健康</w:t>
      </w:r>
    </w:p>
    <w:p>
      <w:pPr>
        <w:adjustRightInd w:val="0"/>
        <w:snapToGrid w:val="0"/>
        <w:ind w:firstLine="640" w:firstLineChars="200"/>
        <w:rPr>
          <w:rFonts w:eastAsia="方正仿宋_GBK"/>
          <w:sz w:val="32"/>
          <w:szCs w:val="32"/>
        </w:rPr>
      </w:pPr>
      <w:r>
        <w:rPr>
          <w:rFonts w:eastAsia="方正仿宋_GBK"/>
          <w:sz w:val="32"/>
          <w:szCs w:val="32"/>
        </w:rPr>
        <w:t>210（类）11（款）01（项）行政单位医疗：</w:t>
      </w:r>
      <w:r>
        <w:rPr>
          <w:rFonts w:eastAsia="方正仿宋_GBK"/>
          <w:color w:val="000000"/>
          <w:sz w:val="32"/>
          <w:szCs w:val="32"/>
        </w:rPr>
        <w:t>反映财政部门安排的行政单位（包括实行公务员管理的事业单位，下同）基本医疗保险缴费经费，未参加医疗保险的行政单位的公费医疗经费，按国家规定享受离休人员，红军老战士待遇人员的医疗经费</w:t>
      </w:r>
      <w:r>
        <w:rPr>
          <w:rFonts w:eastAsia="方正仿宋_GBK"/>
          <w:sz w:val="32"/>
          <w:szCs w:val="32"/>
        </w:rPr>
        <w:t>。</w:t>
      </w:r>
    </w:p>
    <w:p>
      <w:pPr>
        <w:adjustRightInd w:val="0"/>
        <w:snapToGrid w:val="0"/>
        <w:ind w:firstLine="640" w:firstLineChars="200"/>
        <w:rPr>
          <w:rFonts w:eastAsia="方正仿宋_GBK"/>
          <w:sz w:val="32"/>
          <w:szCs w:val="32"/>
        </w:rPr>
      </w:pPr>
      <w:r>
        <w:rPr>
          <w:rFonts w:eastAsia="方正仿宋_GBK"/>
          <w:sz w:val="32"/>
          <w:szCs w:val="32"/>
        </w:rPr>
        <w:t>210（类）11（款）03（项）公务员医疗补助：</w:t>
      </w:r>
      <w:r>
        <w:rPr>
          <w:rFonts w:eastAsia="方正仿宋_GBK"/>
          <w:color w:val="000000"/>
          <w:sz w:val="32"/>
          <w:szCs w:val="32"/>
        </w:rPr>
        <w:t>反映财政部门安排的公务员医疗补助经费</w:t>
      </w:r>
      <w:r>
        <w:rPr>
          <w:rFonts w:eastAsia="方正仿宋_GBK"/>
          <w:sz w:val="32"/>
          <w:szCs w:val="32"/>
        </w:rPr>
        <w:t>。</w:t>
      </w:r>
    </w:p>
    <w:p>
      <w:pPr>
        <w:adjustRightInd w:val="0"/>
        <w:snapToGrid w:val="0"/>
        <w:ind w:firstLine="640" w:firstLineChars="200"/>
        <w:rPr>
          <w:rFonts w:eastAsia="方正仿宋_GBK"/>
          <w:sz w:val="32"/>
          <w:szCs w:val="32"/>
        </w:rPr>
      </w:pPr>
      <w:r>
        <w:rPr>
          <w:rFonts w:eastAsia="方正仿宋_GBK"/>
          <w:sz w:val="32"/>
          <w:szCs w:val="32"/>
        </w:rPr>
        <w:t>210（类）11（款）99（项）其他行政事业单位医疗支出：反映除上述项目以外的用于其他行政事业单位医疗方面的支出。</w:t>
      </w:r>
    </w:p>
    <w:p>
      <w:pPr>
        <w:adjustRightInd w:val="0"/>
        <w:snapToGrid w:val="0"/>
        <w:ind w:firstLine="640" w:firstLineChars="200"/>
        <w:rPr>
          <w:rFonts w:eastAsia="方正仿宋_GBK"/>
          <w:sz w:val="32"/>
          <w:szCs w:val="32"/>
        </w:rPr>
      </w:pPr>
      <w:r>
        <w:rPr>
          <w:rFonts w:eastAsia="方正仿宋_GBK"/>
          <w:sz w:val="32"/>
          <w:szCs w:val="32"/>
        </w:rPr>
        <w:t>210（类）15（款）01（项）行政运行：反映行政单位(包括实行公务员管理的事业单位）的基本支出。</w:t>
      </w:r>
    </w:p>
    <w:p>
      <w:pPr>
        <w:adjustRightInd w:val="0"/>
        <w:snapToGrid w:val="0"/>
        <w:ind w:firstLine="640" w:firstLineChars="200"/>
        <w:rPr>
          <w:rFonts w:eastAsia="方正仿宋_GBK"/>
          <w:sz w:val="32"/>
          <w:szCs w:val="32"/>
        </w:rPr>
      </w:pPr>
      <w:r>
        <w:rPr>
          <w:rFonts w:eastAsia="方正仿宋_GBK"/>
          <w:sz w:val="32"/>
          <w:szCs w:val="32"/>
        </w:rPr>
        <w:t>210（类）15（款）06（项）医疗保障经办事务：反映医保基金核算、精算、参保登记、权益记录、转移接续等医疗保障经办支出。</w:t>
      </w:r>
    </w:p>
    <w:p>
      <w:pPr>
        <w:adjustRightInd w:val="0"/>
        <w:snapToGrid w:val="0"/>
        <w:ind w:firstLine="640" w:firstLineChars="200"/>
        <w:rPr>
          <w:rFonts w:eastAsia="方正仿宋_GBK"/>
          <w:sz w:val="32"/>
          <w:szCs w:val="32"/>
        </w:rPr>
      </w:pPr>
      <w:r>
        <w:rPr>
          <w:rFonts w:eastAsia="方正仿宋_GBK"/>
          <w:sz w:val="32"/>
          <w:szCs w:val="32"/>
        </w:rPr>
        <w:t>210（类）15（款）99（项）其他医疗保障管理事务支出：反映除上述项目以外的其他用于医疗保障管理事务方面的支出。</w:t>
      </w:r>
    </w:p>
    <w:p>
      <w:pPr>
        <w:adjustRightInd w:val="0"/>
        <w:snapToGrid w:val="0"/>
        <w:ind w:firstLine="640" w:firstLineChars="200"/>
        <w:rPr>
          <w:rFonts w:eastAsia="方正仿宋_GBK"/>
          <w:b/>
          <w:sz w:val="32"/>
          <w:szCs w:val="32"/>
        </w:rPr>
      </w:pPr>
      <w:r>
        <w:rPr>
          <w:rFonts w:eastAsia="方正仿宋_GBK"/>
          <w:sz w:val="32"/>
          <w:szCs w:val="32"/>
        </w:rPr>
        <w:t>1</w:t>
      </w:r>
      <w:r>
        <w:rPr>
          <w:rFonts w:hint="eastAsia" w:eastAsia="方正仿宋_GBK"/>
          <w:sz w:val="32"/>
          <w:szCs w:val="32"/>
        </w:rPr>
        <w:t>1</w:t>
      </w:r>
      <w:r>
        <w:rPr>
          <w:rFonts w:eastAsia="方正仿宋_GBK"/>
          <w:sz w:val="32"/>
          <w:szCs w:val="32"/>
        </w:rPr>
        <w:t>.住房保障221（类）02（款）01（项）住房公积金：</w:t>
      </w:r>
      <w:r>
        <w:rPr>
          <w:rFonts w:eastAsia="方正仿宋_GBK"/>
          <w:color w:val="000000"/>
          <w:sz w:val="32"/>
          <w:szCs w:val="32"/>
        </w:rPr>
        <w:t>反映行政事业单位按人力资源和社会保障部、财政部规定的基本工资和津贴补贴以及规定比例为职工缴纳的住房公积金</w:t>
      </w:r>
      <w:r>
        <w:rPr>
          <w:rFonts w:eastAsia="方正仿宋_GBK"/>
          <w:sz w:val="32"/>
          <w:szCs w:val="32"/>
        </w:rPr>
        <w:t>。</w:t>
      </w:r>
    </w:p>
    <w:p>
      <w:pPr>
        <w:adjustRightInd w:val="0"/>
        <w:snapToGrid w:val="0"/>
        <w:ind w:firstLine="640" w:firstLineChars="200"/>
        <w:rPr>
          <w:rFonts w:eastAsia="方正仿宋_GBK"/>
          <w:sz w:val="32"/>
          <w:szCs w:val="32"/>
        </w:rPr>
      </w:pPr>
      <w:r>
        <w:rPr>
          <w:rFonts w:eastAsia="方正仿宋_GBK"/>
          <w:sz w:val="32"/>
          <w:szCs w:val="32"/>
        </w:rPr>
        <w:t>1</w:t>
      </w:r>
      <w:r>
        <w:rPr>
          <w:rFonts w:hint="eastAsia" w:eastAsia="方正仿宋_GBK"/>
          <w:sz w:val="32"/>
          <w:szCs w:val="32"/>
        </w:rPr>
        <w:t>2</w:t>
      </w:r>
      <w:r>
        <w:rPr>
          <w:rFonts w:eastAsia="方正仿宋_GBK"/>
          <w:sz w:val="32"/>
          <w:szCs w:val="32"/>
        </w:rPr>
        <w:t>.基本支出：指为保障机构正常运转、完成日常工作任务而发生的人员支出和公用支出。</w:t>
      </w:r>
    </w:p>
    <w:p>
      <w:pPr>
        <w:adjustRightInd w:val="0"/>
        <w:snapToGrid w:val="0"/>
        <w:ind w:firstLine="640" w:firstLineChars="200"/>
        <w:rPr>
          <w:rFonts w:eastAsia="方正仿宋_GBK"/>
          <w:sz w:val="32"/>
          <w:szCs w:val="32"/>
        </w:rPr>
      </w:pPr>
      <w:r>
        <w:rPr>
          <w:rFonts w:eastAsia="方正仿宋_GBK"/>
          <w:sz w:val="32"/>
          <w:szCs w:val="32"/>
        </w:rPr>
        <w:t>1</w:t>
      </w:r>
      <w:r>
        <w:rPr>
          <w:rFonts w:hint="eastAsia" w:eastAsia="方正仿宋_GBK"/>
          <w:sz w:val="32"/>
          <w:szCs w:val="32"/>
        </w:rPr>
        <w:t>3</w:t>
      </w:r>
      <w:r>
        <w:rPr>
          <w:rFonts w:eastAsia="方正仿宋_GBK"/>
          <w:sz w:val="32"/>
          <w:szCs w:val="32"/>
        </w:rPr>
        <w:t xml:space="preserve">.项目支出：指在基本支出之外为完成特定行政任务和事业发展目标所发生的支出。 </w:t>
      </w:r>
    </w:p>
    <w:p>
      <w:pPr>
        <w:adjustRightInd w:val="0"/>
        <w:snapToGrid w:val="0"/>
        <w:ind w:firstLine="640" w:firstLineChars="200"/>
        <w:rPr>
          <w:rFonts w:eastAsia="方正仿宋_GBK"/>
          <w:sz w:val="32"/>
          <w:szCs w:val="32"/>
        </w:rPr>
      </w:pPr>
      <w:r>
        <w:rPr>
          <w:rFonts w:eastAsia="方正仿宋_GBK"/>
          <w:sz w:val="32"/>
          <w:szCs w:val="32"/>
        </w:rPr>
        <w:t>1</w:t>
      </w:r>
      <w:r>
        <w:rPr>
          <w:rFonts w:hint="eastAsia" w:eastAsia="方正仿宋_GBK"/>
          <w:sz w:val="32"/>
          <w:szCs w:val="32"/>
        </w:rPr>
        <w:t>4</w:t>
      </w:r>
      <w:r>
        <w:rPr>
          <w:rFonts w:eastAsia="方正仿宋_GBK"/>
          <w:sz w:val="32"/>
          <w:szCs w:val="32"/>
        </w:rPr>
        <w:t>.“三公”经费：指部门用财政拨款安排的因公出国（境）费、公务用车购置及运行费和公务接待费。其中，因公出国（境）费反映部门公务出国（境）的国际旅费、国外城市间交通费、住宿费、伙食费、培训费、公杂费等支出；公务用车购置及运行费反映公务用车车辆购置支出（含车辆购置税）及租用费、燃料费、维修费、过路过桥费、保险费等支出；公务接待费反映部门按规定开支的各类公务接待（含外宾接待）支出。</w:t>
      </w:r>
    </w:p>
    <w:p>
      <w:pPr>
        <w:adjustRightInd w:val="0"/>
        <w:snapToGrid w:val="0"/>
        <w:spacing w:line="0" w:lineRule="atLeast"/>
        <w:ind w:firstLine="640" w:firstLineChars="200"/>
        <w:jc w:val="left"/>
        <w:rPr>
          <w:rFonts w:eastAsia="方正仿宋_GBK"/>
          <w:kern w:val="0"/>
          <w:sz w:val="32"/>
          <w:szCs w:val="32"/>
        </w:rPr>
      </w:pPr>
      <w:r>
        <w:rPr>
          <w:rFonts w:eastAsia="方正仿宋_GBK"/>
          <w:sz w:val="32"/>
          <w:szCs w:val="32"/>
        </w:rPr>
        <w:t>1</w:t>
      </w:r>
      <w:r>
        <w:rPr>
          <w:rFonts w:hint="eastAsia" w:eastAsia="方正仿宋_GBK"/>
          <w:sz w:val="32"/>
          <w:szCs w:val="32"/>
        </w:rPr>
        <w:t>5</w:t>
      </w:r>
      <w:r>
        <w:rPr>
          <w:rFonts w:eastAsia="方正仿宋_GBK"/>
          <w:sz w:val="32"/>
          <w:szCs w:val="32"/>
        </w:rPr>
        <w:t>.机关运行经费：为保障行政部门（含参照公务员法管理的事业单位）运行用于购买货物和服务的各项资金，包括办公及印刷费、邮电费、差旅费、会</w:t>
      </w:r>
      <w:r>
        <w:rPr>
          <w:rFonts w:eastAsia="方正仿宋_GBK"/>
          <w:kern w:val="0"/>
          <w:sz w:val="32"/>
          <w:szCs w:val="32"/>
        </w:rPr>
        <w:t>议费、福利费、日常维修费、专用材料及一般设备购置费、办公用房水电费、办公用房取暖费、办公用房物业管理费、公务用车运行维护费以及其他费用。</w:t>
      </w:r>
    </w:p>
    <w:p>
      <w:pPr>
        <w:adjustRightInd w:val="0"/>
        <w:snapToGrid w:val="0"/>
        <w:spacing w:line="0" w:lineRule="atLeast"/>
        <w:ind w:firstLine="640" w:firstLineChars="200"/>
        <w:jc w:val="left"/>
        <w:rPr>
          <w:rFonts w:eastAsia="方正仿宋_GBK"/>
          <w:kern w:val="0"/>
          <w:sz w:val="32"/>
          <w:szCs w:val="32"/>
        </w:rPr>
      </w:pPr>
    </w:p>
    <w:p>
      <w:pPr>
        <w:adjustRightInd w:val="0"/>
        <w:snapToGrid w:val="0"/>
        <w:spacing w:line="0" w:lineRule="atLeast"/>
        <w:ind w:firstLine="640" w:firstLineChars="200"/>
        <w:jc w:val="center"/>
        <w:rPr>
          <w:rFonts w:eastAsia="方正黑体_GBK"/>
          <w:sz w:val="44"/>
          <w:szCs w:val="44"/>
        </w:rPr>
      </w:pPr>
      <w:r>
        <w:rPr>
          <w:rFonts w:eastAsia="方正仿宋_GBK"/>
          <w:kern w:val="0"/>
          <w:sz w:val="32"/>
          <w:szCs w:val="32"/>
        </w:rPr>
        <w:br w:type="page"/>
      </w:r>
      <w:bookmarkStart w:id="56" w:name="_Toc15396614"/>
      <w:r>
        <w:rPr>
          <w:rFonts w:eastAsia="方正黑体_GBK"/>
          <w:sz w:val="44"/>
          <w:szCs w:val="44"/>
        </w:rPr>
        <w:t>第四部分  附件</w:t>
      </w:r>
      <w:bookmarkEnd w:id="56"/>
    </w:p>
    <w:p>
      <w:pPr>
        <w:adjustRightInd w:val="0"/>
        <w:snapToGrid w:val="0"/>
        <w:spacing w:line="0" w:lineRule="atLeast"/>
        <w:ind w:firstLine="640" w:firstLineChars="200"/>
        <w:jc w:val="center"/>
        <w:rPr>
          <w:rFonts w:eastAsia="方正黑体_GBK"/>
          <w:sz w:val="32"/>
          <w:szCs w:val="32"/>
        </w:rPr>
      </w:pPr>
    </w:p>
    <w:p>
      <w:pPr>
        <w:rPr>
          <w:rFonts w:eastAsia="方正黑体_GBK"/>
          <w:sz w:val="32"/>
          <w:szCs w:val="32"/>
        </w:rPr>
      </w:pPr>
      <w:r>
        <w:rPr>
          <w:rFonts w:eastAsia="方正黑体_GBK"/>
          <w:sz w:val="32"/>
          <w:szCs w:val="32"/>
        </w:rPr>
        <w:t>附件1</w:t>
      </w:r>
    </w:p>
    <w:p>
      <w:pPr>
        <w:rPr>
          <w:rFonts w:eastAsia="方正黑体_GBK"/>
          <w:sz w:val="32"/>
          <w:szCs w:val="32"/>
        </w:rPr>
      </w:pPr>
    </w:p>
    <w:p>
      <w:pPr>
        <w:widowControl/>
        <w:spacing w:line="0" w:lineRule="atLeast"/>
        <w:contextualSpacing/>
        <w:jc w:val="center"/>
        <w:rPr>
          <w:rFonts w:eastAsia="方正小标宋_GBK"/>
          <w:bCs/>
          <w:sz w:val="44"/>
          <w:szCs w:val="44"/>
          <w:shd w:val="clear" w:color="auto" w:fill="FFFFFF"/>
        </w:rPr>
      </w:pPr>
      <w:r>
        <w:rPr>
          <w:rFonts w:eastAsia="方正小标宋_GBK"/>
          <w:bCs/>
          <w:sz w:val="44"/>
          <w:szCs w:val="44"/>
          <w:shd w:val="clear" w:color="auto" w:fill="FFFFFF"/>
        </w:rPr>
        <w:t>攀枝花市医疗保障事务中心</w:t>
      </w:r>
    </w:p>
    <w:p>
      <w:pPr>
        <w:widowControl/>
        <w:spacing w:line="0" w:lineRule="atLeast"/>
        <w:contextualSpacing/>
        <w:jc w:val="center"/>
        <w:rPr>
          <w:rFonts w:eastAsia="方正小标宋_GBK"/>
          <w:bCs/>
          <w:sz w:val="44"/>
          <w:szCs w:val="44"/>
          <w:shd w:val="clear" w:color="auto" w:fill="FFFFFF"/>
        </w:rPr>
      </w:pPr>
      <w:r>
        <w:rPr>
          <w:rFonts w:eastAsia="方正小标宋_GBK"/>
          <w:bCs/>
          <w:sz w:val="44"/>
          <w:szCs w:val="44"/>
          <w:shd w:val="clear" w:color="auto" w:fill="FFFFFF"/>
        </w:rPr>
        <w:t>2025年度部门预算绩效</w:t>
      </w:r>
      <w:r>
        <w:rPr>
          <w:rFonts w:hint="eastAsia" w:eastAsia="方正小标宋_GBK"/>
          <w:bCs/>
          <w:sz w:val="44"/>
          <w:szCs w:val="44"/>
          <w:shd w:val="clear" w:color="auto" w:fill="FFFFFF"/>
        </w:rPr>
        <w:t>评价报告</w:t>
      </w:r>
    </w:p>
    <w:p>
      <w:pPr>
        <w:widowControl/>
        <w:adjustRightInd w:val="0"/>
        <w:snapToGrid w:val="0"/>
        <w:spacing w:line="0" w:lineRule="atLeast"/>
        <w:ind w:firstLine="640" w:firstLineChars="200"/>
        <w:contextualSpacing/>
        <w:jc w:val="left"/>
        <w:rPr>
          <w:rFonts w:eastAsia="黑体"/>
          <w:bCs/>
          <w:color w:val="000000"/>
          <w:kern w:val="0"/>
          <w:sz w:val="32"/>
          <w:szCs w:val="32"/>
          <w:shd w:val="clear" w:color="auto" w:fill="FFFFFF"/>
          <w:lang w:val="zh-CN"/>
        </w:rPr>
      </w:pPr>
    </w:p>
    <w:p>
      <w:pPr>
        <w:widowControl/>
        <w:adjustRightInd w:val="0"/>
        <w:snapToGrid w:val="0"/>
        <w:ind w:firstLine="640" w:firstLineChars="200"/>
        <w:contextualSpacing/>
        <w:rPr>
          <w:rFonts w:eastAsia="方正黑体_GBK"/>
          <w:bCs/>
          <w:sz w:val="32"/>
          <w:szCs w:val="32"/>
        </w:rPr>
      </w:pPr>
      <w:r>
        <w:rPr>
          <w:rFonts w:eastAsia="方正黑体_GBK"/>
          <w:bCs/>
          <w:color w:val="000000"/>
          <w:kern w:val="0"/>
          <w:sz w:val="32"/>
          <w:szCs w:val="32"/>
          <w:shd w:val="clear" w:color="auto" w:fill="FFFFFF"/>
          <w:lang w:val="zh-CN"/>
        </w:rPr>
        <w:t>一、部门基本情况</w:t>
      </w:r>
    </w:p>
    <w:p>
      <w:pPr>
        <w:widowControl/>
        <w:adjustRightInd w:val="0"/>
        <w:snapToGrid w:val="0"/>
        <w:ind w:firstLine="643" w:firstLineChars="200"/>
        <w:contextualSpacing/>
        <w:rPr>
          <w:rFonts w:eastAsia="方正楷体_GBK"/>
          <w:b/>
          <w:color w:val="000000"/>
          <w:kern w:val="0"/>
          <w:sz w:val="32"/>
          <w:szCs w:val="32"/>
          <w:shd w:val="clear" w:color="auto" w:fill="FFFFFF"/>
          <w:lang w:val="zh-CN"/>
        </w:rPr>
      </w:pPr>
      <w:r>
        <w:rPr>
          <w:rFonts w:eastAsia="方正楷体_GBK"/>
          <w:b/>
          <w:color w:val="000000"/>
          <w:kern w:val="0"/>
          <w:sz w:val="32"/>
          <w:szCs w:val="32"/>
          <w:shd w:val="clear" w:color="auto" w:fill="FFFFFF"/>
          <w:lang w:val="zh-CN"/>
        </w:rPr>
        <w:t>（一）机构组成</w:t>
      </w:r>
    </w:p>
    <w:p>
      <w:pPr>
        <w:widowControl/>
        <w:adjustRightInd w:val="0"/>
        <w:snapToGrid w:val="0"/>
        <w:ind w:firstLine="640" w:firstLineChars="200"/>
        <w:contextualSpacing/>
        <w:rPr>
          <w:rFonts w:eastAsia="方正仿宋_GBK"/>
          <w:bCs/>
          <w:sz w:val="32"/>
          <w:szCs w:val="32"/>
        </w:rPr>
      </w:pPr>
      <w:r>
        <w:rPr>
          <w:rFonts w:eastAsia="方正仿宋_GBK"/>
          <w:bCs/>
          <w:sz w:val="32"/>
          <w:szCs w:val="32"/>
        </w:rPr>
        <w:t>攀枝花市医疗保障事务中心（以下简称“</w:t>
      </w:r>
      <w:bookmarkStart w:id="57" w:name="OLE_LINK6"/>
      <w:r>
        <w:rPr>
          <w:rFonts w:eastAsia="方正仿宋_GBK"/>
          <w:bCs/>
          <w:sz w:val="32"/>
          <w:szCs w:val="32"/>
        </w:rPr>
        <w:t>市医保事务中心</w:t>
      </w:r>
      <w:bookmarkEnd w:id="57"/>
      <w:r>
        <w:rPr>
          <w:rFonts w:eastAsia="方正仿宋_GBK"/>
          <w:bCs/>
          <w:sz w:val="32"/>
          <w:szCs w:val="32"/>
        </w:rPr>
        <w:t>”）执行政府会计准则制度，单位基本性质为参照公务员法管理的公益一类事业单位。截至2025年12月31日，独立编制机构数1个，无下属机构。</w:t>
      </w:r>
    </w:p>
    <w:p>
      <w:pPr>
        <w:numPr>
          <w:ilvl w:val="0"/>
          <w:numId w:val="3"/>
        </w:numPr>
        <w:adjustRightInd w:val="0"/>
        <w:snapToGrid w:val="0"/>
        <w:ind w:firstLine="643" w:firstLineChars="200"/>
        <w:rPr>
          <w:rFonts w:eastAsia="方正楷体_GBK"/>
          <w:b/>
          <w:color w:val="000000"/>
          <w:kern w:val="0"/>
          <w:sz w:val="32"/>
          <w:szCs w:val="32"/>
          <w:shd w:val="clear" w:color="auto" w:fill="FFFFFF"/>
          <w:lang w:val="zh-CN"/>
        </w:rPr>
      </w:pPr>
      <w:r>
        <w:rPr>
          <w:rFonts w:eastAsia="方正楷体_GBK"/>
          <w:b/>
          <w:color w:val="000000"/>
          <w:kern w:val="0"/>
          <w:sz w:val="32"/>
          <w:szCs w:val="32"/>
          <w:shd w:val="clear" w:color="auto" w:fill="FFFFFF"/>
          <w:lang w:val="zh-CN"/>
        </w:rPr>
        <w:t>机构职能</w:t>
      </w:r>
    </w:p>
    <w:p>
      <w:pPr>
        <w:adjustRightInd w:val="0"/>
        <w:snapToGrid w:val="0"/>
        <w:ind w:firstLine="640" w:firstLineChars="200"/>
        <w:rPr>
          <w:rFonts w:eastAsia="方正仿宋_GBK"/>
          <w:bCs/>
          <w:color w:val="000000"/>
          <w:kern w:val="0"/>
          <w:sz w:val="32"/>
          <w:szCs w:val="32"/>
          <w:shd w:val="clear" w:color="auto" w:fill="FFFFFF"/>
          <w:lang w:val="zh-CN"/>
        </w:rPr>
      </w:pPr>
      <w:r>
        <w:rPr>
          <w:rFonts w:eastAsia="方正仿宋_GBK"/>
          <w:bCs/>
          <w:sz w:val="32"/>
          <w:szCs w:val="32"/>
        </w:rPr>
        <w:t>市医保事务中心负责职工基本医疗保险、城乡居民基本医疗保险、生育保险、</w:t>
      </w:r>
      <w:r>
        <w:rPr>
          <w:rFonts w:eastAsia="方正仿宋_GBK"/>
          <w:bCs/>
          <w:color w:val="000000"/>
          <w:sz w:val="32"/>
        </w:rPr>
        <w:t>医疗救助以及药品、医用耗材招采具体经办业务</w:t>
      </w:r>
      <w:r>
        <w:rPr>
          <w:rFonts w:eastAsia="方正仿宋_GBK"/>
          <w:bCs/>
          <w:sz w:val="32"/>
          <w:szCs w:val="32"/>
        </w:rPr>
        <w:t>，制定、完善业务经办管理规程。负责对定点医药机构执行政策规定和为参保人员提供医疗服务进行指导和检查。承担离休干部、六级以上革命伤残军人（警察）、建国初期参加工作退休干部及其他医疗照顾人员医药费用审核报销的具体业务工作。参与医疗保障业务经办信息系统建设。</w:t>
      </w:r>
    </w:p>
    <w:p>
      <w:pPr>
        <w:adjustRightInd w:val="0"/>
        <w:snapToGrid w:val="0"/>
        <w:ind w:firstLine="643" w:firstLineChars="200"/>
        <w:rPr>
          <w:rFonts w:eastAsia="方正楷体_GBK"/>
          <w:b/>
          <w:color w:val="000000"/>
          <w:kern w:val="0"/>
          <w:sz w:val="32"/>
          <w:szCs w:val="32"/>
          <w:shd w:val="clear" w:color="auto" w:fill="FFFFFF"/>
          <w:lang w:val="zh-CN"/>
        </w:rPr>
      </w:pPr>
      <w:r>
        <w:rPr>
          <w:rFonts w:eastAsia="方正楷体_GBK"/>
          <w:b/>
          <w:color w:val="000000"/>
          <w:kern w:val="0"/>
          <w:sz w:val="32"/>
          <w:szCs w:val="32"/>
          <w:shd w:val="clear" w:color="auto" w:fill="FFFFFF"/>
          <w:lang w:val="zh-CN"/>
        </w:rPr>
        <w:t>（三）人员概况</w:t>
      </w:r>
    </w:p>
    <w:p>
      <w:pPr>
        <w:adjustRightInd w:val="0"/>
        <w:snapToGrid w:val="0"/>
        <w:ind w:firstLine="640" w:firstLineChars="200"/>
        <w:rPr>
          <w:rFonts w:eastAsia="方正仿宋_GBK"/>
          <w:bCs/>
          <w:sz w:val="32"/>
          <w:szCs w:val="32"/>
        </w:rPr>
      </w:pPr>
      <w:r>
        <w:rPr>
          <w:rFonts w:eastAsia="方正仿宋_GBK"/>
          <w:bCs/>
          <w:sz w:val="32"/>
          <w:szCs w:val="32"/>
        </w:rPr>
        <w:t>截至2025年末，市医保事务中心编制人数49人。2025年实有在职人员44人，退休人员22人。</w:t>
      </w:r>
    </w:p>
    <w:p>
      <w:pPr>
        <w:widowControl/>
        <w:adjustRightInd w:val="0"/>
        <w:snapToGrid w:val="0"/>
        <w:ind w:firstLine="640" w:firstLineChars="200"/>
        <w:contextualSpacing/>
        <w:rPr>
          <w:rFonts w:eastAsia="方正黑体_GBK"/>
          <w:bCs/>
          <w:color w:val="000000"/>
          <w:kern w:val="0"/>
          <w:sz w:val="32"/>
          <w:szCs w:val="32"/>
          <w:shd w:val="clear" w:color="auto" w:fill="FFFFFF"/>
        </w:rPr>
      </w:pPr>
      <w:r>
        <w:rPr>
          <w:rFonts w:eastAsia="方正黑体_GBK"/>
          <w:bCs/>
          <w:color w:val="000000"/>
          <w:kern w:val="0"/>
          <w:sz w:val="32"/>
          <w:szCs w:val="32"/>
          <w:shd w:val="clear" w:color="auto" w:fill="FFFFFF"/>
        </w:rPr>
        <w:t>二、部门资金收支情况</w:t>
      </w:r>
    </w:p>
    <w:p>
      <w:pPr>
        <w:widowControl/>
        <w:adjustRightInd w:val="0"/>
        <w:snapToGrid w:val="0"/>
        <w:ind w:firstLine="643" w:firstLineChars="200"/>
        <w:contextualSpacing/>
        <w:rPr>
          <w:rFonts w:eastAsia="方正楷体_GBK"/>
          <w:b/>
          <w:sz w:val="32"/>
          <w:szCs w:val="32"/>
        </w:rPr>
      </w:pPr>
      <w:r>
        <w:rPr>
          <w:rFonts w:eastAsia="方正楷体_GBK"/>
          <w:b/>
          <w:color w:val="000000"/>
          <w:kern w:val="0"/>
          <w:sz w:val="32"/>
          <w:szCs w:val="32"/>
          <w:shd w:val="clear" w:color="auto" w:fill="FFFFFF"/>
          <w:lang w:val="zh-CN"/>
        </w:rPr>
        <w:t>（一）收入情况</w:t>
      </w:r>
    </w:p>
    <w:p>
      <w:pPr>
        <w:widowControl/>
        <w:adjustRightInd w:val="0"/>
        <w:snapToGrid w:val="0"/>
        <w:ind w:firstLine="640" w:firstLineChars="200"/>
        <w:contextualSpacing/>
        <w:rPr>
          <w:rFonts w:eastAsia="方正仿宋_GBK"/>
          <w:bCs/>
          <w:color w:val="000000"/>
          <w:kern w:val="0"/>
          <w:sz w:val="32"/>
          <w:szCs w:val="32"/>
          <w:highlight w:val="yellow"/>
          <w:shd w:val="clear" w:color="auto" w:fill="FFFFFF"/>
        </w:rPr>
      </w:pPr>
      <w:r>
        <w:rPr>
          <w:rFonts w:eastAsia="方正仿宋_GBK"/>
          <w:bCs/>
          <w:sz w:val="32"/>
          <w:szCs w:val="32"/>
        </w:rPr>
        <w:t>市医保事务中心2025年财政拨款收入总额1,407.72万元，其中：一般公共预算财政拨款1,407.72万元，政府性基金预算财政拨款0万元。</w:t>
      </w:r>
    </w:p>
    <w:p>
      <w:pPr>
        <w:adjustRightInd w:val="0"/>
        <w:snapToGrid w:val="0"/>
        <w:ind w:firstLine="643" w:firstLineChars="200"/>
        <w:rPr>
          <w:rFonts w:eastAsia="方正楷体_GBK"/>
          <w:b/>
          <w:sz w:val="32"/>
          <w:szCs w:val="32"/>
          <w:highlight w:val="yellow"/>
        </w:rPr>
      </w:pPr>
      <w:r>
        <w:rPr>
          <w:rFonts w:eastAsia="方正楷体_GBK"/>
          <w:b/>
          <w:color w:val="000000"/>
          <w:kern w:val="0"/>
          <w:sz w:val="32"/>
          <w:szCs w:val="32"/>
          <w:shd w:val="clear" w:color="auto" w:fill="FFFFFF"/>
          <w:lang w:val="zh-CN"/>
        </w:rPr>
        <w:t>（二）支出情况</w:t>
      </w:r>
    </w:p>
    <w:p>
      <w:pPr>
        <w:adjustRightInd w:val="0"/>
        <w:snapToGrid w:val="0"/>
        <w:ind w:firstLine="640" w:firstLineChars="200"/>
        <w:rPr>
          <w:rFonts w:eastAsia="方正仿宋_GBK"/>
          <w:bCs/>
          <w:sz w:val="32"/>
          <w:szCs w:val="32"/>
        </w:rPr>
      </w:pPr>
      <w:r>
        <w:rPr>
          <w:rFonts w:eastAsia="方正仿宋_GBK"/>
          <w:bCs/>
          <w:sz w:val="32"/>
          <w:szCs w:val="32"/>
        </w:rPr>
        <w:t>市医保事务中心2025年财政拨款支出总额1,407.72万元，基本支出万元1,021.47万元（其中，人员经费支出921.52万元，公用经费支出99.95万元），项目支出386.25万元。</w:t>
      </w:r>
    </w:p>
    <w:p>
      <w:pPr>
        <w:adjustRightInd w:val="0"/>
        <w:snapToGrid w:val="0"/>
        <w:ind w:firstLine="640" w:firstLineChars="200"/>
        <w:contextualSpacing/>
        <w:rPr>
          <w:rFonts w:eastAsia="方正仿宋_GBK"/>
          <w:bCs/>
          <w:sz w:val="32"/>
          <w:szCs w:val="32"/>
        </w:rPr>
      </w:pPr>
      <w:r>
        <w:rPr>
          <w:rFonts w:eastAsia="方正仿宋_GBK"/>
          <w:bCs/>
          <w:color w:val="000000"/>
          <w:sz w:val="32"/>
          <w:szCs w:val="32"/>
        </w:rPr>
        <w:t>2025年我中心各科室按照预算做好成本控制，强化厉行节约意识，年度支出控制在规定范围内。对职责范围内的工作按照计划把握好时间进度，抓好质量监管，保证了工作效率。各项工作均有序推进，抓好落实，保证了专项资金的使用效果。</w:t>
      </w:r>
    </w:p>
    <w:p>
      <w:pPr>
        <w:widowControl/>
        <w:adjustRightInd w:val="0"/>
        <w:snapToGrid w:val="0"/>
        <w:ind w:firstLine="643" w:firstLineChars="200"/>
        <w:contextualSpacing/>
        <w:rPr>
          <w:rFonts w:eastAsia="方正楷体_GBK"/>
          <w:b/>
          <w:color w:val="000000"/>
          <w:kern w:val="0"/>
          <w:sz w:val="32"/>
          <w:szCs w:val="32"/>
          <w:shd w:val="clear" w:color="auto" w:fill="FFFFFF"/>
        </w:rPr>
      </w:pPr>
      <w:r>
        <w:rPr>
          <w:rFonts w:eastAsia="方正楷体_GBK"/>
          <w:b/>
          <w:sz w:val="32"/>
          <w:szCs w:val="32"/>
        </w:rPr>
        <w:t>（三）结余分配和结转结余情况</w:t>
      </w:r>
    </w:p>
    <w:p>
      <w:pPr>
        <w:widowControl/>
        <w:adjustRightInd w:val="0"/>
        <w:snapToGrid w:val="0"/>
        <w:ind w:firstLine="640" w:firstLineChars="200"/>
        <w:contextualSpacing/>
        <w:rPr>
          <w:rFonts w:eastAsia="方正仿宋_GBK"/>
          <w:bCs/>
          <w:color w:val="000000"/>
          <w:kern w:val="0"/>
          <w:sz w:val="32"/>
          <w:szCs w:val="32"/>
          <w:highlight w:val="yellow"/>
          <w:shd w:val="clear" w:color="auto" w:fill="FFFFFF"/>
          <w:lang w:val="zh-CN"/>
        </w:rPr>
      </w:pPr>
      <w:r>
        <w:rPr>
          <w:rFonts w:eastAsia="方正仿宋_GBK"/>
          <w:bCs/>
          <w:sz w:val="32"/>
          <w:szCs w:val="32"/>
        </w:rPr>
        <w:t>市医保事务中心2025年决算报表中无</w:t>
      </w:r>
      <w:r>
        <w:rPr>
          <w:rFonts w:eastAsia="方正仿宋_GBK"/>
          <w:bCs/>
          <w:color w:val="000000"/>
          <w:kern w:val="0"/>
          <w:sz w:val="32"/>
          <w:szCs w:val="32"/>
          <w:shd w:val="clear" w:color="auto" w:fill="FFFFFF"/>
        </w:rPr>
        <w:t>结转结余。</w:t>
      </w:r>
    </w:p>
    <w:p>
      <w:pPr>
        <w:widowControl/>
        <w:adjustRightInd w:val="0"/>
        <w:snapToGrid w:val="0"/>
        <w:ind w:firstLine="640" w:firstLineChars="200"/>
        <w:contextualSpacing/>
        <w:rPr>
          <w:rFonts w:eastAsia="方正黑体_GBK"/>
          <w:bCs/>
          <w:color w:val="000000"/>
          <w:kern w:val="0"/>
          <w:sz w:val="32"/>
          <w:szCs w:val="32"/>
          <w:shd w:val="clear" w:color="auto" w:fill="FFFFFF"/>
        </w:rPr>
      </w:pPr>
      <w:r>
        <w:rPr>
          <w:rFonts w:eastAsia="方正黑体_GBK"/>
          <w:bCs/>
          <w:color w:val="000000"/>
          <w:kern w:val="0"/>
          <w:sz w:val="32"/>
          <w:szCs w:val="32"/>
          <w:shd w:val="clear" w:color="auto" w:fill="FFFFFF"/>
        </w:rPr>
        <w:t>三、部门预算绩效分析</w:t>
      </w:r>
    </w:p>
    <w:p>
      <w:pPr>
        <w:adjustRightInd w:val="0"/>
        <w:snapToGrid w:val="0"/>
        <w:ind w:firstLine="643" w:firstLineChars="200"/>
        <w:contextualSpacing/>
        <w:rPr>
          <w:rFonts w:eastAsia="方正楷体_GBK"/>
          <w:b/>
          <w:color w:val="000000"/>
          <w:kern w:val="0"/>
          <w:sz w:val="32"/>
          <w:szCs w:val="32"/>
          <w:shd w:val="clear" w:color="auto" w:fill="FFFFFF"/>
          <w:lang w:val="zh-CN"/>
        </w:rPr>
      </w:pPr>
      <w:r>
        <w:rPr>
          <w:rFonts w:eastAsia="方正楷体_GBK"/>
          <w:b/>
          <w:color w:val="000000"/>
          <w:kern w:val="0"/>
          <w:sz w:val="32"/>
          <w:szCs w:val="32"/>
          <w:shd w:val="clear" w:color="auto" w:fill="FFFFFF"/>
          <w:lang w:val="zh-CN"/>
        </w:rPr>
        <w:t>（一）部门预算总体绩效分析</w:t>
      </w:r>
    </w:p>
    <w:p>
      <w:pPr>
        <w:adjustRightInd w:val="0"/>
        <w:snapToGrid w:val="0"/>
        <w:ind w:firstLine="640" w:firstLineChars="200"/>
        <w:contextualSpacing/>
        <w:rPr>
          <w:rFonts w:eastAsia="方正仿宋_GBK"/>
          <w:bCs/>
          <w:sz w:val="32"/>
          <w:szCs w:val="32"/>
        </w:rPr>
      </w:pPr>
      <w:r>
        <w:rPr>
          <w:rFonts w:eastAsia="方正仿宋_GBK"/>
          <w:bCs/>
          <w:color w:val="000000"/>
          <w:kern w:val="0"/>
          <w:sz w:val="32"/>
          <w:szCs w:val="32"/>
          <w:shd w:val="clear" w:color="auto" w:fill="FFFFFF"/>
        </w:rPr>
        <w:t>1.</w:t>
      </w:r>
      <w:r>
        <w:rPr>
          <w:rFonts w:eastAsia="方正仿宋_GBK"/>
          <w:bCs/>
          <w:color w:val="000000"/>
          <w:kern w:val="0"/>
          <w:sz w:val="32"/>
          <w:szCs w:val="32"/>
          <w:shd w:val="clear" w:color="auto" w:fill="FFFFFF"/>
          <w:lang w:val="zh-CN"/>
        </w:rPr>
        <w:t>履职效能。总分15分，自评得分15</w:t>
      </w:r>
      <w:r>
        <w:rPr>
          <w:rFonts w:eastAsia="方正仿宋_GBK"/>
          <w:bCs/>
          <w:color w:val="000000"/>
          <w:kern w:val="0"/>
          <w:sz w:val="32"/>
          <w:szCs w:val="32"/>
          <w:shd w:val="clear" w:color="auto" w:fill="FFFFFF"/>
        </w:rPr>
        <w:t>.00</w:t>
      </w:r>
      <w:r>
        <w:rPr>
          <w:rFonts w:eastAsia="方正仿宋_GBK"/>
          <w:bCs/>
          <w:color w:val="000000"/>
          <w:kern w:val="0"/>
          <w:sz w:val="32"/>
          <w:szCs w:val="32"/>
          <w:shd w:val="clear" w:color="auto" w:fill="FFFFFF"/>
          <w:lang w:val="zh-CN"/>
        </w:rPr>
        <w:t>分，（1）我</w:t>
      </w:r>
      <w:r>
        <w:rPr>
          <w:rFonts w:eastAsia="方正仿宋_GBK"/>
          <w:bCs/>
          <w:color w:val="000000"/>
          <w:kern w:val="0"/>
          <w:sz w:val="32"/>
          <w:szCs w:val="32"/>
          <w:shd w:val="clear" w:color="auto" w:fill="FFFFFF"/>
        </w:rPr>
        <w:t>中心</w:t>
      </w:r>
      <w:r>
        <w:rPr>
          <w:rFonts w:eastAsia="方正仿宋_GBK"/>
          <w:bCs/>
          <w:color w:val="000000"/>
          <w:kern w:val="0"/>
          <w:sz w:val="32"/>
          <w:szCs w:val="32"/>
          <w:shd w:val="clear" w:color="auto" w:fill="FFFFFF"/>
          <w:lang w:val="zh-CN"/>
        </w:rPr>
        <w:t>202</w:t>
      </w:r>
      <w:r>
        <w:rPr>
          <w:rFonts w:eastAsia="方正仿宋_GBK"/>
          <w:bCs/>
          <w:color w:val="000000"/>
          <w:kern w:val="0"/>
          <w:sz w:val="32"/>
          <w:szCs w:val="32"/>
          <w:shd w:val="clear" w:color="auto" w:fill="FFFFFF"/>
        </w:rPr>
        <w:t>5</w:t>
      </w:r>
      <w:r>
        <w:rPr>
          <w:rFonts w:eastAsia="方正仿宋_GBK"/>
          <w:bCs/>
          <w:color w:val="000000"/>
          <w:kern w:val="0"/>
          <w:sz w:val="32"/>
          <w:szCs w:val="32"/>
          <w:shd w:val="clear" w:color="auto" w:fill="FFFFFF"/>
          <w:lang w:val="zh-CN"/>
        </w:rPr>
        <w:t>年人员工资正常发放，保障了医保工作人员正常履职，机构</w:t>
      </w:r>
      <w:r>
        <w:rPr>
          <w:rFonts w:eastAsia="方正仿宋_GBK"/>
          <w:bCs/>
          <w:color w:val="000000"/>
          <w:kern w:val="0"/>
          <w:sz w:val="32"/>
          <w:szCs w:val="32"/>
          <w:shd w:val="clear" w:color="auto" w:fill="FFFFFF"/>
        </w:rPr>
        <w:t>日常</w:t>
      </w:r>
      <w:r>
        <w:rPr>
          <w:rFonts w:eastAsia="方正仿宋_GBK"/>
          <w:bCs/>
          <w:color w:val="000000"/>
          <w:kern w:val="0"/>
          <w:sz w:val="32"/>
          <w:szCs w:val="32"/>
          <w:shd w:val="clear" w:color="auto" w:fill="FFFFFF"/>
          <w:lang w:val="zh-CN"/>
        </w:rPr>
        <w:t>运转。（2）</w:t>
      </w:r>
      <w:r>
        <w:rPr>
          <w:rFonts w:eastAsia="方正仿宋_GBK"/>
          <w:bCs/>
          <w:color w:val="000000"/>
          <w:kern w:val="0"/>
          <w:sz w:val="32"/>
          <w:szCs w:val="32"/>
          <w:shd w:val="clear" w:color="auto" w:fill="FFFFFF"/>
        </w:rPr>
        <w:t>采取线上宣传、线下政策推广等方式，有序推进2026年度城乡居民基本医疗保险参保工作。</w:t>
      </w:r>
      <w:r>
        <w:rPr>
          <w:rFonts w:eastAsia="方正仿宋_GBK"/>
          <w:bCs/>
          <w:color w:val="000000"/>
          <w:kern w:val="0"/>
          <w:sz w:val="32"/>
          <w:szCs w:val="32"/>
          <w:shd w:val="clear" w:color="auto" w:fill="FFFFFF"/>
          <w:lang w:val="zh-CN"/>
        </w:rPr>
        <w:t>（3）</w:t>
      </w:r>
      <w:r>
        <w:rPr>
          <w:rFonts w:eastAsia="方正仿宋_GBK"/>
          <w:bCs/>
          <w:color w:val="000000"/>
          <w:kern w:val="0"/>
          <w:sz w:val="32"/>
          <w:szCs w:val="32"/>
          <w:shd w:val="clear" w:color="auto" w:fill="FFFFFF"/>
        </w:rPr>
        <w:t>加大定点医药机构监管力度，</w:t>
      </w:r>
      <w:r>
        <w:rPr>
          <w:rFonts w:eastAsia="方正仿宋_GBK"/>
          <w:bCs/>
          <w:snapToGrid w:val="0"/>
          <w:sz w:val="32"/>
          <w:szCs w:val="32"/>
        </w:rPr>
        <w:t>查处定点医药机构违规违纪情况，确保医保基金安全。</w:t>
      </w:r>
    </w:p>
    <w:p>
      <w:pPr>
        <w:adjustRightInd w:val="0"/>
        <w:snapToGrid w:val="0"/>
        <w:ind w:firstLine="640" w:firstLineChars="200"/>
        <w:contextualSpacing/>
        <w:rPr>
          <w:rFonts w:eastAsia="方正仿宋_GBK"/>
          <w:bCs/>
          <w:color w:val="000000"/>
          <w:kern w:val="0"/>
          <w:sz w:val="32"/>
          <w:szCs w:val="32"/>
          <w:shd w:val="clear" w:color="auto" w:fill="FFFFFF"/>
          <w:lang w:val="zh-CN"/>
        </w:rPr>
      </w:pPr>
      <w:r>
        <w:rPr>
          <w:rFonts w:eastAsia="方正仿宋_GBK"/>
          <w:bCs/>
          <w:color w:val="000000"/>
          <w:kern w:val="0"/>
          <w:sz w:val="32"/>
          <w:szCs w:val="32"/>
          <w:shd w:val="clear" w:color="auto" w:fill="FFFFFF"/>
        </w:rPr>
        <w:t>2.</w:t>
      </w:r>
      <w:r>
        <w:rPr>
          <w:rFonts w:eastAsia="方正仿宋_GBK"/>
          <w:bCs/>
          <w:color w:val="000000"/>
          <w:kern w:val="0"/>
          <w:sz w:val="32"/>
          <w:szCs w:val="32"/>
          <w:shd w:val="clear" w:color="auto" w:fill="FFFFFF"/>
          <w:lang w:val="zh-CN"/>
        </w:rPr>
        <w:t>预算管理。总分</w:t>
      </w:r>
      <w:r>
        <w:rPr>
          <w:rFonts w:eastAsia="方正仿宋_GBK"/>
          <w:bCs/>
          <w:color w:val="000000"/>
          <w:kern w:val="0"/>
          <w:sz w:val="32"/>
          <w:szCs w:val="32"/>
          <w:shd w:val="clear" w:color="auto" w:fill="FFFFFF"/>
        </w:rPr>
        <w:t>23</w:t>
      </w:r>
      <w:r>
        <w:rPr>
          <w:rFonts w:eastAsia="方正仿宋_GBK"/>
          <w:bCs/>
          <w:color w:val="000000"/>
          <w:kern w:val="0"/>
          <w:sz w:val="32"/>
          <w:szCs w:val="32"/>
          <w:shd w:val="clear" w:color="auto" w:fill="FFFFFF"/>
          <w:lang w:val="zh-CN"/>
        </w:rPr>
        <w:t>分，自评得分</w:t>
      </w:r>
      <w:r>
        <w:rPr>
          <w:rFonts w:eastAsia="方正仿宋_GBK"/>
          <w:bCs/>
          <w:color w:val="000000"/>
          <w:kern w:val="0"/>
          <w:sz w:val="32"/>
          <w:szCs w:val="32"/>
          <w:shd w:val="clear" w:color="auto" w:fill="FFFFFF"/>
        </w:rPr>
        <w:t>19.86</w:t>
      </w:r>
      <w:r>
        <w:rPr>
          <w:rFonts w:eastAsia="方正仿宋_GBK"/>
          <w:bCs/>
          <w:color w:val="000000"/>
          <w:kern w:val="0"/>
          <w:sz w:val="32"/>
          <w:szCs w:val="32"/>
          <w:shd w:val="clear" w:color="auto" w:fill="FFFFFF"/>
          <w:lang w:val="zh-CN"/>
        </w:rPr>
        <w:t>分。其中：（1）预算编制质量总分8分，自评得分</w:t>
      </w:r>
      <w:r>
        <w:rPr>
          <w:rFonts w:eastAsia="方正仿宋_GBK"/>
          <w:bCs/>
          <w:color w:val="000000"/>
          <w:kern w:val="0"/>
          <w:sz w:val="32"/>
          <w:szCs w:val="32"/>
          <w:shd w:val="clear" w:color="auto" w:fill="FFFFFF"/>
        </w:rPr>
        <w:t>8</w:t>
      </w:r>
      <w:r>
        <w:rPr>
          <w:rFonts w:eastAsia="方正仿宋_GBK"/>
          <w:bCs/>
          <w:color w:val="000000"/>
          <w:kern w:val="0"/>
          <w:sz w:val="32"/>
          <w:szCs w:val="32"/>
          <w:shd w:val="clear" w:color="auto" w:fill="FFFFFF"/>
          <w:lang w:val="zh-CN"/>
        </w:rPr>
        <w:t>分。严格按要求编制年初预算</w:t>
      </w:r>
      <w:r>
        <w:rPr>
          <w:rFonts w:eastAsia="方正仿宋_GBK"/>
          <w:bCs/>
          <w:color w:val="000000"/>
          <w:kern w:val="0"/>
          <w:sz w:val="32"/>
          <w:szCs w:val="32"/>
          <w:shd w:val="clear" w:color="auto" w:fill="FFFFFF"/>
        </w:rPr>
        <w:t>、年中追加项目预算，并按规定严格执行资金支付，无超预算</w:t>
      </w:r>
      <w:r>
        <w:rPr>
          <w:rFonts w:eastAsia="方正仿宋_GBK"/>
          <w:bCs/>
          <w:color w:val="000000"/>
          <w:kern w:val="0"/>
          <w:sz w:val="32"/>
          <w:szCs w:val="32"/>
          <w:shd w:val="clear" w:color="auto" w:fill="FFFFFF"/>
          <w:lang w:val="zh-CN"/>
        </w:rPr>
        <w:t>的</w:t>
      </w:r>
      <w:r>
        <w:rPr>
          <w:rFonts w:eastAsia="方正仿宋_GBK"/>
          <w:bCs/>
          <w:color w:val="000000"/>
          <w:kern w:val="0"/>
          <w:sz w:val="32"/>
          <w:szCs w:val="32"/>
          <w:shd w:val="clear" w:color="auto" w:fill="FFFFFF"/>
        </w:rPr>
        <w:t>情况</w:t>
      </w:r>
      <w:r>
        <w:rPr>
          <w:rFonts w:eastAsia="方正仿宋_GBK"/>
          <w:bCs/>
          <w:color w:val="000000"/>
          <w:kern w:val="0"/>
          <w:sz w:val="32"/>
          <w:szCs w:val="32"/>
          <w:shd w:val="clear" w:color="auto" w:fill="FFFFFF"/>
          <w:lang w:val="zh-CN"/>
        </w:rPr>
        <w:t>。（</w:t>
      </w:r>
      <w:r>
        <w:rPr>
          <w:rFonts w:eastAsia="方正仿宋_GBK"/>
          <w:bCs/>
          <w:color w:val="000000"/>
          <w:kern w:val="0"/>
          <w:sz w:val="32"/>
          <w:szCs w:val="32"/>
          <w:shd w:val="clear" w:color="auto" w:fill="FFFFFF"/>
        </w:rPr>
        <w:t>2</w:t>
      </w:r>
      <w:r>
        <w:rPr>
          <w:rFonts w:eastAsia="方正仿宋_GBK"/>
          <w:bCs/>
          <w:color w:val="000000"/>
          <w:kern w:val="0"/>
          <w:sz w:val="32"/>
          <w:szCs w:val="32"/>
          <w:shd w:val="clear" w:color="auto" w:fill="FFFFFF"/>
          <w:lang w:val="zh-CN"/>
        </w:rPr>
        <w:t>）支出执行进度总分6分，自评得分5.</w:t>
      </w:r>
      <w:r>
        <w:rPr>
          <w:rFonts w:eastAsia="方正仿宋_GBK"/>
          <w:bCs/>
          <w:color w:val="000000"/>
          <w:kern w:val="0"/>
          <w:sz w:val="32"/>
          <w:szCs w:val="32"/>
          <w:shd w:val="clear" w:color="auto" w:fill="FFFFFF"/>
        </w:rPr>
        <w:t>90</w:t>
      </w:r>
      <w:r>
        <w:rPr>
          <w:rFonts w:eastAsia="方正仿宋_GBK"/>
          <w:bCs/>
          <w:color w:val="000000"/>
          <w:kern w:val="0"/>
          <w:sz w:val="32"/>
          <w:szCs w:val="32"/>
          <w:shd w:val="clear" w:color="auto" w:fill="FFFFFF"/>
          <w:lang w:val="zh-CN"/>
        </w:rPr>
        <w:t>分，</w:t>
      </w:r>
      <w:r>
        <w:rPr>
          <w:rFonts w:eastAsia="方正仿宋_GBK"/>
          <w:bCs/>
          <w:color w:val="000000"/>
          <w:kern w:val="0"/>
          <w:sz w:val="32"/>
          <w:szCs w:val="32"/>
          <w:shd w:val="clear" w:color="auto" w:fill="FFFFFF"/>
        </w:rPr>
        <w:t>该项指标根据预算绩效评价指标1至6月、1至10月预算执行情况计算</w:t>
      </w:r>
      <w:r>
        <w:rPr>
          <w:rFonts w:eastAsia="方正仿宋_GBK"/>
          <w:bCs/>
          <w:sz w:val="32"/>
        </w:rPr>
        <w:t>。</w:t>
      </w:r>
      <w:r>
        <w:rPr>
          <w:rFonts w:eastAsia="方正仿宋_GBK"/>
          <w:bCs/>
          <w:color w:val="000000"/>
          <w:kern w:val="0"/>
          <w:sz w:val="32"/>
          <w:szCs w:val="32"/>
          <w:shd w:val="clear" w:color="auto" w:fill="FFFFFF"/>
          <w:lang w:val="zh-CN"/>
        </w:rPr>
        <w:t>（</w:t>
      </w:r>
      <w:r>
        <w:rPr>
          <w:rFonts w:eastAsia="方正仿宋_GBK"/>
          <w:bCs/>
          <w:color w:val="000000"/>
          <w:kern w:val="0"/>
          <w:sz w:val="32"/>
          <w:szCs w:val="32"/>
          <w:shd w:val="clear" w:color="auto" w:fill="FFFFFF"/>
        </w:rPr>
        <w:t>3</w:t>
      </w:r>
      <w:r>
        <w:rPr>
          <w:rFonts w:eastAsia="方正仿宋_GBK"/>
          <w:bCs/>
          <w:color w:val="000000"/>
          <w:kern w:val="0"/>
          <w:sz w:val="32"/>
          <w:szCs w:val="32"/>
          <w:shd w:val="clear" w:color="auto" w:fill="FFFFFF"/>
          <w:lang w:val="zh-CN"/>
        </w:rPr>
        <w:t>）预算年终结余总分</w:t>
      </w:r>
      <w:r>
        <w:rPr>
          <w:rFonts w:eastAsia="方正仿宋_GBK"/>
          <w:bCs/>
          <w:color w:val="000000"/>
          <w:kern w:val="0"/>
          <w:sz w:val="32"/>
          <w:szCs w:val="32"/>
          <w:shd w:val="clear" w:color="auto" w:fill="FFFFFF"/>
        </w:rPr>
        <w:t>4</w:t>
      </w:r>
      <w:r>
        <w:rPr>
          <w:rFonts w:eastAsia="方正仿宋_GBK"/>
          <w:bCs/>
          <w:color w:val="000000"/>
          <w:kern w:val="0"/>
          <w:sz w:val="32"/>
          <w:szCs w:val="32"/>
          <w:shd w:val="clear" w:color="auto" w:fill="FFFFFF"/>
          <w:lang w:val="zh-CN"/>
        </w:rPr>
        <w:t>分，自评得分</w:t>
      </w:r>
      <w:r>
        <w:rPr>
          <w:rFonts w:eastAsia="方正仿宋_GBK"/>
          <w:bCs/>
          <w:color w:val="000000"/>
          <w:kern w:val="0"/>
          <w:sz w:val="32"/>
          <w:szCs w:val="32"/>
          <w:shd w:val="clear" w:color="auto" w:fill="FFFFFF"/>
        </w:rPr>
        <w:t>3.96</w:t>
      </w:r>
      <w:r>
        <w:rPr>
          <w:rFonts w:eastAsia="方正仿宋_GBK"/>
          <w:bCs/>
          <w:color w:val="000000"/>
          <w:kern w:val="0"/>
          <w:sz w:val="32"/>
          <w:szCs w:val="32"/>
          <w:shd w:val="clear" w:color="auto" w:fill="FFFFFF"/>
          <w:lang w:val="zh-CN"/>
        </w:rPr>
        <w:t>分，</w:t>
      </w:r>
      <w:r>
        <w:rPr>
          <w:rFonts w:eastAsia="方正仿宋_GBK"/>
          <w:bCs/>
          <w:color w:val="000000"/>
          <w:kern w:val="0"/>
          <w:sz w:val="32"/>
          <w:szCs w:val="32"/>
          <w:shd w:val="clear" w:color="auto" w:fill="FFFFFF"/>
        </w:rPr>
        <w:t>仅医疗服务与保障能力提升中央财政补助资金年末结余8.86%</w:t>
      </w:r>
      <w:r>
        <w:rPr>
          <w:rFonts w:eastAsia="方正仿宋_GBK"/>
          <w:bCs/>
          <w:color w:val="000000"/>
          <w:kern w:val="0"/>
          <w:sz w:val="32"/>
          <w:szCs w:val="32"/>
          <w:shd w:val="clear" w:color="auto" w:fill="FFFFFF"/>
          <w:lang w:val="zh-CN"/>
        </w:rPr>
        <w:t>。（</w:t>
      </w:r>
      <w:r>
        <w:rPr>
          <w:rFonts w:eastAsia="方正仿宋_GBK"/>
          <w:bCs/>
          <w:color w:val="000000"/>
          <w:kern w:val="0"/>
          <w:sz w:val="32"/>
          <w:szCs w:val="32"/>
          <w:shd w:val="clear" w:color="auto" w:fill="FFFFFF"/>
        </w:rPr>
        <w:t>4</w:t>
      </w:r>
      <w:r>
        <w:rPr>
          <w:rFonts w:eastAsia="方正仿宋_GBK"/>
          <w:bCs/>
          <w:color w:val="000000"/>
          <w:kern w:val="0"/>
          <w:sz w:val="32"/>
          <w:szCs w:val="32"/>
          <w:shd w:val="clear" w:color="auto" w:fill="FFFFFF"/>
          <w:lang w:val="zh-CN"/>
        </w:rPr>
        <w:t>）严控一般性支出总分5分，自评得分</w:t>
      </w:r>
      <w:r>
        <w:rPr>
          <w:rFonts w:eastAsia="方正仿宋_GBK"/>
          <w:bCs/>
          <w:color w:val="000000"/>
          <w:kern w:val="0"/>
          <w:sz w:val="32"/>
          <w:szCs w:val="32"/>
          <w:shd w:val="clear" w:color="auto" w:fill="FFFFFF"/>
        </w:rPr>
        <w:t>2</w:t>
      </w:r>
      <w:r>
        <w:rPr>
          <w:rFonts w:eastAsia="方正仿宋_GBK"/>
          <w:bCs/>
          <w:color w:val="000000"/>
          <w:kern w:val="0"/>
          <w:sz w:val="32"/>
          <w:szCs w:val="32"/>
          <w:shd w:val="clear" w:color="auto" w:fill="FFFFFF"/>
          <w:lang w:val="zh-CN"/>
        </w:rPr>
        <w:t>分。</w:t>
      </w:r>
      <w:r>
        <w:rPr>
          <w:rFonts w:eastAsia="方正仿宋_GBK"/>
          <w:bCs/>
          <w:color w:val="000000"/>
          <w:kern w:val="0"/>
          <w:sz w:val="32"/>
          <w:szCs w:val="32"/>
          <w:shd w:val="clear" w:color="auto" w:fill="FFFFFF"/>
        </w:rPr>
        <w:t>2025年度</w:t>
      </w:r>
      <w:r>
        <w:rPr>
          <w:rFonts w:eastAsia="方正仿宋_GBK"/>
          <w:bCs/>
          <w:color w:val="000000"/>
          <w:kern w:val="0"/>
          <w:sz w:val="32"/>
          <w:szCs w:val="32"/>
          <w:shd w:val="clear" w:color="auto" w:fill="FFFFFF"/>
          <w:lang w:val="zh-CN"/>
        </w:rPr>
        <w:t>一般性支出</w:t>
      </w:r>
      <w:r>
        <w:rPr>
          <w:rFonts w:eastAsia="方正仿宋_GBK"/>
          <w:bCs/>
          <w:color w:val="000000"/>
          <w:kern w:val="0"/>
          <w:sz w:val="32"/>
          <w:szCs w:val="32"/>
          <w:shd w:val="clear" w:color="auto" w:fill="FFFFFF"/>
        </w:rPr>
        <w:t>差旅费、培训费较上年有所减少，其余</w:t>
      </w:r>
      <w:bookmarkStart w:id="58" w:name="OLE_LINK5"/>
      <w:r>
        <w:rPr>
          <w:rFonts w:eastAsia="方正仿宋_GBK"/>
          <w:bCs/>
          <w:color w:val="000000"/>
          <w:kern w:val="0"/>
          <w:sz w:val="32"/>
          <w:szCs w:val="32"/>
          <w:shd w:val="clear" w:color="auto" w:fill="FFFFFF"/>
        </w:rPr>
        <w:t>费用</w:t>
      </w:r>
      <w:bookmarkEnd w:id="58"/>
      <w:r>
        <w:rPr>
          <w:rFonts w:eastAsia="方正仿宋_GBK"/>
          <w:bCs/>
          <w:color w:val="000000"/>
          <w:kern w:val="0"/>
          <w:sz w:val="32"/>
          <w:szCs w:val="32"/>
          <w:shd w:val="clear" w:color="auto" w:fill="FFFFFF"/>
        </w:rPr>
        <w:t>未压减</w:t>
      </w:r>
      <w:r>
        <w:rPr>
          <w:rFonts w:eastAsia="方正仿宋_GBK"/>
          <w:bCs/>
          <w:color w:val="000000"/>
          <w:kern w:val="0"/>
          <w:sz w:val="32"/>
          <w:szCs w:val="32"/>
          <w:shd w:val="clear" w:color="auto" w:fill="FFFFFF"/>
          <w:lang w:val="zh-CN"/>
        </w:rPr>
        <w:t>。</w:t>
      </w:r>
    </w:p>
    <w:p>
      <w:pPr>
        <w:numPr>
          <w:ilvl w:val="255"/>
          <w:numId w:val="0"/>
        </w:numPr>
        <w:adjustRightInd w:val="0"/>
        <w:snapToGrid w:val="0"/>
        <w:ind w:firstLine="640" w:firstLineChars="200"/>
        <w:contextualSpacing/>
        <w:rPr>
          <w:rFonts w:eastAsia="方正仿宋_GBK"/>
          <w:bCs/>
          <w:color w:val="000000"/>
          <w:kern w:val="0"/>
          <w:sz w:val="32"/>
          <w:szCs w:val="32"/>
          <w:shd w:val="clear" w:color="auto" w:fill="FFFFFF"/>
          <w:lang w:val="zh-CN"/>
        </w:rPr>
      </w:pPr>
      <w:r>
        <w:rPr>
          <w:rFonts w:eastAsia="方正仿宋_GBK"/>
          <w:bCs/>
          <w:color w:val="000000"/>
          <w:kern w:val="0"/>
          <w:sz w:val="32"/>
          <w:szCs w:val="32"/>
          <w:shd w:val="clear" w:color="auto" w:fill="FFFFFF"/>
        </w:rPr>
        <w:t>3.</w:t>
      </w:r>
      <w:r>
        <w:rPr>
          <w:rFonts w:eastAsia="方正仿宋_GBK"/>
          <w:bCs/>
          <w:color w:val="000000"/>
          <w:kern w:val="0"/>
          <w:sz w:val="32"/>
          <w:szCs w:val="32"/>
          <w:shd w:val="clear" w:color="auto" w:fill="FFFFFF"/>
          <w:lang w:val="zh-CN"/>
        </w:rPr>
        <w:t>财务管理。总分1</w:t>
      </w:r>
      <w:r>
        <w:rPr>
          <w:rFonts w:eastAsia="方正仿宋_GBK"/>
          <w:bCs/>
          <w:color w:val="000000"/>
          <w:kern w:val="0"/>
          <w:sz w:val="32"/>
          <w:szCs w:val="32"/>
          <w:shd w:val="clear" w:color="auto" w:fill="FFFFFF"/>
        </w:rPr>
        <w:t>2</w:t>
      </w:r>
      <w:r>
        <w:rPr>
          <w:rFonts w:eastAsia="方正仿宋_GBK"/>
          <w:bCs/>
          <w:color w:val="000000"/>
          <w:kern w:val="0"/>
          <w:sz w:val="32"/>
          <w:szCs w:val="32"/>
          <w:shd w:val="clear" w:color="auto" w:fill="FFFFFF"/>
          <w:lang w:val="zh-CN"/>
        </w:rPr>
        <w:t>分，自评得分1</w:t>
      </w:r>
      <w:r>
        <w:rPr>
          <w:rFonts w:eastAsia="方正仿宋_GBK"/>
          <w:bCs/>
          <w:color w:val="000000"/>
          <w:kern w:val="0"/>
          <w:sz w:val="32"/>
          <w:szCs w:val="32"/>
          <w:shd w:val="clear" w:color="auto" w:fill="FFFFFF"/>
        </w:rPr>
        <w:t>2</w:t>
      </w:r>
      <w:r>
        <w:rPr>
          <w:rFonts w:eastAsia="方正仿宋_GBK"/>
          <w:bCs/>
          <w:color w:val="000000"/>
          <w:kern w:val="0"/>
          <w:sz w:val="32"/>
          <w:szCs w:val="32"/>
          <w:shd w:val="clear" w:color="auto" w:fill="FFFFFF"/>
          <w:lang w:val="zh-CN"/>
        </w:rPr>
        <w:t>分。</w:t>
      </w:r>
      <w:r>
        <w:rPr>
          <w:rFonts w:eastAsia="方正仿宋_GBK"/>
          <w:bCs/>
          <w:color w:val="000000"/>
          <w:kern w:val="0"/>
          <w:sz w:val="32"/>
          <w:szCs w:val="32"/>
          <w:shd w:val="clear" w:color="auto" w:fill="FFFFFF"/>
        </w:rPr>
        <w:t>我</w:t>
      </w:r>
      <w:r>
        <w:rPr>
          <w:rFonts w:eastAsia="方正仿宋_GBK"/>
          <w:bCs/>
          <w:sz w:val="32"/>
          <w:szCs w:val="32"/>
        </w:rPr>
        <w:t>中心</w:t>
      </w:r>
      <w:r>
        <w:rPr>
          <w:rFonts w:eastAsia="方正仿宋_GBK"/>
          <w:bCs/>
          <w:sz w:val="32"/>
          <w:szCs w:val="32"/>
          <w:lang w:val="zh-CN"/>
        </w:rPr>
        <w:t>建立了财务管理制度，</w:t>
      </w:r>
      <w:r>
        <w:rPr>
          <w:rFonts w:eastAsia="方正仿宋_GBK"/>
          <w:bCs/>
          <w:sz w:val="32"/>
          <w:szCs w:val="32"/>
        </w:rPr>
        <w:t>严格按照财政要求上报资金使用计划，并在实施过程中做到资金专项专用。所有支出严格按照财务会计管理规定，做到资金使用有计划、审批有手续、支出合理规范。并</w:t>
      </w:r>
      <w:r>
        <w:rPr>
          <w:rFonts w:eastAsia="方正仿宋_GBK"/>
          <w:bCs/>
          <w:sz w:val="32"/>
          <w:szCs w:val="32"/>
          <w:lang w:val="zh-CN"/>
        </w:rPr>
        <w:t>及时进行账务处理和会计核算。</w:t>
      </w:r>
    </w:p>
    <w:p>
      <w:pPr>
        <w:adjustRightInd w:val="0"/>
        <w:snapToGrid w:val="0"/>
        <w:ind w:firstLine="640" w:firstLineChars="200"/>
        <w:contextualSpacing/>
        <w:rPr>
          <w:rFonts w:eastAsia="方正仿宋_GBK"/>
          <w:bCs/>
          <w:sz w:val="32"/>
          <w:lang w:val="zh-CN"/>
        </w:rPr>
      </w:pPr>
      <w:r>
        <w:rPr>
          <w:rFonts w:eastAsia="方正仿宋_GBK"/>
          <w:bCs/>
          <w:color w:val="000000"/>
          <w:kern w:val="0"/>
          <w:sz w:val="32"/>
          <w:szCs w:val="32"/>
          <w:shd w:val="clear" w:color="auto" w:fill="FFFFFF"/>
        </w:rPr>
        <w:t>4.</w:t>
      </w:r>
      <w:r>
        <w:rPr>
          <w:rFonts w:eastAsia="方正仿宋_GBK"/>
          <w:bCs/>
          <w:color w:val="000000"/>
          <w:kern w:val="0"/>
          <w:sz w:val="32"/>
          <w:szCs w:val="32"/>
          <w:shd w:val="clear" w:color="auto" w:fill="FFFFFF"/>
          <w:lang w:val="zh-CN"/>
        </w:rPr>
        <w:t>资产管理。总分9分，自评得分</w:t>
      </w:r>
      <w:r>
        <w:rPr>
          <w:rFonts w:eastAsia="方正仿宋_GBK"/>
          <w:bCs/>
          <w:color w:val="000000"/>
          <w:kern w:val="0"/>
          <w:sz w:val="32"/>
          <w:szCs w:val="32"/>
          <w:shd w:val="clear" w:color="auto" w:fill="FFFFFF"/>
        </w:rPr>
        <w:t>6.3分</w:t>
      </w:r>
      <w:r>
        <w:rPr>
          <w:rFonts w:eastAsia="方正仿宋_GBK"/>
          <w:bCs/>
          <w:color w:val="000000"/>
          <w:kern w:val="0"/>
          <w:sz w:val="32"/>
          <w:szCs w:val="32"/>
          <w:shd w:val="clear" w:color="auto" w:fill="FFFFFF"/>
          <w:lang w:val="zh-CN"/>
        </w:rPr>
        <w:t>。其中：（1）人均资产变化率总分3分，自评得分</w:t>
      </w:r>
      <w:r>
        <w:rPr>
          <w:rFonts w:eastAsia="方正仿宋_GBK"/>
          <w:bCs/>
          <w:color w:val="000000"/>
          <w:kern w:val="0"/>
          <w:sz w:val="32"/>
          <w:szCs w:val="32"/>
          <w:shd w:val="clear" w:color="auto" w:fill="FFFFFF"/>
        </w:rPr>
        <w:t>0.</w:t>
      </w:r>
      <w:r>
        <w:rPr>
          <w:rFonts w:eastAsia="方正仿宋_GBK"/>
          <w:bCs/>
          <w:color w:val="000000"/>
          <w:kern w:val="0"/>
          <w:sz w:val="32"/>
          <w:szCs w:val="32"/>
          <w:shd w:val="clear" w:color="auto" w:fill="FFFFFF"/>
          <w:lang w:val="zh-CN"/>
        </w:rPr>
        <w:t>3分，202</w:t>
      </w:r>
      <w:r>
        <w:rPr>
          <w:rFonts w:eastAsia="方正仿宋_GBK"/>
          <w:bCs/>
          <w:color w:val="000000"/>
          <w:kern w:val="0"/>
          <w:sz w:val="32"/>
          <w:szCs w:val="32"/>
          <w:shd w:val="clear" w:color="auto" w:fill="FFFFFF"/>
        </w:rPr>
        <w:t>5</w:t>
      </w:r>
      <w:r>
        <w:rPr>
          <w:rFonts w:eastAsia="方正仿宋_GBK"/>
          <w:bCs/>
          <w:color w:val="000000"/>
          <w:kern w:val="0"/>
          <w:sz w:val="32"/>
          <w:szCs w:val="32"/>
          <w:shd w:val="clear" w:color="auto" w:fill="FFFFFF"/>
          <w:lang w:val="zh-CN"/>
        </w:rPr>
        <w:t>年人均资产变化率为</w:t>
      </w:r>
      <w:r>
        <w:rPr>
          <w:rFonts w:eastAsia="方正仿宋_GBK"/>
          <w:bCs/>
          <w:color w:val="000000"/>
          <w:kern w:val="0"/>
          <w:sz w:val="32"/>
          <w:szCs w:val="32"/>
          <w:shd w:val="clear" w:color="auto" w:fill="FFFFFF"/>
        </w:rPr>
        <w:t>6.61</w:t>
      </w:r>
      <w:r>
        <w:rPr>
          <w:rFonts w:eastAsia="方正仿宋_GBK"/>
          <w:bCs/>
          <w:color w:val="000000"/>
          <w:kern w:val="0"/>
          <w:sz w:val="32"/>
          <w:szCs w:val="32"/>
          <w:shd w:val="clear" w:color="auto" w:fill="FFFFFF"/>
          <w:lang w:val="zh-CN"/>
        </w:rPr>
        <w:t>%，</w:t>
      </w:r>
      <w:r>
        <w:rPr>
          <w:rFonts w:eastAsia="方正仿宋_GBK"/>
          <w:bCs/>
          <w:color w:val="000000"/>
          <w:kern w:val="0"/>
          <w:sz w:val="32"/>
          <w:szCs w:val="32"/>
          <w:shd w:val="clear" w:color="auto" w:fill="FFFFFF"/>
        </w:rPr>
        <w:t>大于2024年度人均资产变化率4.19%的1.4倍，人均资产增长率大</w:t>
      </w:r>
      <w:r>
        <w:rPr>
          <w:rFonts w:eastAsia="方正仿宋_GBK"/>
          <w:bCs/>
          <w:color w:val="000000"/>
          <w:kern w:val="0"/>
          <w:sz w:val="32"/>
          <w:szCs w:val="32"/>
          <w:shd w:val="clear" w:color="auto" w:fill="FFFFFF"/>
          <w:lang w:val="zh-CN"/>
        </w:rPr>
        <w:t>于</w:t>
      </w:r>
      <w:r>
        <w:rPr>
          <w:rFonts w:eastAsia="方正仿宋_GBK"/>
          <w:bCs/>
          <w:color w:val="000000"/>
          <w:kern w:val="0"/>
          <w:sz w:val="32"/>
          <w:szCs w:val="32"/>
          <w:shd w:val="clear" w:color="auto" w:fill="FFFFFF"/>
        </w:rPr>
        <w:t>5</w:t>
      </w:r>
      <w:r>
        <w:rPr>
          <w:rFonts w:eastAsia="方正仿宋_GBK"/>
          <w:bCs/>
          <w:color w:val="000000"/>
          <w:kern w:val="0"/>
          <w:sz w:val="32"/>
          <w:szCs w:val="32"/>
          <w:shd w:val="clear" w:color="auto" w:fill="FFFFFF"/>
          <w:lang w:val="zh-CN"/>
        </w:rPr>
        <w:t>%。（2）资产利用率总分3分，自评得分</w:t>
      </w:r>
      <w:r>
        <w:rPr>
          <w:rFonts w:eastAsia="方正仿宋_GBK"/>
          <w:bCs/>
          <w:kern w:val="0"/>
          <w:sz w:val="32"/>
          <w:szCs w:val="32"/>
          <w:shd w:val="clear" w:color="auto" w:fill="FFFFFF"/>
        </w:rPr>
        <w:t>3</w:t>
      </w:r>
      <w:r>
        <w:rPr>
          <w:rFonts w:eastAsia="方正仿宋_GBK"/>
          <w:bCs/>
          <w:color w:val="000000"/>
          <w:kern w:val="0"/>
          <w:sz w:val="32"/>
          <w:szCs w:val="32"/>
          <w:shd w:val="clear" w:color="auto" w:fill="FFFFFF"/>
          <w:lang w:val="zh-CN"/>
        </w:rPr>
        <w:t>分，202</w:t>
      </w:r>
      <w:r>
        <w:rPr>
          <w:rFonts w:eastAsia="方正仿宋_GBK"/>
          <w:bCs/>
          <w:color w:val="000000"/>
          <w:kern w:val="0"/>
          <w:sz w:val="32"/>
          <w:szCs w:val="32"/>
          <w:shd w:val="clear" w:color="auto" w:fill="FFFFFF"/>
        </w:rPr>
        <w:t>5</w:t>
      </w:r>
      <w:r>
        <w:rPr>
          <w:rFonts w:eastAsia="方正仿宋_GBK"/>
          <w:bCs/>
          <w:color w:val="000000"/>
          <w:kern w:val="0"/>
          <w:sz w:val="32"/>
          <w:szCs w:val="32"/>
          <w:shd w:val="clear" w:color="auto" w:fill="FFFFFF"/>
          <w:lang w:val="zh-CN"/>
        </w:rPr>
        <w:t>年办公家具超最低使用年限资产利用率</w:t>
      </w:r>
      <w:r>
        <w:rPr>
          <w:rFonts w:eastAsia="方正仿宋_GBK"/>
          <w:bCs/>
          <w:color w:val="000000"/>
          <w:kern w:val="0"/>
          <w:sz w:val="32"/>
          <w:szCs w:val="32"/>
          <w:shd w:val="clear" w:color="auto" w:fill="FFFFFF"/>
        </w:rPr>
        <w:t>大于2024年</w:t>
      </w:r>
      <w:r>
        <w:rPr>
          <w:rFonts w:eastAsia="方正仿宋_GBK"/>
          <w:bCs/>
          <w:color w:val="000000"/>
          <w:kern w:val="0"/>
          <w:sz w:val="32"/>
          <w:szCs w:val="32"/>
          <w:shd w:val="clear" w:color="auto" w:fill="FFFFFF"/>
          <w:lang w:val="zh-CN"/>
        </w:rPr>
        <w:t>办公家具超最低使用年限资产利用率；202</w:t>
      </w:r>
      <w:r>
        <w:rPr>
          <w:rFonts w:eastAsia="方正仿宋_GBK"/>
          <w:bCs/>
          <w:color w:val="000000"/>
          <w:kern w:val="0"/>
          <w:sz w:val="32"/>
          <w:szCs w:val="32"/>
          <w:shd w:val="clear" w:color="auto" w:fill="FFFFFF"/>
        </w:rPr>
        <w:t>5</w:t>
      </w:r>
      <w:r>
        <w:rPr>
          <w:rFonts w:eastAsia="方正仿宋_GBK"/>
          <w:bCs/>
          <w:color w:val="000000"/>
          <w:kern w:val="0"/>
          <w:sz w:val="32"/>
          <w:szCs w:val="32"/>
          <w:shd w:val="clear" w:color="auto" w:fill="FFFFFF"/>
          <w:lang w:val="zh-CN"/>
        </w:rPr>
        <w:t>年办公设备超最低使用年限资产利用率</w:t>
      </w:r>
      <w:r>
        <w:rPr>
          <w:rFonts w:eastAsia="方正仿宋_GBK"/>
          <w:bCs/>
          <w:color w:val="000000"/>
          <w:kern w:val="0"/>
          <w:sz w:val="32"/>
          <w:szCs w:val="32"/>
          <w:shd w:val="clear" w:color="auto" w:fill="FFFFFF"/>
        </w:rPr>
        <w:t>大于2024年</w:t>
      </w:r>
      <w:r>
        <w:rPr>
          <w:rFonts w:eastAsia="方正仿宋_GBK"/>
          <w:bCs/>
          <w:color w:val="000000"/>
          <w:kern w:val="0"/>
          <w:sz w:val="32"/>
          <w:szCs w:val="32"/>
          <w:shd w:val="clear" w:color="auto" w:fill="FFFFFF"/>
          <w:lang w:val="zh-CN"/>
        </w:rPr>
        <w:t>办公设备超最低使用年限资产利用率。（3）资产盘活率总分3分，自评得分3分，我部门两年均无闲置的资产。</w:t>
      </w:r>
    </w:p>
    <w:p>
      <w:pPr>
        <w:adjustRightInd w:val="0"/>
        <w:snapToGrid w:val="0"/>
        <w:ind w:firstLine="640" w:firstLineChars="200"/>
        <w:contextualSpacing/>
        <w:rPr>
          <w:rFonts w:eastAsia="方正仿宋_GBK"/>
          <w:bCs/>
          <w:sz w:val="32"/>
          <w:lang w:val="zh-CN"/>
        </w:rPr>
      </w:pPr>
      <w:r>
        <w:rPr>
          <w:rFonts w:eastAsia="方正仿宋_GBK"/>
          <w:bCs/>
          <w:color w:val="000000"/>
          <w:kern w:val="0"/>
          <w:sz w:val="32"/>
          <w:szCs w:val="32"/>
          <w:shd w:val="clear" w:color="auto" w:fill="FFFFFF"/>
        </w:rPr>
        <w:t>5.</w:t>
      </w:r>
      <w:r>
        <w:rPr>
          <w:rFonts w:eastAsia="方正仿宋_GBK"/>
          <w:bCs/>
          <w:color w:val="000000"/>
          <w:kern w:val="0"/>
          <w:sz w:val="32"/>
          <w:szCs w:val="32"/>
          <w:shd w:val="clear" w:color="auto" w:fill="FFFFFF"/>
          <w:lang w:val="zh-CN"/>
        </w:rPr>
        <w:t>采购管理。</w:t>
      </w:r>
      <w:r>
        <w:rPr>
          <w:rFonts w:eastAsia="方正仿宋_GBK"/>
          <w:bCs/>
          <w:sz w:val="32"/>
          <w:szCs w:val="32"/>
        </w:rPr>
        <w:t>我中心按规定进行政府采购，严格执行政府采购促进中小企业发展相关管理办法。</w:t>
      </w:r>
      <w:r>
        <w:rPr>
          <w:rFonts w:eastAsia="方正仿宋_GBK"/>
          <w:bCs/>
          <w:color w:val="000000"/>
          <w:kern w:val="0"/>
          <w:sz w:val="32"/>
          <w:szCs w:val="32"/>
          <w:shd w:val="clear" w:color="auto" w:fill="FFFFFF"/>
          <w:lang w:val="zh-CN"/>
        </w:rPr>
        <w:t>总分6分，自评得分6分。其中：（1）支持中小企业发展总分3分，自评得分3分，202</w:t>
      </w:r>
      <w:r>
        <w:rPr>
          <w:rFonts w:eastAsia="方正仿宋_GBK"/>
          <w:bCs/>
          <w:color w:val="000000"/>
          <w:kern w:val="0"/>
          <w:sz w:val="32"/>
          <w:szCs w:val="32"/>
          <w:shd w:val="clear" w:color="auto" w:fill="FFFFFF"/>
        </w:rPr>
        <w:t>5</w:t>
      </w:r>
      <w:r>
        <w:rPr>
          <w:rFonts w:eastAsia="方正仿宋_GBK"/>
          <w:bCs/>
          <w:color w:val="000000"/>
          <w:kern w:val="0"/>
          <w:sz w:val="32"/>
          <w:szCs w:val="32"/>
          <w:shd w:val="clear" w:color="auto" w:fill="FFFFFF"/>
          <w:lang w:val="zh-CN"/>
        </w:rPr>
        <w:t>年政府采购支出为</w:t>
      </w:r>
      <w:r>
        <w:rPr>
          <w:rFonts w:eastAsia="方正仿宋_GBK"/>
          <w:bCs/>
          <w:color w:val="000000"/>
          <w:kern w:val="0"/>
          <w:sz w:val="32"/>
          <w:szCs w:val="32"/>
          <w:shd w:val="clear" w:color="auto" w:fill="FFFFFF"/>
        </w:rPr>
        <w:t>49.5</w:t>
      </w:r>
      <w:r>
        <w:rPr>
          <w:rFonts w:eastAsia="方正仿宋_GBK"/>
          <w:bCs/>
          <w:color w:val="000000"/>
          <w:kern w:val="0"/>
          <w:sz w:val="32"/>
          <w:szCs w:val="32"/>
          <w:shd w:val="clear" w:color="auto" w:fill="FFFFFF"/>
          <w:lang w:val="zh-CN"/>
        </w:rPr>
        <w:t>万元，其中政府采购授予中小企业合同金额为</w:t>
      </w:r>
      <w:r>
        <w:rPr>
          <w:rFonts w:eastAsia="方正仿宋_GBK"/>
          <w:bCs/>
          <w:color w:val="000000"/>
          <w:kern w:val="0"/>
          <w:sz w:val="32"/>
          <w:szCs w:val="32"/>
          <w:shd w:val="clear" w:color="auto" w:fill="FFFFFF"/>
        </w:rPr>
        <w:t>44.5</w:t>
      </w:r>
      <w:r>
        <w:rPr>
          <w:rFonts w:eastAsia="方正仿宋_GBK"/>
          <w:bCs/>
          <w:color w:val="000000"/>
          <w:kern w:val="0"/>
          <w:sz w:val="32"/>
          <w:szCs w:val="32"/>
          <w:shd w:val="clear" w:color="auto" w:fill="FFFFFF"/>
          <w:lang w:val="zh-CN"/>
        </w:rPr>
        <w:t>万元，占比</w:t>
      </w:r>
      <w:r>
        <w:rPr>
          <w:rFonts w:eastAsia="方正仿宋_GBK"/>
          <w:bCs/>
          <w:color w:val="000000"/>
          <w:kern w:val="0"/>
          <w:sz w:val="32"/>
          <w:szCs w:val="32"/>
          <w:shd w:val="clear" w:color="auto" w:fill="FFFFFF"/>
        </w:rPr>
        <w:t>89.90</w:t>
      </w:r>
      <w:r>
        <w:rPr>
          <w:rFonts w:eastAsia="方正仿宋_GBK"/>
          <w:bCs/>
          <w:color w:val="000000"/>
          <w:kern w:val="0"/>
          <w:sz w:val="32"/>
          <w:szCs w:val="32"/>
          <w:shd w:val="clear" w:color="auto" w:fill="FFFFFF"/>
          <w:lang w:val="zh-CN"/>
        </w:rPr>
        <w:t>%。（2）采购执行率总分3分，自评得分3分，202</w:t>
      </w:r>
      <w:r>
        <w:rPr>
          <w:rFonts w:eastAsia="方正仿宋_GBK"/>
          <w:bCs/>
          <w:color w:val="000000"/>
          <w:kern w:val="0"/>
          <w:sz w:val="32"/>
          <w:szCs w:val="32"/>
          <w:shd w:val="clear" w:color="auto" w:fill="FFFFFF"/>
        </w:rPr>
        <w:t>5</w:t>
      </w:r>
      <w:r>
        <w:rPr>
          <w:rFonts w:eastAsia="方正仿宋_GBK"/>
          <w:bCs/>
          <w:color w:val="000000"/>
          <w:kern w:val="0"/>
          <w:sz w:val="32"/>
          <w:szCs w:val="32"/>
          <w:shd w:val="clear" w:color="auto" w:fill="FFFFFF"/>
          <w:lang w:val="zh-CN"/>
        </w:rPr>
        <w:t>年</w:t>
      </w:r>
      <w:r>
        <w:rPr>
          <w:rFonts w:eastAsia="方正仿宋_GBK"/>
          <w:bCs/>
          <w:color w:val="000000"/>
          <w:kern w:val="0"/>
          <w:sz w:val="32"/>
          <w:szCs w:val="32"/>
          <w:shd w:val="clear" w:color="auto" w:fill="FFFFFF"/>
        </w:rPr>
        <w:t>预算资金安排49.5万元，实际支付49.5万元，</w:t>
      </w:r>
      <w:r>
        <w:rPr>
          <w:rFonts w:eastAsia="方正仿宋_GBK"/>
          <w:bCs/>
          <w:color w:val="000000"/>
          <w:kern w:val="0"/>
          <w:sz w:val="32"/>
          <w:szCs w:val="32"/>
          <w:shd w:val="clear" w:color="auto" w:fill="FFFFFF"/>
          <w:lang w:val="zh-CN"/>
        </w:rPr>
        <w:t>采购执行率为100%。</w:t>
      </w:r>
    </w:p>
    <w:p>
      <w:pPr>
        <w:widowControl/>
        <w:adjustRightInd w:val="0"/>
        <w:snapToGrid w:val="0"/>
        <w:ind w:firstLine="643" w:firstLineChars="200"/>
        <w:contextualSpacing/>
        <w:rPr>
          <w:rFonts w:eastAsia="方正楷体_GBK"/>
          <w:b/>
          <w:color w:val="000000"/>
          <w:kern w:val="0"/>
          <w:sz w:val="32"/>
          <w:szCs w:val="32"/>
          <w:shd w:val="clear" w:color="auto" w:fill="FFFFFF"/>
        </w:rPr>
      </w:pPr>
      <w:r>
        <w:rPr>
          <w:rFonts w:eastAsia="方正楷体_GBK"/>
          <w:b/>
          <w:color w:val="000000"/>
          <w:kern w:val="0"/>
          <w:sz w:val="32"/>
          <w:szCs w:val="32"/>
          <w:shd w:val="clear" w:color="auto" w:fill="FFFFFF"/>
          <w:lang w:val="zh-CN"/>
        </w:rPr>
        <w:t>（二）部门预算项目绩效分析</w:t>
      </w:r>
    </w:p>
    <w:p>
      <w:pPr>
        <w:adjustRightInd w:val="0"/>
        <w:snapToGrid w:val="0"/>
        <w:ind w:firstLine="640" w:firstLineChars="200"/>
        <w:contextualSpacing/>
        <w:rPr>
          <w:rFonts w:eastAsia="方正仿宋_GBK"/>
          <w:bCs/>
          <w:color w:val="000000"/>
          <w:kern w:val="0"/>
          <w:sz w:val="32"/>
          <w:szCs w:val="32"/>
          <w:shd w:val="clear" w:color="auto" w:fill="FFFFFF"/>
          <w:lang w:val="zh-CN"/>
        </w:rPr>
      </w:pPr>
      <w:r>
        <w:rPr>
          <w:rFonts w:eastAsia="方正仿宋_GBK"/>
          <w:bCs/>
          <w:color w:val="000000"/>
          <w:kern w:val="0"/>
          <w:sz w:val="32"/>
          <w:szCs w:val="32"/>
          <w:shd w:val="clear" w:color="auto" w:fill="FFFFFF"/>
          <w:lang w:val="zh-CN"/>
        </w:rPr>
        <w:t>该类项目总数</w:t>
      </w:r>
      <w:r>
        <w:rPr>
          <w:rFonts w:eastAsia="方正仿宋_GBK"/>
          <w:bCs/>
          <w:color w:val="000000"/>
          <w:kern w:val="0"/>
          <w:sz w:val="32"/>
          <w:szCs w:val="32"/>
          <w:shd w:val="clear" w:color="auto" w:fill="FFFFFF"/>
        </w:rPr>
        <w:t>5</w:t>
      </w:r>
      <w:r>
        <w:rPr>
          <w:rFonts w:eastAsia="方正仿宋_GBK"/>
          <w:bCs/>
          <w:color w:val="000000"/>
          <w:kern w:val="0"/>
          <w:sz w:val="32"/>
          <w:szCs w:val="32"/>
          <w:shd w:val="clear" w:color="auto" w:fill="FFFFFF"/>
          <w:lang w:val="zh-CN"/>
        </w:rPr>
        <w:t>个，</w:t>
      </w:r>
      <w:r>
        <w:rPr>
          <w:rFonts w:eastAsia="方正仿宋_GBK"/>
          <w:bCs/>
          <w:kern w:val="0"/>
          <w:sz w:val="32"/>
          <w:szCs w:val="32"/>
          <w:shd w:val="clear" w:color="auto" w:fill="FFFFFF"/>
        </w:rPr>
        <w:t>包括医疗服务与保障能力提升中央财政补助资金、医保定点医药机构监管经费、市级干部挂职补助等5个项目。</w:t>
      </w:r>
      <w:r>
        <w:rPr>
          <w:rFonts w:eastAsia="方正仿宋_GBK"/>
          <w:bCs/>
          <w:color w:val="000000"/>
          <w:kern w:val="0"/>
          <w:sz w:val="32"/>
          <w:szCs w:val="32"/>
          <w:shd w:val="clear" w:color="auto" w:fill="FFFFFF"/>
          <w:lang w:val="zh-CN"/>
        </w:rPr>
        <w:t>涉及预算总金额</w:t>
      </w:r>
      <w:r>
        <w:rPr>
          <w:rFonts w:eastAsia="方正仿宋_GBK"/>
          <w:bCs/>
          <w:color w:val="000000"/>
          <w:kern w:val="0"/>
          <w:sz w:val="32"/>
          <w:szCs w:val="32"/>
          <w:shd w:val="clear" w:color="auto" w:fill="FFFFFF"/>
        </w:rPr>
        <w:t>386.25</w:t>
      </w:r>
      <w:r>
        <w:rPr>
          <w:rFonts w:eastAsia="方正仿宋_GBK"/>
          <w:bCs/>
          <w:color w:val="000000"/>
          <w:kern w:val="0"/>
          <w:sz w:val="32"/>
          <w:szCs w:val="32"/>
          <w:shd w:val="clear" w:color="auto" w:fill="FFFFFF"/>
          <w:lang w:val="zh-CN"/>
        </w:rPr>
        <w:t>万元，1—1</w:t>
      </w:r>
      <w:r>
        <w:rPr>
          <w:rFonts w:eastAsia="方正仿宋_GBK"/>
          <w:bCs/>
          <w:color w:val="000000"/>
          <w:kern w:val="0"/>
          <w:sz w:val="32"/>
          <w:szCs w:val="32"/>
          <w:shd w:val="clear" w:color="auto" w:fill="FFFFFF"/>
        </w:rPr>
        <w:t>2</w:t>
      </w:r>
      <w:r>
        <w:rPr>
          <w:rFonts w:eastAsia="方正仿宋_GBK"/>
          <w:bCs/>
          <w:color w:val="000000"/>
          <w:kern w:val="0"/>
          <w:sz w:val="32"/>
          <w:szCs w:val="32"/>
          <w:shd w:val="clear" w:color="auto" w:fill="FFFFFF"/>
          <w:lang w:val="zh-CN"/>
        </w:rPr>
        <w:t>月预算执行总体进度为</w:t>
      </w:r>
      <w:r>
        <w:rPr>
          <w:rFonts w:eastAsia="方正仿宋_GBK"/>
          <w:bCs/>
          <w:color w:val="000000"/>
          <w:kern w:val="0"/>
          <w:sz w:val="32"/>
          <w:szCs w:val="32"/>
          <w:shd w:val="clear" w:color="auto" w:fill="FFFFFF"/>
        </w:rPr>
        <w:t>96.74</w:t>
      </w:r>
      <w:r>
        <w:rPr>
          <w:rFonts w:eastAsia="方正仿宋_GBK"/>
          <w:bCs/>
          <w:color w:val="000000"/>
          <w:kern w:val="0"/>
          <w:sz w:val="32"/>
          <w:szCs w:val="32"/>
          <w:shd w:val="clear" w:color="auto" w:fill="FFFFFF"/>
          <w:lang w:val="zh-CN"/>
        </w:rPr>
        <w:t>%，</w:t>
      </w:r>
      <w:r>
        <w:rPr>
          <w:rFonts w:eastAsia="方正仿宋_GBK"/>
          <w:bCs/>
          <w:color w:val="000000"/>
          <w:kern w:val="0"/>
          <w:sz w:val="32"/>
          <w:szCs w:val="32"/>
          <w:shd w:val="clear" w:color="auto" w:fill="FFFFFF"/>
        </w:rPr>
        <w:t>无</w:t>
      </w:r>
      <w:r>
        <w:rPr>
          <w:rFonts w:eastAsia="方正仿宋_GBK"/>
          <w:bCs/>
          <w:color w:val="000000"/>
          <w:kern w:val="0"/>
          <w:sz w:val="32"/>
          <w:szCs w:val="32"/>
          <w:shd w:val="clear" w:color="auto" w:fill="FFFFFF"/>
          <w:lang w:val="zh-CN"/>
        </w:rPr>
        <w:t>预算结余率大于</w:t>
      </w:r>
      <w:r>
        <w:rPr>
          <w:rFonts w:eastAsia="方正仿宋_GBK"/>
          <w:bCs/>
          <w:color w:val="000000"/>
          <w:kern w:val="0"/>
          <w:sz w:val="32"/>
          <w:szCs w:val="32"/>
          <w:shd w:val="clear" w:color="auto" w:fill="FFFFFF"/>
        </w:rPr>
        <w:t>10%</w:t>
      </w:r>
      <w:r>
        <w:rPr>
          <w:rFonts w:eastAsia="方正仿宋_GBK"/>
          <w:bCs/>
          <w:color w:val="000000"/>
          <w:kern w:val="0"/>
          <w:sz w:val="32"/>
          <w:szCs w:val="32"/>
          <w:shd w:val="clear" w:color="auto" w:fill="FFFFFF"/>
          <w:lang w:val="zh-CN"/>
        </w:rPr>
        <w:t>的项目。</w:t>
      </w:r>
    </w:p>
    <w:p>
      <w:pPr>
        <w:adjustRightInd w:val="0"/>
        <w:snapToGrid w:val="0"/>
        <w:ind w:firstLine="640" w:firstLineChars="200"/>
        <w:rPr>
          <w:rFonts w:eastAsia="方正仿宋_GBK"/>
          <w:bCs/>
          <w:color w:val="000000"/>
          <w:kern w:val="0"/>
          <w:sz w:val="32"/>
          <w:szCs w:val="32"/>
          <w:shd w:val="clear" w:color="auto" w:fill="FFFFFF"/>
          <w:lang w:val="zh-CN"/>
        </w:rPr>
      </w:pPr>
      <w:r>
        <w:rPr>
          <w:rFonts w:eastAsia="方正仿宋_GBK"/>
          <w:bCs/>
          <w:color w:val="000000"/>
          <w:kern w:val="0"/>
          <w:sz w:val="32"/>
          <w:szCs w:val="32"/>
          <w:shd w:val="clear" w:color="auto" w:fill="FFFFFF"/>
        </w:rPr>
        <w:t>1.</w:t>
      </w:r>
      <w:r>
        <w:rPr>
          <w:rFonts w:eastAsia="方正仿宋_GBK"/>
          <w:bCs/>
          <w:color w:val="000000"/>
          <w:kern w:val="0"/>
          <w:sz w:val="32"/>
          <w:szCs w:val="32"/>
          <w:shd w:val="clear" w:color="auto" w:fill="FFFFFF"/>
          <w:lang w:val="zh-CN"/>
        </w:rPr>
        <w:t>项目决策。总分12分，自评得分12分。其中：（1）决策程序总分4分，自评得分4分，202</w:t>
      </w:r>
      <w:r>
        <w:rPr>
          <w:rFonts w:eastAsia="方正仿宋_GBK"/>
          <w:bCs/>
          <w:color w:val="000000"/>
          <w:kern w:val="0"/>
          <w:sz w:val="32"/>
          <w:szCs w:val="32"/>
          <w:shd w:val="clear" w:color="auto" w:fill="FFFFFF"/>
        </w:rPr>
        <w:t>5</w:t>
      </w:r>
      <w:r>
        <w:rPr>
          <w:rFonts w:eastAsia="方正仿宋_GBK"/>
          <w:bCs/>
          <w:color w:val="000000"/>
          <w:kern w:val="0"/>
          <w:sz w:val="32"/>
          <w:szCs w:val="32"/>
          <w:shd w:val="clear" w:color="auto" w:fill="FFFFFF"/>
          <w:lang w:val="zh-CN"/>
        </w:rPr>
        <w:t>年预算项目设立均按规定履行评估论证、申报程序，程序合规。（2）目标设置总分4分，自评得分4分，202</w:t>
      </w:r>
      <w:r>
        <w:rPr>
          <w:rFonts w:eastAsia="方正仿宋_GBK"/>
          <w:bCs/>
          <w:color w:val="000000"/>
          <w:kern w:val="0"/>
          <w:sz w:val="32"/>
          <w:szCs w:val="32"/>
          <w:shd w:val="clear" w:color="auto" w:fill="FFFFFF"/>
        </w:rPr>
        <w:t>5</w:t>
      </w:r>
      <w:r>
        <w:rPr>
          <w:rFonts w:eastAsia="方正仿宋_GBK"/>
          <w:bCs/>
          <w:color w:val="000000"/>
          <w:kern w:val="0"/>
          <w:sz w:val="32"/>
          <w:szCs w:val="32"/>
          <w:shd w:val="clear" w:color="auto" w:fill="FFFFFF"/>
          <w:lang w:val="zh-CN"/>
        </w:rPr>
        <w:t>年预算项目绩效目标与计划期内的任务量、预算安排的资金量相匹配，绩效目标设置科学合理、规范完整、量化细化、预算匹配。（3）项目入库总分4分，自评得分4分，202</w:t>
      </w:r>
      <w:r>
        <w:rPr>
          <w:rFonts w:eastAsia="方正仿宋_GBK"/>
          <w:bCs/>
          <w:color w:val="000000"/>
          <w:kern w:val="0"/>
          <w:sz w:val="32"/>
          <w:szCs w:val="32"/>
          <w:shd w:val="clear" w:color="auto" w:fill="FFFFFF"/>
        </w:rPr>
        <w:t>5</w:t>
      </w:r>
      <w:r>
        <w:rPr>
          <w:rFonts w:eastAsia="方正仿宋_GBK"/>
          <w:bCs/>
          <w:color w:val="000000"/>
          <w:kern w:val="0"/>
          <w:sz w:val="32"/>
          <w:szCs w:val="32"/>
          <w:shd w:val="clear" w:color="auto" w:fill="FFFFFF"/>
          <w:lang w:val="zh-CN"/>
        </w:rPr>
        <w:t>年预算项目均在规定时间完成项目入库。</w:t>
      </w:r>
    </w:p>
    <w:p>
      <w:pPr>
        <w:numPr>
          <w:ilvl w:val="255"/>
          <w:numId w:val="0"/>
        </w:numPr>
        <w:adjustRightInd w:val="0"/>
        <w:snapToGrid w:val="0"/>
        <w:ind w:firstLine="640" w:firstLineChars="200"/>
        <w:rPr>
          <w:rFonts w:eastAsia="方正仿宋_GBK"/>
          <w:bCs/>
          <w:sz w:val="32"/>
          <w:szCs w:val="32"/>
        </w:rPr>
      </w:pPr>
      <w:r>
        <w:rPr>
          <w:rFonts w:eastAsia="方正仿宋_GBK"/>
          <w:bCs/>
          <w:color w:val="000000"/>
          <w:kern w:val="0"/>
          <w:sz w:val="32"/>
          <w:szCs w:val="32"/>
          <w:shd w:val="clear" w:color="auto" w:fill="FFFFFF"/>
        </w:rPr>
        <w:t>2.项目执行</w:t>
      </w:r>
      <w:r>
        <w:rPr>
          <w:rFonts w:eastAsia="方正仿宋_GBK"/>
          <w:bCs/>
          <w:color w:val="000000"/>
          <w:kern w:val="0"/>
          <w:sz w:val="32"/>
          <w:szCs w:val="32"/>
          <w:shd w:val="clear" w:color="auto" w:fill="FFFFFF"/>
          <w:lang w:val="zh-CN"/>
        </w:rPr>
        <w:t>。总分12分，自评得分12分。其中：（1）执行同向总分4分，自评得分4分，202</w:t>
      </w:r>
      <w:r>
        <w:rPr>
          <w:rFonts w:eastAsia="方正仿宋_GBK"/>
          <w:bCs/>
          <w:color w:val="000000"/>
          <w:kern w:val="0"/>
          <w:sz w:val="32"/>
          <w:szCs w:val="32"/>
          <w:shd w:val="clear" w:color="auto" w:fill="FFFFFF"/>
        </w:rPr>
        <w:t>5</w:t>
      </w:r>
      <w:r>
        <w:rPr>
          <w:rFonts w:eastAsia="方正仿宋_GBK"/>
          <w:bCs/>
          <w:color w:val="000000"/>
          <w:kern w:val="0"/>
          <w:sz w:val="32"/>
          <w:szCs w:val="32"/>
          <w:shd w:val="clear" w:color="auto" w:fill="FFFFFF"/>
          <w:lang w:val="zh-CN"/>
        </w:rPr>
        <w:t>年预算项目实际列支内容均与绩效目标设置方向相符。（2）项目调整总分4分，自评得分4分，202</w:t>
      </w:r>
      <w:r>
        <w:rPr>
          <w:rFonts w:eastAsia="方正仿宋_GBK"/>
          <w:bCs/>
          <w:color w:val="000000"/>
          <w:kern w:val="0"/>
          <w:sz w:val="32"/>
          <w:szCs w:val="32"/>
          <w:shd w:val="clear" w:color="auto" w:fill="FFFFFF"/>
        </w:rPr>
        <w:t>5</w:t>
      </w:r>
      <w:r>
        <w:rPr>
          <w:rFonts w:eastAsia="方正仿宋_GBK"/>
          <w:bCs/>
          <w:color w:val="000000"/>
          <w:kern w:val="0"/>
          <w:sz w:val="32"/>
          <w:szCs w:val="32"/>
          <w:shd w:val="clear" w:color="auto" w:fill="FFFFFF"/>
          <w:lang w:val="zh-CN"/>
        </w:rPr>
        <w:t>年预算项目均采取对应调整措施，项目总体执行较好。（3）执行结果总分4分，自评得分4分，202</w:t>
      </w:r>
      <w:r>
        <w:rPr>
          <w:rFonts w:eastAsia="方正仿宋_GBK"/>
          <w:bCs/>
          <w:color w:val="000000"/>
          <w:kern w:val="0"/>
          <w:sz w:val="32"/>
          <w:szCs w:val="32"/>
          <w:shd w:val="clear" w:color="auto" w:fill="FFFFFF"/>
        </w:rPr>
        <w:t>5</w:t>
      </w:r>
      <w:r>
        <w:rPr>
          <w:rFonts w:eastAsia="方正仿宋_GBK"/>
          <w:bCs/>
          <w:color w:val="000000"/>
          <w:kern w:val="0"/>
          <w:sz w:val="32"/>
          <w:szCs w:val="32"/>
          <w:shd w:val="clear" w:color="auto" w:fill="FFFFFF"/>
          <w:lang w:val="zh-CN"/>
        </w:rPr>
        <w:t>年预算项目总体执行进度为</w:t>
      </w:r>
      <w:r>
        <w:rPr>
          <w:rFonts w:eastAsia="方正仿宋_GBK"/>
          <w:bCs/>
          <w:color w:val="000000"/>
          <w:kern w:val="0"/>
          <w:sz w:val="32"/>
          <w:szCs w:val="32"/>
          <w:shd w:val="clear" w:color="auto" w:fill="FFFFFF"/>
        </w:rPr>
        <w:t>96.74</w:t>
      </w:r>
      <w:r>
        <w:rPr>
          <w:rFonts w:eastAsia="方正仿宋_GBK"/>
          <w:bCs/>
          <w:color w:val="000000"/>
          <w:kern w:val="0"/>
          <w:sz w:val="32"/>
          <w:szCs w:val="32"/>
          <w:shd w:val="clear" w:color="auto" w:fill="FFFFFF"/>
          <w:lang w:val="zh-CN"/>
        </w:rPr>
        <w:t>%，所有项目预算执行进度均大于90%。</w:t>
      </w:r>
    </w:p>
    <w:p>
      <w:pPr>
        <w:adjustRightInd w:val="0"/>
        <w:snapToGrid w:val="0"/>
        <w:ind w:firstLine="640" w:firstLineChars="200"/>
        <w:rPr>
          <w:rFonts w:eastAsia="方正仿宋_GBK"/>
          <w:bCs/>
          <w:color w:val="000000"/>
          <w:kern w:val="0"/>
          <w:sz w:val="32"/>
          <w:szCs w:val="32"/>
          <w:shd w:val="clear" w:color="auto" w:fill="FFFFFF"/>
          <w:lang w:val="zh-CN"/>
        </w:rPr>
      </w:pPr>
      <w:r>
        <w:rPr>
          <w:rFonts w:eastAsia="方正仿宋_GBK"/>
          <w:bCs/>
          <w:color w:val="000000"/>
          <w:kern w:val="0"/>
          <w:sz w:val="32"/>
          <w:szCs w:val="32"/>
          <w:shd w:val="clear" w:color="auto" w:fill="FFFFFF"/>
        </w:rPr>
        <w:t>3.</w:t>
      </w:r>
      <w:r>
        <w:rPr>
          <w:rFonts w:eastAsia="方正仿宋_GBK"/>
          <w:bCs/>
          <w:color w:val="000000"/>
          <w:kern w:val="0"/>
          <w:sz w:val="32"/>
          <w:szCs w:val="32"/>
          <w:shd w:val="clear" w:color="auto" w:fill="FFFFFF"/>
          <w:lang w:val="zh-CN"/>
        </w:rPr>
        <w:t>目标实现</w:t>
      </w:r>
      <w:r>
        <w:rPr>
          <w:rFonts w:eastAsia="方正仿宋_GBK"/>
          <w:bCs/>
          <w:sz w:val="32"/>
          <w:szCs w:val="32"/>
        </w:rPr>
        <w:t>。</w:t>
      </w:r>
      <w:r>
        <w:rPr>
          <w:rFonts w:eastAsia="方正仿宋_GBK"/>
          <w:bCs/>
          <w:color w:val="000000"/>
          <w:kern w:val="0"/>
          <w:sz w:val="32"/>
          <w:szCs w:val="32"/>
          <w:shd w:val="clear" w:color="auto" w:fill="FFFFFF"/>
          <w:lang w:val="zh-CN"/>
        </w:rPr>
        <w:t>总分11分，自评得分11分。其中：（1）目标完成总分4分，自评得分4分，202</w:t>
      </w:r>
      <w:r>
        <w:rPr>
          <w:rFonts w:eastAsia="方正仿宋_GBK"/>
          <w:bCs/>
          <w:color w:val="000000"/>
          <w:kern w:val="0"/>
          <w:sz w:val="32"/>
          <w:szCs w:val="32"/>
          <w:shd w:val="clear" w:color="auto" w:fill="FFFFFF"/>
        </w:rPr>
        <w:t>5</w:t>
      </w:r>
      <w:r>
        <w:rPr>
          <w:rFonts w:eastAsia="方正仿宋_GBK"/>
          <w:bCs/>
          <w:color w:val="000000"/>
          <w:kern w:val="0"/>
          <w:sz w:val="32"/>
          <w:szCs w:val="32"/>
          <w:shd w:val="clear" w:color="auto" w:fill="FFFFFF"/>
          <w:lang w:val="zh-CN"/>
        </w:rPr>
        <w:t>年预算项目绩效目标数量指标完成率为100%。（2）目标偏离总分4分，自评得分4分，202</w:t>
      </w:r>
      <w:r>
        <w:rPr>
          <w:rFonts w:eastAsia="方正仿宋_GBK"/>
          <w:bCs/>
          <w:color w:val="000000"/>
          <w:kern w:val="0"/>
          <w:sz w:val="32"/>
          <w:szCs w:val="32"/>
          <w:shd w:val="clear" w:color="auto" w:fill="FFFFFF"/>
        </w:rPr>
        <w:t>5</w:t>
      </w:r>
      <w:r>
        <w:rPr>
          <w:rFonts w:eastAsia="方正仿宋_GBK"/>
          <w:bCs/>
          <w:color w:val="000000"/>
          <w:kern w:val="0"/>
          <w:sz w:val="32"/>
          <w:szCs w:val="32"/>
          <w:shd w:val="clear" w:color="auto" w:fill="FFFFFF"/>
          <w:lang w:val="zh-CN"/>
        </w:rPr>
        <w:t>年预算项目绩效目标数量指标实现程度与预期目标无偏离超过30%情况。（3）实现效果总分</w:t>
      </w:r>
      <w:r>
        <w:rPr>
          <w:rFonts w:eastAsia="方正仿宋_GBK"/>
          <w:bCs/>
          <w:color w:val="000000"/>
          <w:kern w:val="0"/>
          <w:sz w:val="32"/>
          <w:szCs w:val="32"/>
          <w:shd w:val="clear" w:color="auto" w:fill="FFFFFF"/>
        </w:rPr>
        <w:t>3</w:t>
      </w:r>
      <w:r>
        <w:rPr>
          <w:rFonts w:eastAsia="方正仿宋_GBK"/>
          <w:bCs/>
          <w:color w:val="000000"/>
          <w:kern w:val="0"/>
          <w:sz w:val="32"/>
          <w:szCs w:val="32"/>
          <w:shd w:val="clear" w:color="auto" w:fill="FFFFFF"/>
          <w:lang w:val="zh-CN"/>
        </w:rPr>
        <w:t>分，自评得分</w:t>
      </w:r>
      <w:r>
        <w:rPr>
          <w:rFonts w:eastAsia="方正仿宋_GBK"/>
          <w:bCs/>
          <w:color w:val="000000"/>
          <w:kern w:val="0"/>
          <w:sz w:val="32"/>
          <w:szCs w:val="32"/>
          <w:shd w:val="clear" w:color="auto" w:fill="FFFFFF"/>
        </w:rPr>
        <w:t>3</w:t>
      </w:r>
      <w:r>
        <w:rPr>
          <w:rFonts w:eastAsia="方正仿宋_GBK"/>
          <w:bCs/>
          <w:color w:val="000000"/>
          <w:kern w:val="0"/>
          <w:sz w:val="32"/>
          <w:szCs w:val="32"/>
          <w:shd w:val="clear" w:color="auto" w:fill="FFFFFF"/>
          <w:lang w:val="zh-CN"/>
        </w:rPr>
        <w:t>分，202</w:t>
      </w:r>
      <w:r>
        <w:rPr>
          <w:rFonts w:eastAsia="方正仿宋_GBK"/>
          <w:bCs/>
          <w:color w:val="000000"/>
          <w:kern w:val="0"/>
          <w:sz w:val="32"/>
          <w:szCs w:val="32"/>
          <w:shd w:val="clear" w:color="auto" w:fill="FFFFFF"/>
        </w:rPr>
        <w:t>5</w:t>
      </w:r>
      <w:r>
        <w:rPr>
          <w:rFonts w:eastAsia="方正仿宋_GBK"/>
          <w:bCs/>
          <w:color w:val="000000"/>
          <w:kern w:val="0"/>
          <w:sz w:val="32"/>
          <w:szCs w:val="32"/>
          <w:shd w:val="clear" w:color="auto" w:fill="FFFFFF"/>
          <w:lang w:val="zh-CN"/>
        </w:rPr>
        <w:t>年预算项目绩效目标效益指标实施效果为100%。</w:t>
      </w:r>
    </w:p>
    <w:p>
      <w:pPr>
        <w:widowControl/>
        <w:adjustRightInd w:val="0"/>
        <w:snapToGrid w:val="0"/>
        <w:ind w:firstLine="643" w:firstLineChars="200"/>
        <w:contextualSpacing/>
        <w:rPr>
          <w:rFonts w:eastAsia="方正楷体_GBK"/>
          <w:b/>
          <w:color w:val="000000"/>
          <w:kern w:val="0"/>
          <w:sz w:val="32"/>
          <w:szCs w:val="32"/>
          <w:highlight w:val="yellow"/>
          <w:shd w:val="clear" w:color="auto" w:fill="FFFFFF"/>
          <w:lang w:val="zh-CN"/>
        </w:rPr>
      </w:pPr>
      <w:r>
        <w:rPr>
          <w:rFonts w:eastAsia="方正楷体_GBK"/>
          <w:b/>
          <w:sz w:val="32"/>
          <w:szCs w:val="32"/>
          <w:lang w:val="zh-CN"/>
        </w:rPr>
        <w:t>（三）绩效结果应用情况</w:t>
      </w:r>
    </w:p>
    <w:p>
      <w:pPr>
        <w:widowControl/>
        <w:adjustRightInd w:val="0"/>
        <w:snapToGrid w:val="0"/>
        <w:ind w:firstLine="640" w:firstLineChars="200"/>
        <w:contextualSpacing/>
        <w:rPr>
          <w:rFonts w:eastAsia="方正仿宋_GBK"/>
          <w:bCs/>
          <w:sz w:val="32"/>
          <w:szCs w:val="32"/>
        </w:rPr>
      </w:pPr>
      <w:r>
        <w:rPr>
          <w:rFonts w:eastAsia="方正仿宋_GBK"/>
          <w:bCs/>
          <w:kern w:val="0"/>
          <w:sz w:val="32"/>
          <w:szCs w:val="32"/>
        </w:rPr>
        <w:t>市医保事务中心</w:t>
      </w:r>
      <w:r>
        <w:rPr>
          <w:rFonts w:eastAsia="方正仿宋_GBK"/>
          <w:bCs/>
          <w:sz w:val="32"/>
          <w:szCs w:val="32"/>
        </w:rPr>
        <w:t>将实际完成数和年度指标值进行对比分析，对预算指标进行合理评估，科学、合理的编制部门预算，提高资金使用效率，绩效自评结果拟在攀枝花市医疗保障局网站公示公开，并按要求反馈市级财政部门，对绩效管理过程中发现的问题及时纠偏，绩效结果得到充分应用。</w:t>
      </w:r>
    </w:p>
    <w:p>
      <w:pPr>
        <w:widowControl/>
        <w:adjustRightInd w:val="0"/>
        <w:snapToGrid w:val="0"/>
        <w:ind w:firstLine="640" w:firstLineChars="200"/>
        <w:contextualSpacing/>
        <w:rPr>
          <w:rFonts w:eastAsia="方正黑体_GBK"/>
          <w:bCs/>
          <w:color w:val="000000"/>
          <w:kern w:val="0"/>
          <w:sz w:val="32"/>
          <w:szCs w:val="32"/>
          <w:shd w:val="clear" w:color="auto" w:fill="FFFFFF"/>
        </w:rPr>
      </w:pPr>
      <w:r>
        <w:rPr>
          <w:rFonts w:eastAsia="方正黑体_GBK"/>
          <w:bCs/>
          <w:color w:val="000000"/>
          <w:kern w:val="0"/>
          <w:sz w:val="32"/>
          <w:szCs w:val="32"/>
          <w:shd w:val="clear" w:color="auto" w:fill="FFFFFF"/>
        </w:rPr>
        <w:t>四、评价结论及建议</w:t>
      </w:r>
    </w:p>
    <w:p>
      <w:pPr>
        <w:adjustRightInd w:val="0"/>
        <w:snapToGrid w:val="0"/>
        <w:ind w:firstLine="643" w:firstLineChars="200"/>
        <w:rPr>
          <w:rFonts w:eastAsia="方正楷体_GBK"/>
          <w:b/>
          <w:kern w:val="0"/>
          <w:sz w:val="32"/>
          <w:szCs w:val="32"/>
        </w:rPr>
      </w:pPr>
      <w:r>
        <w:rPr>
          <w:rFonts w:eastAsia="方正楷体_GBK"/>
          <w:b/>
          <w:color w:val="000000"/>
          <w:kern w:val="0"/>
          <w:sz w:val="32"/>
          <w:szCs w:val="32"/>
          <w:shd w:val="clear" w:color="auto" w:fill="FFFFFF"/>
          <w:lang w:val="zh-CN"/>
        </w:rPr>
        <w:t>（一）评价结论</w:t>
      </w:r>
    </w:p>
    <w:p>
      <w:pPr>
        <w:adjustRightInd w:val="0"/>
        <w:snapToGrid w:val="0"/>
        <w:ind w:firstLine="640" w:firstLineChars="200"/>
        <w:rPr>
          <w:rFonts w:eastAsia="方正仿宋_GBK"/>
          <w:bCs/>
          <w:kern w:val="0"/>
          <w:sz w:val="32"/>
          <w:szCs w:val="32"/>
          <w:shd w:val="clear" w:color="auto" w:fill="FFFFFF"/>
        </w:rPr>
      </w:pPr>
      <w:r>
        <w:rPr>
          <w:rFonts w:eastAsia="方正仿宋_GBK"/>
          <w:bCs/>
          <w:sz w:val="32"/>
          <w:szCs w:val="32"/>
        </w:rPr>
        <w:t>2025年，我中心坚持以人民为中心，围绕保障人民群众医疗保障权益，认真履职尽责。全力推进全民参保计划，广泛开展医保政策宣传，不断提升群众参保积极性与参保覆盖率；严格落实国家、省、市各项医保待遇政策，强化医保基金预算管理，从严规范基金支出，切实守牢基金安全底线，保障医保基金平稳可持续运行。</w:t>
      </w:r>
      <w:r>
        <w:rPr>
          <w:rFonts w:eastAsia="方正仿宋_GBK"/>
          <w:bCs/>
          <w:sz w:val="32"/>
          <w:szCs w:val="32"/>
          <w:shd w:val="clear" w:color="auto" w:fill="FFFFFF"/>
        </w:rPr>
        <w:t>深入推进按疾病诊断相关分组（DRG）付费国家示范点建设；着力打造便捷高效的医保经办管理服务体系</w:t>
      </w:r>
      <w:r>
        <w:rPr>
          <w:rFonts w:eastAsia="方正仿宋_GBK"/>
          <w:bCs/>
          <w:sz w:val="32"/>
          <w:szCs w:val="32"/>
        </w:rPr>
        <w:t>；不断加大基金监管工作力度，严厉打击欺诈骗保行为；进一步完善医保信息平台建设，有效提升了医疗保障服务能力，按预期绩效目标圆满完成了各项医保工作任务，实现了保运转，惠民生、促发展、推改革的总体目标。综上，绩效自评得分94.16分。</w:t>
      </w:r>
    </w:p>
    <w:p>
      <w:pPr>
        <w:widowControl/>
        <w:adjustRightInd w:val="0"/>
        <w:snapToGrid w:val="0"/>
        <w:ind w:firstLine="643" w:firstLineChars="200"/>
        <w:contextualSpacing/>
        <w:rPr>
          <w:rFonts w:eastAsia="方正楷体_GBK"/>
          <w:b/>
          <w:color w:val="000000"/>
          <w:kern w:val="0"/>
          <w:sz w:val="32"/>
          <w:szCs w:val="32"/>
          <w:shd w:val="clear" w:color="auto" w:fill="FFFFFF"/>
          <w:lang w:val="zh-CN"/>
        </w:rPr>
      </w:pPr>
      <w:r>
        <w:rPr>
          <w:rFonts w:eastAsia="方正楷体_GBK"/>
          <w:b/>
          <w:color w:val="000000"/>
          <w:kern w:val="0"/>
          <w:sz w:val="32"/>
          <w:szCs w:val="32"/>
          <w:shd w:val="clear" w:color="auto" w:fill="FFFFFF"/>
          <w:lang w:val="zh-CN"/>
        </w:rPr>
        <w:t>（二）存在问题</w:t>
      </w:r>
    </w:p>
    <w:p>
      <w:pPr>
        <w:widowControl/>
        <w:adjustRightInd w:val="0"/>
        <w:snapToGrid w:val="0"/>
        <w:ind w:firstLine="640" w:firstLineChars="200"/>
        <w:contextualSpacing/>
        <w:rPr>
          <w:rFonts w:eastAsia="方正仿宋_GBK"/>
          <w:bCs/>
          <w:sz w:val="32"/>
          <w:szCs w:val="32"/>
          <w:lang w:val="zh-CN"/>
        </w:rPr>
      </w:pPr>
      <w:r>
        <w:rPr>
          <w:rFonts w:eastAsia="方正仿宋_GBK"/>
          <w:bCs/>
          <w:sz w:val="32"/>
          <w:szCs w:val="32"/>
        </w:rPr>
        <w:t>项目预算执行率有待提高，</w:t>
      </w:r>
      <w:bookmarkStart w:id="59" w:name="OLE_LINK2"/>
      <w:bookmarkStart w:id="60" w:name="OLE_LINK7"/>
      <w:r>
        <w:rPr>
          <w:rFonts w:eastAsia="方正仿宋_GBK"/>
          <w:bCs/>
          <w:sz w:val="32"/>
          <w:szCs w:val="32"/>
        </w:rPr>
        <w:t>2025年医疗服务与保障能力提升中央财政补助资金因受二次分配、多层级审核</w:t>
      </w:r>
      <w:bookmarkEnd w:id="59"/>
      <w:r>
        <w:rPr>
          <w:rFonts w:eastAsia="方正仿宋_GBK"/>
          <w:bCs/>
          <w:sz w:val="32"/>
          <w:szCs w:val="32"/>
        </w:rPr>
        <w:t>等因素影响</w:t>
      </w:r>
      <w:bookmarkEnd w:id="60"/>
      <w:r>
        <w:rPr>
          <w:rFonts w:eastAsia="方正仿宋_GBK"/>
          <w:bCs/>
          <w:sz w:val="32"/>
          <w:szCs w:val="32"/>
        </w:rPr>
        <w:t>，预算执行率为91.22%。</w:t>
      </w:r>
    </w:p>
    <w:p>
      <w:pPr>
        <w:widowControl/>
        <w:adjustRightInd w:val="0"/>
        <w:snapToGrid w:val="0"/>
        <w:ind w:firstLine="643" w:firstLineChars="200"/>
        <w:contextualSpacing/>
        <w:rPr>
          <w:rFonts w:eastAsia="方正楷体_GBK"/>
          <w:b/>
          <w:color w:val="000000"/>
          <w:kern w:val="0"/>
          <w:sz w:val="32"/>
          <w:szCs w:val="32"/>
          <w:shd w:val="clear" w:color="auto" w:fill="FFFFFF"/>
          <w:lang w:val="zh-CN"/>
        </w:rPr>
      </w:pPr>
      <w:r>
        <w:rPr>
          <w:rFonts w:eastAsia="方正楷体_GBK"/>
          <w:b/>
          <w:color w:val="000000"/>
          <w:kern w:val="0"/>
          <w:sz w:val="32"/>
          <w:szCs w:val="32"/>
          <w:shd w:val="clear" w:color="auto" w:fill="FFFFFF"/>
          <w:lang w:val="zh-CN"/>
        </w:rPr>
        <w:t>（三）改进建议</w:t>
      </w:r>
      <w:bookmarkStart w:id="61" w:name="_Hlk110546638"/>
    </w:p>
    <w:bookmarkEnd w:id="61"/>
    <w:p>
      <w:pPr>
        <w:adjustRightInd w:val="0"/>
        <w:snapToGrid w:val="0"/>
        <w:ind w:firstLine="640" w:firstLineChars="200"/>
        <w:rPr>
          <w:rFonts w:eastAsia="方正仿宋_GBK"/>
          <w:bCs/>
          <w:color w:val="000000"/>
          <w:kern w:val="0"/>
          <w:sz w:val="32"/>
          <w:szCs w:val="32"/>
          <w:shd w:val="clear" w:color="auto" w:fill="FFFFFF"/>
        </w:rPr>
      </w:pPr>
      <w:r>
        <w:rPr>
          <w:rFonts w:eastAsia="方正仿宋_GBK"/>
          <w:bCs/>
          <w:color w:val="000000"/>
          <w:kern w:val="0"/>
          <w:sz w:val="32"/>
          <w:szCs w:val="32"/>
          <w:shd w:val="clear" w:color="auto" w:fill="FFFFFF"/>
        </w:rPr>
        <w:t>一是强化协同联动，落实财政资金到位。主动加强与市级财政部门沟通对接，密切跟踪资金下达进度，优化资金拨付流程，确保项目资金及时足额到位。</w:t>
      </w:r>
    </w:p>
    <w:p>
      <w:pPr>
        <w:adjustRightInd w:val="0"/>
        <w:snapToGrid w:val="0"/>
        <w:ind w:firstLine="640" w:firstLineChars="200"/>
        <w:rPr>
          <w:rFonts w:eastAsia="方正仿宋_GBK"/>
          <w:bCs/>
          <w:color w:val="000000"/>
          <w:kern w:val="0"/>
          <w:sz w:val="32"/>
          <w:szCs w:val="32"/>
          <w:shd w:val="clear" w:color="auto" w:fill="FFFFFF"/>
        </w:rPr>
      </w:pPr>
      <w:r>
        <w:rPr>
          <w:rFonts w:eastAsia="方正仿宋_GBK"/>
          <w:bCs/>
          <w:color w:val="000000"/>
          <w:kern w:val="0"/>
          <w:sz w:val="32"/>
          <w:szCs w:val="32"/>
          <w:shd w:val="clear" w:color="auto" w:fill="FFFFFF"/>
        </w:rPr>
        <w:t>二是压实管理责任，加快预算执行进度。压实项目管理科室主体责任，细化执行节点，强化动态管控，精准高效推进项目实施。</w:t>
      </w:r>
    </w:p>
    <w:p>
      <w:pPr>
        <w:adjustRightInd w:val="0"/>
        <w:snapToGrid w:val="0"/>
        <w:ind w:firstLine="640" w:firstLineChars="200"/>
        <w:rPr>
          <w:rFonts w:eastAsia="方正仿宋_GBK"/>
          <w:bCs/>
          <w:color w:val="000000"/>
          <w:kern w:val="0"/>
          <w:sz w:val="32"/>
          <w:szCs w:val="32"/>
          <w:shd w:val="clear" w:color="auto" w:fill="FFFFFF"/>
        </w:rPr>
      </w:pPr>
      <w:r>
        <w:rPr>
          <w:rFonts w:eastAsia="方正仿宋_GBK"/>
          <w:bCs/>
          <w:color w:val="000000"/>
          <w:kern w:val="0"/>
          <w:sz w:val="32"/>
          <w:szCs w:val="32"/>
          <w:shd w:val="clear" w:color="auto" w:fill="FFFFFF"/>
        </w:rPr>
        <w:t>三是强化日常监管，提升资金使用质效。强化资金日常监管与风险防控，规范资金使用行为。深化预算绩效管理，强化绩效评价结果运用，以评促改、以评促优，切实提升政策落实成效与项目实施水平。</w:t>
      </w:r>
      <w:bookmarkStart w:id="62" w:name="_Toc15396618"/>
    </w:p>
    <w:p>
      <w:pPr>
        <w:widowControl/>
        <w:rPr>
          <w:rFonts w:eastAsia="黑体"/>
          <w:sz w:val="44"/>
          <w:szCs w:val="44"/>
        </w:rPr>
      </w:pPr>
    </w:p>
    <w:p>
      <w:pPr>
        <w:widowControl/>
        <w:jc w:val="left"/>
        <w:rPr>
          <w:rFonts w:eastAsia="方正黑体_GBK"/>
          <w:sz w:val="32"/>
          <w:szCs w:val="32"/>
        </w:rPr>
      </w:pPr>
      <w:r>
        <w:rPr>
          <w:rFonts w:eastAsia="方正黑体_GBK"/>
          <w:sz w:val="32"/>
          <w:szCs w:val="32"/>
        </w:rPr>
        <w:t>附件2</w:t>
      </w:r>
    </w:p>
    <w:p>
      <w:pPr>
        <w:widowControl/>
        <w:jc w:val="left"/>
        <w:rPr>
          <w:rFonts w:eastAsia="方正黑体_GBK"/>
          <w:sz w:val="32"/>
          <w:szCs w:val="32"/>
        </w:rPr>
      </w:pPr>
    </w:p>
    <w:p>
      <w:pPr>
        <w:spacing w:line="0" w:lineRule="atLeast"/>
        <w:ind w:firstLine="880" w:firstLineChars="200"/>
        <w:jc w:val="center"/>
        <w:rPr>
          <w:rFonts w:eastAsia="方正小标宋_GBK"/>
          <w:sz w:val="44"/>
          <w:szCs w:val="44"/>
          <w:lang w:val="zh-CN"/>
        </w:rPr>
      </w:pPr>
      <w:r>
        <w:rPr>
          <w:rFonts w:eastAsia="方正小标宋_GBK"/>
          <w:sz w:val="44"/>
          <w:szCs w:val="44"/>
          <w:lang w:val="zh-CN"/>
        </w:rPr>
        <w:t>攀枝花市医疗保障事务中心</w:t>
      </w:r>
    </w:p>
    <w:p>
      <w:pPr>
        <w:spacing w:line="0" w:lineRule="atLeast"/>
        <w:jc w:val="center"/>
        <w:rPr>
          <w:rFonts w:eastAsia="方正小标宋_GBK"/>
          <w:sz w:val="44"/>
          <w:szCs w:val="44"/>
          <w:lang w:val="zh-CN"/>
        </w:rPr>
      </w:pPr>
      <w:r>
        <w:rPr>
          <w:rFonts w:eastAsia="方正小标宋_GBK"/>
          <w:sz w:val="44"/>
          <w:szCs w:val="44"/>
        </w:rPr>
        <w:t xml:space="preserve"> </w:t>
      </w:r>
      <w:r>
        <w:rPr>
          <w:rFonts w:eastAsia="方正小标宋_GBK"/>
          <w:sz w:val="44"/>
          <w:szCs w:val="44"/>
          <w:lang w:val="zh-CN"/>
        </w:rPr>
        <w:t>按疾病诊断相关分组结合点数法付费项目</w:t>
      </w:r>
    </w:p>
    <w:p>
      <w:pPr>
        <w:spacing w:line="0" w:lineRule="atLeast"/>
        <w:ind w:firstLine="2640" w:firstLineChars="600"/>
        <w:rPr>
          <w:rFonts w:eastAsia="方正小标宋_GBK"/>
          <w:sz w:val="44"/>
          <w:szCs w:val="44"/>
          <w:lang w:val="zh-CN"/>
        </w:rPr>
      </w:pPr>
      <w:r>
        <w:rPr>
          <w:rFonts w:eastAsia="方正小标宋_GBK"/>
          <w:sz w:val="44"/>
          <w:szCs w:val="44"/>
          <w:lang w:val="zh-CN"/>
        </w:rPr>
        <w:t>支出绩效自评报告</w:t>
      </w:r>
    </w:p>
    <w:p>
      <w:pPr>
        <w:spacing w:line="600" w:lineRule="exact"/>
        <w:ind w:firstLine="640" w:firstLineChars="200"/>
        <w:jc w:val="center"/>
        <w:rPr>
          <w:sz w:val="32"/>
          <w:szCs w:val="32"/>
          <w:lang w:val="zh-CN"/>
        </w:rPr>
      </w:pPr>
    </w:p>
    <w:p>
      <w:pPr>
        <w:adjustRightInd w:val="0"/>
        <w:snapToGrid w:val="0"/>
        <w:spacing w:line="600" w:lineRule="exact"/>
        <w:ind w:firstLine="640" w:firstLineChars="200"/>
        <w:rPr>
          <w:rFonts w:eastAsia="方正黑体_GBK"/>
          <w:sz w:val="32"/>
          <w:szCs w:val="32"/>
          <w:lang w:val="zh-CN"/>
        </w:rPr>
      </w:pPr>
      <w:r>
        <w:rPr>
          <w:rFonts w:eastAsia="方正黑体_GBK"/>
          <w:sz w:val="32"/>
          <w:szCs w:val="32"/>
        </w:rPr>
        <w:t>一、</w:t>
      </w:r>
      <w:r>
        <w:rPr>
          <w:rFonts w:eastAsia="方正黑体_GBK"/>
          <w:sz w:val="32"/>
          <w:szCs w:val="32"/>
          <w:lang w:val="zh-CN"/>
        </w:rPr>
        <w:t>项目概况</w:t>
      </w:r>
    </w:p>
    <w:p>
      <w:pPr>
        <w:adjustRightInd w:val="0"/>
        <w:snapToGrid w:val="0"/>
        <w:spacing w:line="600" w:lineRule="exact"/>
        <w:ind w:firstLine="643" w:firstLineChars="200"/>
        <w:rPr>
          <w:rFonts w:eastAsia="方正楷体_GBK"/>
          <w:b/>
          <w:bCs/>
          <w:sz w:val="32"/>
          <w:szCs w:val="32"/>
          <w:lang w:val="zh-CN"/>
        </w:rPr>
      </w:pPr>
      <w:r>
        <w:rPr>
          <w:rFonts w:eastAsia="方正楷体_GBK"/>
          <w:b/>
          <w:bCs/>
          <w:sz w:val="32"/>
          <w:szCs w:val="32"/>
          <w:lang w:val="zh-CN"/>
        </w:rPr>
        <w:t>（一）项目基本情况</w:t>
      </w:r>
    </w:p>
    <w:p>
      <w:pPr>
        <w:adjustRightInd w:val="0"/>
        <w:snapToGrid w:val="0"/>
        <w:ind w:firstLine="640" w:firstLineChars="200"/>
        <w:rPr>
          <w:rFonts w:eastAsia="方正仿宋_GBK"/>
          <w:sz w:val="32"/>
          <w:szCs w:val="32"/>
        </w:rPr>
      </w:pPr>
      <w:r>
        <w:rPr>
          <w:rFonts w:eastAsia="方正仿宋_GBK"/>
          <w:sz w:val="32"/>
          <w:szCs w:val="32"/>
        </w:rPr>
        <w:t>我市从2018年3月起实施医保基金总额预算控制下的按疾病诊断相关分组结合点数法付费（以下简称DRG付费）改革工作，先后成为四川省2个省级试点城市之一和全国30个DRG付费国家试点城市之一，走出了“省试点”到“国家试点”再到“国家示范点”的实践之路，取得了较好的改革成效，从源头上守住了“百姓救命钱”，更好地保障了参保群众病有所医，增强了人民群众的获得感、幸福感、安全感。</w:t>
      </w:r>
    </w:p>
    <w:p>
      <w:pPr>
        <w:adjustRightInd w:val="0"/>
        <w:snapToGrid w:val="0"/>
        <w:ind w:firstLine="640" w:firstLineChars="200"/>
        <w:rPr>
          <w:rFonts w:eastAsia="方正仿宋_GBK"/>
          <w:sz w:val="32"/>
          <w:szCs w:val="32"/>
        </w:rPr>
      </w:pPr>
      <w:r>
        <w:rPr>
          <w:rFonts w:eastAsia="方正仿宋_GBK"/>
          <w:sz w:val="32"/>
          <w:szCs w:val="32"/>
        </w:rPr>
        <w:t>按照《攀枝花市人民政府办公室关于印发进一步深化基本医疗保险支付方式改革实施方案的通知》（攀办发〔2018〕23号）中“开展疾病相关分组与点数法结合付费工作，拟采取政府购买服务方式委托第三方机构进行DRG付费项目开发，提供专家团队和分组支撑”的规定，通过以政府购买服务方式委托第三方机构进行DRG付费项目维护和服务。</w:t>
      </w:r>
    </w:p>
    <w:p>
      <w:pPr>
        <w:adjustRightInd w:val="0"/>
        <w:snapToGrid w:val="0"/>
        <w:ind w:firstLine="643" w:firstLineChars="200"/>
        <w:rPr>
          <w:rFonts w:hint="eastAsia" w:ascii="方正楷体_GBK" w:hAnsi="方正楷体_GBK" w:eastAsia="方正楷体_GBK" w:cs="方正楷体_GBK"/>
          <w:b/>
          <w:bCs/>
          <w:sz w:val="32"/>
          <w:szCs w:val="32"/>
          <w:lang w:val="zh-CN"/>
        </w:rPr>
      </w:pPr>
      <w:r>
        <w:rPr>
          <w:rFonts w:hint="eastAsia" w:ascii="方正楷体_GBK" w:hAnsi="方正楷体_GBK" w:eastAsia="方正楷体_GBK" w:cs="方正楷体_GBK"/>
          <w:b/>
          <w:bCs/>
          <w:sz w:val="32"/>
          <w:szCs w:val="32"/>
          <w:lang w:val="zh-CN"/>
        </w:rPr>
        <w:t>（二）项目绩效目标</w:t>
      </w:r>
    </w:p>
    <w:p>
      <w:pPr>
        <w:adjustRightInd w:val="0"/>
        <w:snapToGrid w:val="0"/>
        <w:ind w:firstLine="640" w:firstLineChars="200"/>
        <w:rPr>
          <w:rFonts w:eastAsia="方正仿宋_GBK"/>
          <w:sz w:val="32"/>
          <w:szCs w:val="32"/>
          <w:lang w:val="zh-CN"/>
        </w:rPr>
      </w:pPr>
      <w:r>
        <w:rPr>
          <w:rFonts w:eastAsia="方正仿宋_GBK"/>
          <w:sz w:val="32"/>
          <w:szCs w:val="32"/>
          <w:lang w:val="zh-CN"/>
        </w:rPr>
        <w:t>1.项目主要内容</w:t>
      </w:r>
    </w:p>
    <w:p>
      <w:pPr>
        <w:adjustRightInd w:val="0"/>
        <w:snapToGrid w:val="0"/>
        <w:ind w:firstLine="640" w:firstLineChars="200"/>
        <w:rPr>
          <w:rFonts w:eastAsia="方正仿宋_GBK"/>
          <w:sz w:val="32"/>
          <w:szCs w:val="32"/>
        </w:rPr>
      </w:pPr>
      <w:r>
        <w:rPr>
          <w:rFonts w:eastAsia="方正仿宋_GBK"/>
          <w:sz w:val="32"/>
          <w:szCs w:val="32"/>
        </w:rPr>
        <w:t>本项目借助第三方机构专业实施队伍和专家体系力量，在做好前期工作的基础上，持续深化医保支付方式改革，建立管用高效的医保支付机制，在示范点建设取得初步成效的基础上，持续推进DRG支付方式改革工作。</w:t>
      </w:r>
    </w:p>
    <w:p>
      <w:pPr>
        <w:adjustRightInd w:val="0"/>
        <w:snapToGrid w:val="0"/>
        <w:ind w:firstLine="640" w:firstLineChars="200"/>
        <w:outlineLvl w:val="0"/>
        <w:rPr>
          <w:rFonts w:eastAsia="方正仿宋_GBK"/>
          <w:kern w:val="44"/>
          <w:sz w:val="32"/>
          <w:szCs w:val="32"/>
        </w:rPr>
      </w:pPr>
      <w:r>
        <w:rPr>
          <w:rFonts w:eastAsia="方正仿宋_GBK"/>
          <w:kern w:val="44"/>
          <w:sz w:val="32"/>
          <w:szCs w:val="32"/>
        </w:rPr>
        <w:t>一是提供信息技术人员配合加强四川省支付管理子系统的功能应用，包括系统参数、业务逻辑的配置与测试，支付标准维护、支付计算公式配置、业务流程控制等；二是配合做好调整和确定适应本地的付费标准，健全符合中医药特点的医保支付机制，完善双侧手术支付政策工作；三是配合做好特例单议工作，协助医保部门完善单议范围、申报流程、组织评审、结果运用、争议处理等工作，日常对医疗机构分组反馈申诉病例进行准确性、合理性核查，对纳入政策规定病例进行准入核查；四是配合做好协商谈判、意见收集反馈、数据工作组、月度结算及年度清算工作，提供支付方式改革相关的专业培训服务、指标预警监测服务、绩效评价服务、结算清单质控分析服务以及DRG运维服务。</w:t>
      </w:r>
    </w:p>
    <w:p>
      <w:pPr>
        <w:adjustRightInd w:val="0"/>
        <w:snapToGrid w:val="0"/>
        <w:ind w:firstLine="640" w:firstLineChars="200"/>
        <w:rPr>
          <w:rFonts w:eastAsia="方正仿宋_GBK"/>
          <w:sz w:val="32"/>
          <w:szCs w:val="32"/>
        </w:rPr>
      </w:pPr>
      <w:r>
        <w:rPr>
          <w:rFonts w:eastAsia="方正仿宋_GBK"/>
          <w:sz w:val="32"/>
          <w:szCs w:val="32"/>
        </w:rPr>
        <w:t>2.项目实现的具体目标。</w:t>
      </w:r>
    </w:p>
    <w:p>
      <w:pPr>
        <w:numPr>
          <w:ilvl w:val="255"/>
          <w:numId w:val="0"/>
        </w:numPr>
        <w:adjustRightInd w:val="0"/>
        <w:snapToGrid w:val="0"/>
        <w:ind w:firstLine="640" w:firstLineChars="200"/>
        <w:rPr>
          <w:rFonts w:eastAsia="方正仿宋_GBK"/>
          <w:sz w:val="32"/>
          <w:szCs w:val="32"/>
        </w:rPr>
      </w:pPr>
      <w:r>
        <w:rPr>
          <w:rFonts w:eastAsia="方正仿宋_GBK"/>
          <w:sz w:val="32"/>
          <w:szCs w:val="32"/>
        </w:rPr>
        <w:t>实现统筹区、险种、病种、医疗机构全覆盖；提升区域内基金购买力和使用效率，助推医保和医疗机构高质量发展。</w:t>
      </w:r>
    </w:p>
    <w:p>
      <w:pPr>
        <w:adjustRightInd w:val="0"/>
        <w:snapToGrid w:val="0"/>
        <w:ind w:firstLine="640" w:firstLineChars="200"/>
        <w:rPr>
          <w:rFonts w:eastAsia="方正仿宋_GBK"/>
          <w:sz w:val="32"/>
          <w:szCs w:val="32"/>
        </w:rPr>
      </w:pPr>
      <w:r>
        <w:rPr>
          <w:rFonts w:eastAsia="方正仿宋_GBK"/>
          <w:sz w:val="32"/>
          <w:szCs w:val="32"/>
        </w:rPr>
        <w:t>3.项目资金申报相符性。</w:t>
      </w:r>
    </w:p>
    <w:p>
      <w:pPr>
        <w:adjustRightInd w:val="0"/>
        <w:snapToGrid w:val="0"/>
        <w:ind w:firstLine="640" w:firstLineChars="200"/>
        <w:rPr>
          <w:rFonts w:eastAsia="方正仿宋_GBK"/>
          <w:sz w:val="32"/>
          <w:szCs w:val="32"/>
        </w:rPr>
      </w:pPr>
      <w:r>
        <w:rPr>
          <w:rFonts w:eastAsia="方正仿宋_GBK"/>
          <w:sz w:val="32"/>
          <w:szCs w:val="32"/>
        </w:rPr>
        <w:t>该项目是我市基本医疗保险病组点数法付费的重要依托，是为我市广大参保患者服务，具有公共性，属于公共财政支持范围，没有类似项目得到财政资金重复支持，项目资金来源渠道明确，各渠道资金到位时间、条件能够落实，财政资金支持方式科学合理。</w:t>
      </w:r>
    </w:p>
    <w:p>
      <w:pPr>
        <w:adjustRightInd w:val="0"/>
        <w:snapToGrid w:val="0"/>
        <w:ind w:firstLine="643" w:firstLineChars="200"/>
        <w:rPr>
          <w:rFonts w:eastAsia="方正楷体_GBK"/>
          <w:b/>
          <w:bCs/>
          <w:sz w:val="32"/>
          <w:szCs w:val="32"/>
          <w:lang w:val="zh-CN"/>
        </w:rPr>
      </w:pPr>
      <w:r>
        <w:rPr>
          <w:rFonts w:eastAsia="方正楷体_GBK"/>
          <w:b/>
          <w:bCs/>
          <w:sz w:val="32"/>
          <w:szCs w:val="32"/>
          <w:lang w:val="zh-CN"/>
        </w:rPr>
        <w:t>（三）项目自评步骤及方法</w:t>
      </w:r>
    </w:p>
    <w:p>
      <w:pPr>
        <w:adjustRightInd w:val="0"/>
        <w:snapToGrid w:val="0"/>
        <w:ind w:firstLine="640" w:firstLineChars="200"/>
        <w:rPr>
          <w:rFonts w:eastAsia="方正仿宋_GBK"/>
          <w:sz w:val="32"/>
          <w:szCs w:val="32"/>
        </w:rPr>
      </w:pPr>
      <w:r>
        <w:rPr>
          <w:rFonts w:eastAsia="方正仿宋_GBK"/>
          <w:sz w:val="32"/>
          <w:szCs w:val="32"/>
        </w:rPr>
        <w:t>按照有关规定和工作安排，我</w:t>
      </w:r>
      <w:r>
        <w:rPr>
          <w:rFonts w:hint="eastAsia" w:eastAsia="方正仿宋_GBK"/>
          <w:sz w:val="32"/>
          <w:szCs w:val="32"/>
        </w:rPr>
        <w:t>部门</w:t>
      </w:r>
      <w:r>
        <w:rPr>
          <w:rFonts w:eastAsia="方正仿宋_GBK"/>
          <w:sz w:val="32"/>
          <w:szCs w:val="32"/>
        </w:rPr>
        <w:t>开展自行评估，通过聘请相关专业专家、委托第三方机构等方式组建评估组，通过收集被评估项目相关基础资料，并查阅资料、收集数据信息等，深入论证分析后，形成绩效评估报告。</w:t>
      </w:r>
    </w:p>
    <w:p>
      <w:pPr>
        <w:adjustRightInd w:val="0"/>
        <w:snapToGrid w:val="0"/>
        <w:ind w:firstLine="640" w:firstLineChars="200"/>
        <w:rPr>
          <w:rFonts w:eastAsia="方正黑体_GBK"/>
          <w:sz w:val="32"/>
          <w:szCs w:val="32"/>
        </w:rPr>
      </w:pPr>
      <w:r>
        <w:rPr>
          <w:rFonts w:eastAsia="方正黑体_GBK"/>
          <w:sz w:val="32"/>
          <w:szCs w:val="32"/>
        </w:rPr>
        <w:t>二、项目资金申报及使用情况</w:t>
      </w:r>
    </w:p>
    <w:p>
      <w:pPr>
        <w:adjustRightInd w:val="0"/>
        <w:snapToGrid w:val="0"/>
        <w:ind w:firstLine="643" w:firstLineChars="200"/>
        <w:rPr>
          <w:rFonts w:eastAsia="方正楷体_GBK"/>
          <w:b/>
          <w:bCs/>
          <w:sz w:val="32"/>
          <w:szCs w:val="32"/>
          <w:lang w:val="zh-CN"/>
        </w:rPr>
      </w:pPr>
      <w:r>
        <w:rPr>
          <w:rFonts w:eastAsia="方正楷体_GBK"/>
          <w:b/>
          <w:bCs/>
          <w:sz w:val="32"/>
          <w:szCs w:val="32"/>
          <w:lang w:val="zh-CN"/>
        </w:rPr>
        <w:t>（一）项目资金申报及批复情况</w:t>
      </w:r>
    </w:p>
    <w:p>
      <w:pPr>
        <w:adjustRightInd w:val="0"/>
        <w:snapToGrid w:val="0"/>
        <w:ind w:firstLine="640" w:firstLineChars="200"/>
        <w:rPr>
          <w:rFonts w:eastAsia="方正仿宋_GBK"/>
          <w:color w:val="000000"/>
          <w:sz w:val="32"/>
          <w:szCs w:val="32"/>
        </w:rPr>
      </w:pPr>
      <w:r>
        <w:rPr>
          <w:rFonts w:eastAsia="方正仿宋_GBK"/>
          <w:color w:val="000000"/>
          <w:sz w:val="32"/>
          <w:szCs w:val="32"/>
        </w:rPr>
        <w:t>2025年年初预算批复</w:t>
      </w:r>
      <w:r>
        <w:rPr>
          <w:rFonts w:eastAsia="方正仿宋_GBK"/>
          <w:sz w:val="32"/>
          <w:szCs w:val="32"/>
        </w:rPr>
        <w:t>“攀枝花市基本医疗保险按疾病诊断相关分组结合点数法付费（DRG）应用软件系统暨医保基金第三方支付评审”项目资金</w:t>
      </w:r>
      <w:r>
        <w:rPr>
          <w:rFonts w:eastAsia="方正仿宋_GBK"/>
          <w:color w:val="000000"/>
          <w:sz w:val="32"/>
          <w:szCs w:val="32"/>
        </w:rPr>
        <w:t>100万元。项目资金申报批复均符合资金管理办法等相关规定。</w:t>
      </w:r>
    </w:p>
    <w:p>
      <w:pPr>
        <w:adjustRightInd w:val="0"/>
        <w:snapToGrid w:val="0"/>
        <w:ind w:firstLine="643" w:firstLineChars="200"/>
        <w:rPr>
          <w:rFonts w:eastAsia="方正楷体_GBK"/>
          <w:b/>
          <w:bCs/>
          <w:color w:val="000000"/>
          <w:sz w:val="32"/>
          <w:szCs w:val="32"/>
          <w:lang w:val="zh-CN"/>
        </w:rPr>
      </w:pPr>
      <w:r>
        <w:rPr>
          <w:rFonts w:eastAsia="方正楷体_GBK"/>
          <w:b/>
          <w:bCs/>
          <w:color w:val="000000"/>
          <w:sz w:val="32"/>
          <w:szCs w:val="32"/>
          <w:lang w:val="zh-CN"/>
        </w:rPr>
        <w:t>（二）资金计划、到位及使用情况</w:t>
      </w:r>
    </w:p>
    <w:p>
      <w:pPr>
        <w:adjustRightInd w:val="0"/>
        <w:snapToGrid w:val="0"/>
        <w:ind w:firstLine="640" w:firstLineChars="200"/>
        <w:rPr>
          <w:rFonts w:eastAsia="方正仿宋_GBK"/>
          <w:sz w:val="32"/>
          <w:szCs w:val="32"/>
          <w:lang w:val="zh-CN"/>
        </w:rPr>
      </w:pPr>
      <w:r>
        <w:rPr>
          <w:rFonts w:eastAsia="方正仿宋_GBK"/>
          <w:sz w:val="32"/>
          <w:szCs w:val="32"/>
          <w:lang w:val="zh-CN"/>
        </w:rPr>
        <w:t>1．资金计划及到位。</w:t>
      </w:r>
    </w:p>
    <w:p>
      <w:pPr>
        <w:adjustRightInd w:val="0"/>
        <w:snapToGrid w:val="0"/>
        <w:ind w:firstLine="640" w:firstLineChars="200"/>
        <w:rPr>
          <w:rFonts w:eastAsia="方正仿宋_GBK"/>
          <w:sz w:val="32"/>
          <w:szCs w:val="32"/>
        </w:rPr>
      </w:pPr>
      <w:r>
        <w:rPr>
          <w:rFonts w:eastAsia="方正仿宋_GBK"/>
          <w:sz w:val="32"/>
          <w:szCs w:val="32"/>
        </w:rPr>
        <w:t>此项目资金2025年年初预算100万元，实际到位100万元，资金到位率100%。</w:t>
      </w:r>
    </w:p>
    <w:p>
      <w:pPr>
        <w:numPr>
          <w:ilvl w:val="0"/>
          <w:numId w:val="4"/>
        </w:numPr>
        <w:adjustRightInd w:val="0"/>
        <w:snapToGrid w:val="0"/>
        <w:ind w:firstLine="640" w:firstLineChars="200"/>
        <w:rPr>
          <w:rFonts w:eastAsia="方正仿宋_GBK"/>
          <w:sz w:val="32"/>
          <w:szCs w:val="32"/>
          <w:lang w:val="zh-CN"/>
        </w:rPr>
      </w:pPr>
      <w:r>
        <w:rPr>
          <w:rFonts w:eastAsia="方正仿宋_GBK"/>
          <w:sz w:val="32"/>
          <w:szCs w:val="32"/>
          <w:lang w:val="zh-CN"/>
        </w:rPr>
        <w:t>资金使用。</w:t>
      </w:r>
    </w:p>
    <w:p>
      <w:pPr>
        <w:adjustRightInd w:val="0"/>
        <w:snapToGrid w:val="0"/>
        <w:ind w:firstLine="640" w:firstLineChars="200"/>
        <w:rPr>
          <w:rFonts w:eastAsia="方正仿宋_GBK"/>
          <w:sz w:val="32"/>
          <w:szCs w:val="32"/>
        </w:rPr>
      </w:pPr>
      <w:r>
        <w:rPr>
          <w:rFonts w:eastAsia="方正仿宋_GBK"/>
          <w:sz w:val="32"/>
          <w:szCs w:val="32"/>
        </w:rPr>
        <w:t>此项目资金到位后，攀枝花市医疗保障事务中心（以下简称“</w:t>
      </w:r>
      <w:r>
        <w:rPr>
          <w:rFonts w:eastAsia="方正仿宋_GBK"/>
          <w:color w:val="000000"/>
          <w:sz w:val="32"/>
          <w:szCs w:val="32"/>
        </w:rPr>
        <w:t>市医保事务中心</w:t>
      </w:r>
      <w:r>
        <w:rPr>
          <w:rFonts w:eastAsia="方正仿宋_GBK"/>
          <w:sz w:val="32"/>
          <w:szCs w:val="32"/>
        </w:rPr>
        <w:t>”）严格按财经纪律、财务管理等相关规定，严格审核支出，及时支付，专款专用。截至2025年12月31日，该项目资金已支付100万元，资金完成率100%。</w:t>
      </w:r>
    </w:p>
    <w:p>
      <w:pPr>
        <w:adjustRightInd w:val="0"/>
        <w:snapToGrid w:val="0"/>
        <w:ind w:firstLine="643" w:firstLineChars="200"/>
        <w:rPr>
          <w:rFonts w:eastAsia="方正楷体_GBK"/>
          <w:b/>
          <w:bCs/>
          <w:sz w:val="32"/>
          <w:szCs w:val="32"/>
          <w:lang w:val="zh-CN"/>
        </w:rPr>
      </w:pPr>
      <w:r>
        <w:rPr>
          <w:rFonts w:eastAsia="方正楷体_GBK"/>
          <w:b/>
          <w:bCs/>
          <w:sz w:val="32"/>
          <w:szCs w:val="32"/>
          <w:lang w:val="zh-CN"/>
        </w:rPr>
        <w:t>（三）项目财务管理情况</w:t>
      </w:r>
    </w:p>
    <w:p>
      <w:pPr>
        <w:adjustRightInd w:val="0"/>
        <w:snapToGrid w:val="0"/>
        <w:ind w:firstLine="640" w:firstLineChars="200"/>
        <w:rPr>
          <w:rFonts w:eastAsia="方正仿宋_GBK"/>
          <w:sz w:val="32"/>
          <w:szCs w:val="32"/>
          <w:highlight w:val="yellow"/>
          <w:lang w:val="zh-CN"/>
        </w:rPr>
      </w:pPr>
      <w:r>
        <w:rPr>
          <w:rFonts w:eastAsia="方正仿宋_GBK"/>
          <w:color w:val="000000"/>
          <w:sz w:val="32"/>
          <w:szCs w:val="32"/>
        </w:rPr>
        <w:t>业务科室负责“攀枝花市基本医疗保险按疾病诊断相关分组结合点数法付费（DRG）应用软件系统暨医保基金第三方支付评审”项目工作，严格</w:t>
      </w:r>
      <w:r>
        <w:rPr>
          <w:rFonts w:eastAsia="方正仿宋_GBK"/>
          <w:sz w:val="32"/>
          <w:szCs w:val="32"/>
        </w:rPr>
        <w:t>按照上级要求上报资金使用计划，并在实施过程中做到资金专款专用。所有支出严格按照财务会计管理规定，做到资金使用有计划、审批有手续、支出合理规范。并及时进行账务处理和会计核算，按财政要求及时编制和公开项目资金绩效目标。</w:t>
      </w:r>
    </w:p>
    <w:p>
      <w:pPr>
        <w:adjustRightInd w:val="0"/>
        <w:snapToGrid w:val="0"/>
        <w:ind w:firstLine="640" w:firstLineChars="200"/>
        <w:rPr>
          <w:rFonts w:eastAsia="方正黑体_GBK"/>
          <w:sz w:val="32"/>
          <w:szCs w:val="32"/>
        </w:rPr>
      </w:pPr>
      <w:r>
        <w:rPr>
          <w:rFonts w:eastAsia="方正黑体_GBK"/>
          <w:sz w:val="32"/>
          <w:szCs w:val="32"/>
        </w:rPr>
        <w:t>三、项目实施及管理情况</w:t>
      </w:r>
    </w:p>
    <w:p>
      <w:pPr>
        <w:adjustRightInd w:val="0"/>
        <w:snapToGrid w:val="0"/>
        <w:ind w:firstLine="643" w:firstLineChars="200"/>
        <w:rPr>
          <w:rFonts w:eastAsia="方正楷体_GBK"/>
          <w:b/>
          <w:bCs/>
          <w:sz w:val="32"/>
          <w:szCs w:val="32"/>
          <w:lang w:val="zh-CN"/>
        </w:rPr>
      </w:pPr>
      <w:r>
        <w:rPr>
          <w:rFonts w:eastAsia="方正楷体_GBK"/>
          <w:b/>
          <w:bCs/>
          <w:sz w:val="32"/>
          <w:szCs w:val="32"/>
          <w:lang w:val="zh-CN"/>
        </w:rPr>
        <w:t>（一）项目组织架构及实施流程</w:t>
      </w:r>
    </w:p>
    <w:p>
      <w:pPr>
        <w:adjustRightInd w:val="0"/>
        <w:snapToGrid w:val="0"/>
        <w:ind w:firstLine="640" w:firstLineChars="200"/>
        <w:rPr>
          <w:rFonts w:eastAsia="方正仿宋_GBK"/>
          <w:sz w:val="32"/>
          <w:szCs w:val="32"/>
        </w:rPr>
      </w:pPr>
      <w:r>
        <w:rPr>
          <w:rFonts w:eastAsia="方正仿宋_GBK"/>
          <w:sz w:val="32"/>
          <w:szCs w:val="32"/>
        </w:rPr>
        <w:t>按照《攀枝花市人民政府办公室关于印发进一步深化基本医疗保险支付方式改革实施方案的通知》（攀办发〔2018〕23号）要求，各级各有关部门要高度重视，切实加强组织领导，积极推进医保支付方式及相关领域改革，做好改革政策衔接，发挥政策合力。</w:t>
      </w:r>
    </w:p>
    <w:p>
      <w:pPr>
        <w:adjustRightInd w:val="0"/>
        <w:snapToGrid w:val="0"/>
        <w:ind w:firstLine="643" w:firstLineChars="200"/>
        <w:rPr>
          <w:rFonts w:eastAsia="方正楷体_GBK"/>
          <w:b/>
          <w:bCs/>
          <w:sz w:val="32"/>
          <w:szCs w:val="32"/>
          <w:lang w:val="zh-CN"/>
        </w:rPr>
      </w:pPr>
      <w:r>
        <w:rPr>
          <w:rFonts w:eastAsia="方正楷体_GBK"/>
          <w:b/>
          <w:bCs/>
          <w:sz w:val="32"/>
          <w:szCs w:val="32"/>
          <w:lang w:val="zh-CN"/>
        </w:rPr>
        <w:t>（二）项目管理情况</w:t>
      </w:r>
    </w:p>
    <w:p>
      <w:pPr>
        <w:adjustRightInd w:val="0"/>
        <w:snapToGrid w:val="0"/>
        <w:ind w:firstLine="640" w:firstLineChars="200"/>
        <w:rPr>
          <w:rFonts w:eastAsia="方正仿宋_GBK"/>
          <w:sz w:val="32"/>
          <w:szCs w:val="32"/>
          <w:lang w:val="zh-CN"/>
        </w:rPr>
      </w:pPr>
      <w:r>
        <w:rPr>
          <w:rFonts w:eastAsia="方正仿宋_GBK"/>
          <w:sz w:val="32"/>
          <w:szCs w:val="32"/>
        </w:rPr>
        <w:t>为保证我市DRG支付方式改革工作顺利开展，继续采取政府购买服务方式委托第三方机构进行DRG支付方式改革专业化服务采购项目招标。市医保中心委托四川锦创全过程工程项目管理有限公司通过单一来源采购方式进行此项目招标</w:t>
      </w:r>
      <w:r>
        <w:rPr>
          <w:rFonts w:eastAsia="方正仿宋_GBK"/>
          <w:sz w:val="32"/>
          <w:szCs w:val="32"/>
          <w:lang w:val="zh-CN"/>
        </w:rPr>
        <w:t>。</w:t>
      </w:r>
    </w:p>
    <w:p>
      <w:pPr>
        <w:adjustRightInd w:val="0"/>
        <w:snapToGrid w:val="0"/>
        <w:ind w:firstLine="643" w:firstLineChars="200"/>
        <w:rPr>
          <w:rFonts w:eastAsia="方正楷体_GBK"/>
          <w:b/>
          <w:bCs/>
          <w:sz w:val="32"/>
          <w:szCs w:val="32"/>
          <w:lang w:val="zh-CN"/>
        </w:rPr>
      </w:pPr>
      <w:r>
        <w:rPr>
          <w:rFonts w:eastAsia="方正楷体_GBK"/>
          <w:b/>
          <w:bCs/>
          <w:sz w:val="32"/>
          <w:szCs w:val="32"/>
          <w:lang w:val="zh-CN"/>
        </w:rPr>
        <w:t>（三）项目监管情况</w:t>
      </w:r>
    </w:p>
    <w:p>
      <w:pPr>
        <w:adjustRightInd w:val="0"/>
        <w:snapToGrid w:val="0"/>
        <w:ind w:firstLine="640" w:firstLineChars="200"/>
        <w:rPr>
          <w:rFonts w:eastAsia="方正仿宋_GBK"/>
          <w:sz w:val="32"/>
          <w:szCs w:val="32"/>
          <w:lang w:val="zh-CN"/>
        </w:rPr>
      </w:pPr>
      <w:r>
        <w:rPr>
          <w:rFonts w:eastAsia="方正仿宋_GBK"/>
          <w:sz w:val="32"/>
          <w:szCs w:val="32"/>
        </w:rPr>
        <w:t>印发《攀枝花市基本医疗保险按疾病诊断相关分组（DRG）结合点数法付费监督管理办法（试行）》，明确各级医保经办机构对相关定点医疗机构实行DRG点数法付费协议管理，各级经办机构应完善DRG点数法付费稽核规程，常态化开展DRG点数法付费稽核，加强DRG点数法付费监管稽核队伍专业化建设，不断完善DRG点数法付费监督管理措施，通过满意度调查、第三方评价、聘请社会监督员、畅通举报奖励渠道等方式加强社会监督。</w:t>
      </w:r>
    </w:p>
    <w:p>
      <w:pPr>
        <w:adjustRightInd w:val="0"/>
        <w:snapToGrid w:val="0"/>
        <w:ind w:firstLine="640" w:firstLineChars="200"/>
        <w:rPr>
          <w:rFonts w:eastAsia="方正黑体_GBK"/>
          <w:sz w:val="32"/>
          <w:szCs w:val="32"/>
          <w:lang w:val="zh-CN"/>
        </w:rPr>
      </w:pPr>
      <w:r>
        <w:rPr>
          <w:rFonts w:eastAsia="方正黑体_GBK"/>
          <w:sz w:val="32"/>
          <w:szCs w:val="32"/>
        </w:rPr>
        <w:t>四、项目绩效情况</w:t>
      </w:r>
      <w:r>
        <w:rPr>
          <w:rFonts w:eastAsia="方正黑体_GBK"/>
          <w:sz w:val="32"/>
          <w:szCs w:val="32"/>
          <w:lang w:val="zh-CN"/>
        </w:rPr>
        <w:tab/>
      </w:r>
    </w:p>
    <w:p>
      <w:pPr>
        <w:adjustRightInd w:val="0"/>
        <w:snapToGrid w:val="0"/>
        <w:ind w:firstLine="643" w:firstLineChars="200"/>
        <w:rPr>
          <w:rFonts w:eastAsia="方正楷体_GBK"/>
          <w:b/>
          <w:bCs/>
          <w:sz w:val="32"/>
          <w:szCs w:val="32"/>
          <w:lang w:val="zh-CN"/>
        </w:rPr>
      </w:pPr>
      <w:r>
        <w:rPr>
          <w:rFonts w:eastAsia="方正楷体_GBK"/>
          <w:b/>
          <w:bCs/>
          <w:sz w:val="32"/>
          <w:szCs w:val="32"/>
          <w:lang w:val="zh-CN"/>
        </w:rPr>
        <w:t>（一）项目完成情况</w:t>
      </w:r>
    </w:p>
    <w:p>
      <w:pPr>
        <w:adjustRightInd w:val="0"/>
        <w:snapToGrid w:val="0"/>
        <w:ind w:firstLine="640" w:firstLineChars="200"/>
        <w:rPr>
          <w:rFonts w:eastAsia="方正仿宋_GBK"/>
          <w:sz w:val="32"/>
          <w:szCs w:val="32"/>
        </w:rPr>
      </w:pPr>
      <w:r>
        <w:rPr>
          <w:rFonts w:eastAsia="方正仿宋_GBK"/>
          <w:sz w:val="32"/>
          <w:szCs w:val="32"/>
        </w:rPr>
        <w:t>按照要求，全市所有有住院条件的定点医疗机构均实行按病组点数法付费，覆盖率达到100%；统一执行四川省2.0版分组方案，实现职工医保基金和城乡居民医疗保险基金付费全覆盖；每月按时、按要求完成病例分组、点数计算、基金拨付等工作；按要求完成支付标准测算、协助完善配套政策、优化结算办法、组织相关培训等相关工作。</w:t>
      </w:r>
    </w:p>
    <w:p>
      <w:pPr>
        <w:adjustRightInd w:val="0"/>
        <w:snapToGrid w:val="0"/>
        <w:ind w:firstLine="643" w:firstLineChars="200"/>
        <w:rPr>
          <w:rFonts w:eastAsia="方正楷体_GBK"/>
          <w:b/>
          <w:bCs/>
          <w:sz w:val="32"/>
          <w:szCs w:val="32"/>
          <w:lang w:val="zh-CN"/>
        </w:rPr>
      </w:pPr>
      <w:r>
        <w:rPr>
          <w:rFonts w:eastAsia="方正楷体_GBK"/>
          <w:b/>
          <w:bCs/>
          <w:sz w:val="32"/>
          <w:szCs w:val="32"/>
          <w:lang w:val="zh-CN"/>
        </w:rPr>
        <w:t>（二）项目效益情况</w:t>
      </w:r>
    </w:p>
    <w:p>
      <w:pPr>
        <w:adjustRightInd w:val="0"/>
        <w:snapToGrid w:val="0"/>
        <w:ind w:firstLine="640" w:firstLineChars="200"/>
        <w:rPr>
          <w:rFonts w:eastAsia="方正仿宋_GBK"/>
          <w:sz w:val="32"/>
          <w:szCs w:val="32"/>
        </w:rPr>
      </w:pPr>
      <w:r>
        <w:rPr>
          <w:rFonts w:eastAsia="方正仿宋_GBK"/>
          <w:sz w:val="32"/>
          <w:szCs w:val="32"/>
        </w:rPr>
        <w:t>1.医保数据精准赋能，促进三医协同发展。按照国家</w:t>
      </w:r>
      <w:r>
        <w:rPr>
          <w:rFonts w:hint="eastAsia" w:eastAsia="方正仿宋_GBK"/>
          <w:sz w:val="32"/>
          <w:szCs w:val="32"/>
        </w:rPr>
        <w:t>医保</w:t>
      </w:r>
      <w:r>
        <w:rPr>
          <w:rFonts w:eastAsia="方正仿宋_GBK"/>
          <w:sz w:val="32"/>
          <w:szCs w:val="32"/>
        </w:rPr>
        <w:t>局要求，按“月推送、季发布、专题分析”等形式常态化开展医保数据发布工作。2025年3月18日，市医保局组织举行全省首场医保数据定向发布活动，发布医保参保和基金运行情况、DRG付费运行成效、定点医药机构重点指标、医保基金监管情况，6月就2024年年终清算情况开展面对面数据发布活动。</w:t>
      </w:r>
    </w:p>
    <w:p>
      <w:pPr>
        <w:adjustRightInd w:val="0"/>
        <w:snapToGrid w:val="0"/>
        <w:ind w:firstLine="640" w:firstLineChars="200"/>
        <w:rPr>
          <w:rFonts w:eastAsia="方正仿宋_GBK"/>
          <w:sz w:val="32"/>
          <w:szCs w:val="32"/>
        </w:rPr>
      </w:pPr>
      <w:r>
        <w:rPr>
          <w:rFonts w:eastAsia="方正仿宋_GBK"/>
          <w:sz w:val="32"/>
          <w:szCs w:val="32"/>
        </w:rPr>
        <w:t>2.清算“加速度”，赋能医疗机构高质量发展。为了让医疗机构及早用上医保“赋能金”，我市提前谋划、高位推进，于2025年5月28日全面完成2024年终清算费用拨付工作，2024年医保基金结余留用医疗机构8996.77万元，支付率达105%。</w:t>
      </w:r>
    </w:p>
    <w:p>
      <w:pPr>
        <w:adjustRightInd w:val="0"/>
        <w:snapToGrid w:val="0"/>
        <w:ind w:firstLine="640" w:firstLineChars="200"/>
        <w:rPr>
          <w:rFonts w:eastAsia="方正仿宋_GBK"/>
          <w:sz w:val="32"/>
          <w:szCs w:val="32"/>
        </w:rPr>
      </w:pPr>
      <w:r>
        <w:rPr>
          <w:rFonts w:eastAsia="方正仿宋_GBK"/>
          <w:sz w:val="32"/>
          <w:szCs w:val="32"/>
        </w:rPr>
        <w:t>3.有序推进异地就医住院费用纳入按病种付费工作。制定配套文件，印发《攀枝花市省内异地就医住院费用纳入按DRG付费实施细则（试行）》，完善业务系统需求，开展异地就医住院病例模拟付费工作，将2025年12月1日起发生的省内异地就医直接结算住院费用纳入按就医地按病种付费管理工作。</w:t>
      </w:r>
    </w:p>
    <w:p>
      <w:pPr>
        <w:adjustRightInd w:val="0"/>
        <w:snapToGrid w:val="0"/>
        <w:ind w:firstLine="640" w:firstLineChars="200"/>
        <w:rPr>
          <w:rFonts w:eastAsia="方正仿宋_GBK"/>
          <w:sz w:val="32"/>
          <w:szCs w:val="32"/>
        </w:rPr>
      </w:pPr>
      <w:r>
        <w:rPr>
          <w:rFonts w:eastAsia="方正仿宋_GBK"/>
          <w:sz w:val="32"/>
          <w:szCs w:val="32"/>
        </w:rPr>
        <w:t>4.破改革困局，凝炼示范经验。为进一步提升DRG支付方式改革精细化管理，2025年6月3日至4日，市医保局邀请清华大学公共管理学院杨燕绥教授调研组赴我市开展DRG支付方式改革绩效评估调研，从总额预算管理下“1+N”DRG付费制度体系、医保基金使用效率等方面充分肯定了我市在DRG支付改革中取得的阶段性成果。</w:t>
      </w:r>
    </w:p>
    <w:p>
      <w:pPr>
        <w:adjustRightInd w:val="0"/>
        <w:snapToGrid w:val="0"/>
        <w:ind w:firstLine="640" w:firstLineChars="200"/>
        <w:rPr>
          <w:rFonts w:eastAsia="方正黑体_GBK"/>
          <w:sz w:val="32"/>
          <w:szCs w:val="32"/>
        </w:rPr>
      </w:pPr>
      <w:r>
        <w:rPr>
          <w:rFonts w:eastAsia="方正黑体_GBK"/>
          <w:sz w:val="32"/>
          <w:szCs w:val="32"/>
        </w:rPr>
        <w:t>五、评价结论及建议</w:t>
      </w:r>
    </w:p>
    <w:p>
      <w:pPr>
        <w:adjustRightInd w:val="0"/>
        <w:snapToGrid w:val="0"/>
        <w:ind w:firstLine="643" w:firstLineChars="200"/>
        <w:rPr>
          <w:rFonts w:eastAsia="方正楷体_GBK"/>
          <w:b/>
          <w:bCs/>
          <w:sz w:val="32"/>
          <w:szCs w:val="32"/>
          <w:lang w:val="zh-CN"/>
        </w:rPr>
      </w:pPr>
      <w:r>
        <w:rPr>
          <w:rFonts w:eastAsia="方正楷体_GBK"/>
          <w:b/>
          <w:bCs/>
          <w:sz w:val="32"/>
          <w:szCs w:val="32"/>
          <w:lang w:val="zh-CN"/>
        </w:rPr>
        <w:t>（一）评价结论</w:t>
      </w:r>
    </w:p>
    <w:p>
      <w:pPr>
        <w:adjustRightInd w:val="0"/>
        <w:snapToGrid w:val="0"/>
        <w:ind w:firstLine="640" w:firstLineChars="200"/>
        <w:rPr>
          <w:rFonts w:eastAsia="方正仿宋_GBK"/>
          <w:sz w:val="32"/>
          <w:szCs w:val="32"/>
          <w:bdr w:val="single" w:color="auto" w:sz="4" w:space="0"/>
          <w:lang w:val="zh-CN"/>
        </w:rPr>
      </w:pPr>
      <w:r>
        <w:rPr>
          <w:rFonts w:eastAsia="方正仿宋_GBK"/>
          <w:sz w:val="32"/>
          <w:szCs w:val="32"/>
          <w:lang w:val="zh-CN"/>
        </w:rPr>
        <w:t>项目自评得分100分，充分发挥示范带动作用，全面建成上下联动、内外协同、标准规范、管用高效的医保支付新机制，努力形成可复制、可借鉴的改革示范经验，促进医疗保障和医药服务高质量协同发展。</w:t>
      </w:r>
    </w:p>
    <w:p>
      <w:pPr>
        <w:adjustRightInd w:val="0"/>
        <w:snapToGrid w:val="0"/>
        <w:ind w:firstLine="643" w:firstLineChars="200"/>
        <w:rPr>
          <w:rFonts w:eastAsia="方正楷体_GBK"/>
          <w:b/>
          <w:bCs/>
          <w:sz w:val="32"/>
          <w:szCs w:val="32"/>
          <w:lang w:val="zh-CN"/>
        </w:rPr>
      </w:pPr>
      <w:r>
        <w:rPr>
          <w:rFonts w:eastAsia="方正楷体_GBK"/>
          <w:b/>
          <w:bCs/>
          <w:sz w:val="32"/>
          <w:szCs w:val="32"/>
          <w:lang w:val="zh-CN"/>
        </w:rPr>
        <w:t>（二）存在的问题</w:t>
      </w:r>
    </w:p>
    <w:p>
      <w:pPr>
        <w:adjustRightInd w:val="0"/>
        <w:snapToGrid w:val="0"/>
        <w:ind w:firstLine="640" w:firstLineChars="200"/>
        <w:rPr>
          <w:rFonts w:eastAsia="方正仿宋_GBK"/>
          <w:sz w:val="32"/>
          <w:szCs w:val="32"/>
        </w:rPr>
      </w:pPr>
      <w:r>
        <w:rPr>
          <w:rFonts w:eastAsia="方正仿宋_GBK"/>
          <w:sz w:val="32"/>
          <w:szCs w:val="32"/>
        </w:rPr>
        <w:t>1.DRG2.0版还在适应阶段。我市从2025年1月起实施全省统一的四川DRG分组目录，在执行过程中，存在ICD-10、ICD-9编码录入规则与2.0版分组逻辑不吻合导致入组错误，影响了DRG付费准确性。因此，要不断加强对四川DRG分组目录的培训，做好2.0版的落地实操。</w:t>
      </w:r>
    </w:p>
    <w:p>
      <w:pPr>
        <w:adjustRightInd w:val="0"/>
        <w:snapToGrid w:val="0"/>
        <w:ind w:firstLine="640" w:firstLineChars="200"/>
        <w:rPr>
          <w:rFonts w:eastAsia="方正仿宋_GBK"/>
          <w:sz w:val="32"/>
          <w:szCs w:val="32"/>
        </w:rPr>
      </w:pPr>
      <w:r>
        <w:rPr>
          <w:rFonts w:eastAsia="方正仿宋_GBK"/>
          <w:sz w:val="32"/>
          <w:szCs w:val="32"/>
        </w:rPr>
        <w:t>2.结算清单填报质量有待提高。医疗机构部分结算清单存在主诊断与主手术编码严重偏差的问题，如一些特殊术式编码错误，可能导致病例的付费出现严重偏差；部分病例其他诊断缺乏诊断依据且未治疗，导致诊断和病情无法充分结合，可能高编入组合并症或并发症病组，涉嫌套取医保基金。</w:t>
      </w:r>
    </w:p>
    <w:p>
      <w:pPr>
        <w:adjustRightInd w:val="0"/>
        <w:snapToGrid w:val="0"/>
        <w:ind w:firstLine="643" w:firstLineChars="200"/>
        <w:rPr>
          <w:rFonts w:eastAsia="方正楷体_GBK"/>
          <w:b/>
          <w:bCs/>
          <w:sz w:val="32"/>
          <w:szCs w:val="32"/>
          <w:lang w:val="zh-CN"/>
        </w:rPr>
      </w:pPr>
      <w:r>
        <w:rPr>
          <w:rFonts w:eastAsia="方正楷体_GBK"/>
          <w:b/>
          <w:bCs/>
          <w:sz w:val="32"/>
          <w:szCs w:val="32"/>
          <w:lang w:val="zh-CN"/>
        </w:rPr>
        <w:t>（三）相关建议</w:t>
      </w:r>
    </w:p>
    <w:p>
      <w:pPr>
        <w:adjustRightInd w:val="0"/>
        <w:snapToGrid w:val="0"/>
        <w:ind w:firstLine="672" w:firstLineChars="200"/>
        <w:jc w:val="left"/>
        <w:rPr>
          <w:rFonts w:eastAsia="方正仿宋_GBK"/>
          <w:sz w:val="32"/>
          <w:szCs w:val="32"/>
        </w:rPr>
      </w:pPr>
      <w:r>
        <w:rPr>
          <w:rFonts w:eastAsia="方正仿宋_GBK"/>
          <w:spacing w:val="8"/>
          <w:sz w:val="32"/>
          <w:szCs w:val="32"/>
          <w:shd w:val="clear" w:color="auto" w:fill="FFFFFF"/>
        </w:rPr>
        <w:t>1.不断动态优化核心要素夯实改革“精准度”。按照国家局、省医保局统一安排部署，积极构建“动态调整、精准适配”的四川省分组体系。将继续用好特例单议机制，强化支付方式意见收集反馈，健全完善谈判协商机制，组建医保数据工作组，规范基金预付工作，建立基准点数和差异系数等核心要素动态调整机制</w:t>
      </w:r>
      <w:r>
        <w:rPr>
          <w:rFonts w:eastAsia="方正仿宋_GBK"/>
          <w:sz w:val="32"/>
          <w:szCs w:val="32"/>
        </w:rPr>
        <w:t>，助力医疗机构高质量发展，推动医保支付方式改革走深走实。</w:t>
      </w:r>
    </w:p>
    <w:p>
      <w:pPr>
        <w:adjustRightInd w:val="0"/>
        <w:snapToGrid w:val="0"/>
        <w:ind w:firstLine="672" w:firstLineChars="200"/>
        <w:rPr>
          <w:rFonts w:eastAsia="仿宋_GB2312"/>
          <w:sz w:val="32"/>
          <w:szCs w:val="32"/>
        </w:rPr>
      </w:pPr>
      <w:r>
        <w:rPr>
          <w:rFonts w:eastAsia="方正仿宋_GBK"/>
          <w:spacing w:val="8"/>
          <w:sz w:val="32"/>
          <w:szCs w:val="32"/>
          <w:shd w:val="clear" w:color="auto" w:fill="FFFFFF"/>
        </w:rPr>
        <w:t>2.升级医保基金监管筑牢基金“安全线”。依托大数据</w:t>
      </w:r>
      <w:r>
        <w:rPr>
          <w:rFonts w:eastAsia="方正仿宋_GBK"/>
          <w:sz w:val="32"/>
          <w:szCs w:val="32"/>
        </w:rPr>
        <w:t>技术构建监管模型，重点监控高编分组、分解住院、过度医疗等违规行为，对诊疗费用异常、分组准确率偏低的医疗机构实时预警。建立“日常监管+飞行检查+专项核查”的立体监管模式，将智能监控结果作为日常监管的重要依据，定期开展医疗机构自查自纠。联合卫健部门组建专家评审团队，对预警线索进行核查，对违规医疗机构采取约谈、扣款、暂停医保服务等处罚措施。</w:t>
      </w:r>
    </w:p>
    <w:p>
      <w:pPr>
        <w:spacing w:line="560" w:lineRule="exact"/>
        <w:ind w:firstLine="640" w:firstLineChars="200"/>
        <w:rPr>
          <w:rFonts w:eastAsia="仿宋_GB2312"/>
          <w:sz w:val="32"/>
          <w:szCs w:val="32"/>
        </w:rPr>
      </w:pPr>
    </w:p>
    <w:p>
      <w:pPr>
        <w:spacing w:line="560" w:lineRule="exact"/>
        <w:ind w:firstLine="640" w:firstLineChars="200"/>
        <w:rPr>
          <w:rFonts w:eastAsia="仿宋_GB2312"/>
          <w:sz w:val="32"/>
          <w:szCs w:val="32"/>
        </w:rPr>
      </w:pPr>
    </w:p>
    <w:p>
      <w:pPr>
        <w:spacing w:line="560" w:lineRule="exact"/>
        <w:ind w:firstLine="640" w:firstLineChars="200"/>
        <w:rPr>
          <w:rFonts w:eastAsia="仿宋_GB2312"/>
          <w:sz w:val="32"/>
          <w:szCs w:val="32"/>
        </w:rPr>
      </w:pPr>
    </w:p>
    <w:p>
      <w:pPr>
        <w:spacing w:line="560" w:lineRule="exact"/>
        <w:ind w:firstLine="640" w:firstLineChars="200"/>
        <w:rPr>
          <w:rFonts w:eastAsia="仿宋_GB2312"/>
          <w:sz w:val="32"/>
          <w:szCs w:val="32"/>
        </w:rPr>
      </w:pPr>
    </w:p>
    <w:p>
      <w:pPr>
        <w:spacing w:line="560" w:lineRule="exact"/>
        <w:ind w:firstLine="640" w:firstLineChars="200"/>
        <w:rPr>
          <w:rFonts w:eastAsia="仿宋_GB2312"/>
          <w:sz w:val="32"/>
          <w:szCs w:val="32"/>
        </w:rPr>
      </w:pPr>
    </w:p>
    <w:p>
      <w:pPr>
        <w:spacing w:line="560" w:lineRule="exact"/>
        <w:rPr>
          <w:rFonts w:eastAsia="仿宋_GB2312"/>
          <w:sz w:val="32"/>
          <w:szCs w:val="32"/>
        </w:rPr>
      </w:pPr>
    </w:p>
    <w:p>
      <w:pPr>
        <w:spacing w:line="560" w:lineRule="exact"/>
        <w:rPr>
          <w:rFonts w:eastAsia="方正黑体_GBK"/>
          <w:sz w:val="32"/>
          <w:szCs w:val="32"/>
        </w:rPr>
      </w:pPr>
      <w:r>
        <w:rPr>
          <w:rFonts w:eastAsia="方正黑体_GBK"/>
          <w:sz w:val="32"/>
          <w:szCs w:val="32"/>
        </w:rPr>
        <w:t>附件3</w:t>
      </w:r>
    </w:p>
    <w:p>
      <w:pPr>
        <w:spacing w:line="560" w:lineRule="exact"/>
        <w:ind w:firstLine="640" w:firstLineChars="200"/>
        <w:rPr>
          <w:rFonts w:eastAsia="仿宋_GB2312"/>
          <w:sz w:val="32"/>
          <w:szCs w:val="32"/>
        </w:rPr>
      </w:pPr>
    </w:p>
    <w:p>
      <w:pPr>
        <w:spacing w:line="0" w:lineRule="atLeast"/>
        <w:jc w:val="center"/>
        <w:rPr>
          <w:rFonts w:eastAsia="方正小标宋_GBK"/>
          <w:color w:val="000000"/>
          <w:sz w:val="44"/>
          <w:szCs w:val="44"/>
        </w:rPr>
      </w:pPr>
      <w:r>
        <w:rPr>
          <w:rFonts w:eastAsia="方正小标宋_GBK"/>
          <w:color w:val="000000"/>
          <w:sz w:val="44"/>
          <w:szCs w:val="44"/>
        </w:rPr>
        <w:t>攀枝花市医疗保障事务中心</w:t>
      </w:r>
    </w:p>
    <w:p>
      <w:pPr>
        <w:spacing w:line="0" w:lineRule="atLeast"/>
        <w:jc w:val="center"/>
        <w:rPr>
          <w:rFonts w:eastAsia="方正小标宋_GBK"/>
          <w:spacing w:val="-6"/>
          <w:sz w:val="44"/>
          <w:szCs w:val="44"/>
        </w:rPr>
      </w:pPr>
      <w:r>
        <w:rPr>
          <w:rFonts w:eastAsia="方正小标宋_GBK"/>
          <w:spacing w:val="-6"/>
          <w:sz w:val="44"/>
          <w:szCs w:val="44"/>
        </w:rPr>
        <w:t>医疗服务与保障能力提升中央财政补助资金</w:t>
      </w:r>
    </w:p>
    <w:p>
      <w:pPr>
        <w:spacing w:line="0" w:lineRule="atLeast"/>
        <w:jc w:val="center"/>
        <w:rPr>
          <w:rFonts w:eastAsia="方正小标宋_GBK"/>
          <w:sz w:val="44"/>
          <w:szCs w:val="44"/>
        </w:rPr>
      </w:pPr>
      <w:r>
        <w:rPr>
          <w:rFonts w:eastAsia="方正小标宋_GBK"/>
          <w:sz w:val="44"/>
          <w:szCs w:val="44"/>
        </w:rPr>
        <w:t>项目支出绩效自评报告</w:t>
      </w:r>
    </w:p>
    <w:p>
      <w:pPr>
        <w:spacing w:line="578" w:lineRule="exact"/>
        <w:ind w:firstLine="640" w:firstLineChars="200"/>
        <w:jc w:val="left"/>
        <w:rPr>
          <w:color w:val="000000"/>
          <w:sz w:val="32"/>
          <w:szCs w:val="32"/>
        </w:rPr>
      </w:pPr>
    </w:p>
    <w:p>
      <w:pPr>
        <w:spacing w:line="578" w:lineRule="exact"/>
        <w:ind w:firstLine="640" w:firstLineChars="200"/>
        <w:rPr>
          <w:rFonts w:eastAsia="方正黑体_GBK"/>
          <w:color w:val="000000"/>
          <w:sz w:val="32"/>
          <w:szCs w:val="32"/>
        </w:rPr>
      </w:pPr>
      <w:r>
        <w:rPr>
          <w:rFonts w:eastAsia="方正黑体_GBK"/>
          <w:color w:val="000000"/>
          <w:sz w:val="32"/>
          <w:szCs w:val="32"/>
        </w:rPr>
        <w:t>一、基本情况</w:t>
      </w:r>
    </w:p>
    <w:p>
      <w:pPr>
        <w:spacing w:line="578" w:lineRule="exact"/>
        <w:ind w:firstLine="643" w:firstLineChars="200"/>
        <w:rPr>
          <w:rFonts w:eastAsia="方正楷体_GBK"/>
          <w:b/>
          <w:bCs/>
          <w:color w:val="000000"/>
          <w:sz w:val="32"/>
          <w:szCs w:val="32"/>
        </w:rPr>
      </w:pPr>
      <w:r>
        <w:rPr>
          <w:rFonts w:eastAsia="方正楷体_GBK"/>
          <w:b/>
          <w:bCs/>
          <w:sz w:val="32"/>
          <w:szCs w:val="32"/>
          <w:lang w:val="zh-CN"/>
        </w:rPr>
        <w:t>(一)2025年度资金下达情况</w:t>
      </w:r>
    </w:p>
    <w:p>
      <w:pPr>
        <w:adjustRightInd w:val="0"/>
        <w:snapToGrid w:val="0"/>
        <w:ind w:firstLine="640" w:firstLineChars="200"/>
        <w:rPr>
          <w:rFonts w:eastAsia="方正仿宋_GBK"/>
          <w:color w:val="000000"/>
          <w:sz w:val="32"/>
          <w:szCs w:val="32"/>
        </w:rPr>
      </w:pPr>
      <w:r>
        <w:rPr>
          <w:rFonts w:eastAsia="方正仿宋_GBK"/>
          <w:color w:val="000000"/>
          <w:sz w:val="32"/>
          <w:szCs w:val="32"/>
        </w:rPr>
        <w:t>2025年共下达攀枝花市医疗服务与保障能力提升中央财政补助资金148.20万元。</w:t>
      </w:r>
    </w:p>
    <w:p>
      <w:pPr>
        <w:adjustRightInd w:val="0"/>
        <w:snapToGrid w:val="0"/>
        <w:ind w:firstLine="643" w:firstLineChars="200"/>
        <w:rPr>
          <w:rFonts w:eastAsia="方正楷体_GBK"/>
          <w:b/>
          <w:bCs/>
          <w:color w:val="000000"/>
          <w:sz w:val="32"/>
          <w:szCs w:val="32"/>
        </w:rPr>
      </w:pPr>
      <w:r>
        <w:rPr>
          <w:rFonts w:eastAsia="方正楷体_GBK"/>
          <w:b/>
          <w:bCs/>
          <w:sz w:val="32"/>
          <w:szCs w:val="32"/>
          <w:lang w:val="zh-CN"/>
        </w:rPr>
        <w:t>（二）2025年度资金支付情况</w:t>
      </w:r>
    </w:p>
    <w:p>
      <w:pPr>
        <w:adjustRightInd w:val="0"/>
        <w:snapToGrid w:val="0"/>
        <w:ind w:firstLine="640" w:firstLineChars="200"/>
        <w:rPr>
          <w:rFonts w:eastAsia="方正仿宋_GBK"/>
          <w:color w:val="000000"/>
          <w:sz w:val="32"/>
          <w:szCs w:val="32"/>
        </w:rPr>
      </w:pPr>
      <w:r>
        <w:rPr>
          <w:rFonts w:eastAsia="方正仿宋_GBK"/>
          <w:color w:val="000000"/>
          <w:sz w:val="32"/>
          <w:szCs w:val="32"/>
        </w:rPr>
        <w:t>2025年，该项目资金上年结转1.28万元，当年下达146.92万元，实际支出135.19万元，资金预算执行率为91.22%。主要用于医保政策宣传、基金监管、经办服务提升、医药服务价格调整、干部培训和医保信息化标准化建设等。</w:t>
      </w:r>
    </w:p>
    <w:p>
      <w:pPr>
        <w:adjustRightInd w:val="0"/>
        <w:snapToGrid w:val="0"/>
        <w:ind w:firstLine="643" w:firstLineChars="200"/>
        <w:rPr>
          <w:rFonts w:eastAsia="方正楷体_GBK"/>
          <w:b/>
          <w:bCs/>
          <w:color w:val="000000"/>
          <w:sz w:val="32"/>
          <w:szCs w:val="32"/>
        </w:rPr>
      </w:pPr>
      <w:r>
        <w:rPr>
          <w:rFonts w:eastAsia="方正楷体_GBK"/>
          <w:b/>
          <w:bCs/>
          <w:sz w:val="32"/>
          <w:szCs w:val="32"/>
          <w:lang w:val="zh-CN"/>
        </w:rPr>
        <w:t>（三）2025年末资金结转结余情况</w:t>
      </w:r>
    </w:p>
    <w:p>
      <w:pPr>
        <w:adjustRightInd w:val="0"/>
        <w:snapToGrid w:val="0"/>
        <w:ind w:firstLine="640" w:firstLineChars="200"/>
        <w:rPr>
          <w:rFonts w:eastAsia="方正仿宋_GBK"/>
          <w:color w:val="000000"/>
          <w:sz w:val="32"/>
          <w:szCs w:val="32"/>
        </w:rPr>
      </w:pPr>
      <w:r>
        <w:rPr>
          <w:rFonts w:eastAsia="方正仿宋_GBK"/>
          <w:color w:val="000000"/>
          <w:sz w:val="32"/>
          <w:szCs w:val="32"/>
        </w:rPr>
        <w:t>2025年年末医疗服务与保障能力提升中央财政补助资金结余13.01万元。</w:t>
      </w:r>
    </w:p>
    <w:p>
      <w:pPr>
        <w:adjustRightInd w:val="0"/>
        <w:snapToGrid w:val="0"/>
        <w:ind w:firstLine="640" w:firstLineChars="200"/>
        <w:rPr>
          <w:rFonts w:eastAsia="方正黑体_GBK"/>
          <w:color w:val="000000"/>
          <w:sz w:val="32"/>
          <w:szCs w:val="32"/>
        </w:rPr>
      </w:pPr>
      <w:r>
        <w:rPr>
          <w:rFonts w:eastAsia="方正黑体_GBK"/>
          <w:color w:val="000000"/>
          <w:sz w:val="32"/>
          <w:szCs w:val="32"/>
        </w:rPr>
        <w:t>二、支出情况分析</w:t>
      </w:r>
    </w:p>
    <w:p>
      <w:pPr>
        <w:adjustRightInd w:val="0"/>
        <w:snapToGrid w:val="0"/>
        <w:ind w:firstLine="643" w:firstLineChars="200"/>
        <w:rPr>
          <w:rFonts w:eastAsia="方正楷体_GBK"/>
          <w:b/>
          <w:bCs/>
          <w:color w:val="000000"/>
          <w:sz w:val="32"/>
          <w:szCs w:val="32"/>
        </w:rPr>
      </w:pPr>
      <w:r>
        <w:rPr>
          <w:rFonts w:eastAsia="方正楷体_GBK"/>
          <w:b/>
          <w:bCs/>
          <w:sz w:val="32"/>
          <w:szCs w:val="32"/>
          <w:lang w:val="zh-CN"/>
        </w:rPr>
        <w:t>（一）总体绩效目标完成情况分析</w:t>
      </w:r>
    </w:p>
    <w:p>
      <w:pPr>
        <w:adjustRightInd w:val="0"/>
        <w:snapToGrid w:val="0"/>
        <w:ind w:firstLine="640" w:firstLineChars="200"/>
        <w:rPr>
          <w:rFonts w:eastAsia="方正仿宋_GBK"/>
          <w:color w:val="000000"/>
          <w:sz w:val="32"/>
          <w:szCs w:val="32"/>
        </w:rPr>
      </w:pPr>
      <w:r>
        <w:rPr>
          <w:rFonts w:eastAsia="方正仿宋_GBK"/>
          <w:color w:val="000000"/>
          <w:sz w:val="32"/>
          <w:szCs w:val="32"/>
        </w:rPr>
        <w:t>2025年，以习近平新时代中国特色社会主义思想为指导，认真落实国家、省决策部署，按照资金绩效总体目标要求，认真组织</w:t>
      </w:r>
      <w:r>
        <w:rPr>
          <w:rFonts w:eastAsia="方正仿宋_GBK"/>
          <w:sz w:val="32"/>
          <w:szCs w:val="32"/>
        </w:rPr>
        <w:t>实施医保重点改革项目。通过稳步落实药品医用耗材集采政策</w:t>
      </w:r>
      <w:r>
        <w:rPr>
          <w:rFonts w:eastAsia="方正仿宋_GBK"/>
          <w:sz w:val="32"/>
          <w:szCs w:val="32"/>
          <w:shd w:val="clear" w:color="000000" w:fill="FFFFFF"/>
        </w:rPr>
        <w:t>，持续</w:t>
      </w:r>
      <w:r>
        <w:rPr>
          <w:rFonts w:eastAsia="方正仿宋_GBK"/>
          <w:sz w:val="32"/>
          <w:szCs w:val="32"/>
        </w:rPr>
        <w:t>加强医药服务和价格管理，全面深化医保支付方式改革</w:t>
      </w:r>
      <w:r>
        <w:rPr>
          <w:rFonts w:eastAsia="方正仿宋_GBK"/>
          <w:sz w:val="32"/>
          <w:szCs w:val="32"/>
          <w:shd w:val="clear" w:color="000000" w:fill="FFFFFF"/>
        </w:rPr>
        <w:t>，</w:t>
      </w:r>
      <w:r>
        <w:rPr>
          <w:rFonts w:eastAsia="方正仿宋_GBK"/>
          <w:color w:val="000000"/>
          <w:sz w:val="32"/>
          <w:szCs w:val="32"/>
        </w:rPr>
        <w:t>奋力提升医保公共服务，持续加大医保基金监管力度，不断完善医保信息化标准化建设等，有效提升了我市医疗保障服务能力，切实发挥了中央转移资金使用效益，如期完成了2025年度总体绩效目标。</w:t>
      </w:r>
    </w:p>
    <w:p>
      <w:pPr>
        <w:adjustRightInd w:val="0"/>
        <w:snapToGrid w:val="0"/>
        <w:ind w:firstLine="643" w:firstLineChars="200"/>
        <w:outlineLvl w:val="0"/>
        <w:rPr>
          <w:rFonts w:eastAsia="方正楷体_GBK"/>
          <w:b/>
          <w:bCs/>
          <w:color w:val="000000"/>
          <w:sz w:val="32"/>
          <w:szCs w:val="32"/>
        </w:rPr>
      </w:pPr>
      <w:r>
        <w:rPr>
          <w:rFonts w:eastAsia="方正楷体_GBK"/>
          <w:b/>
          <w:bCs/>
          <w:color w:val="000000"/>
          <w:sz w:val="32"/>
          <w:szCs w:val="32"/>
        </w:rPr>
        <w:t>（二）绩效指标完成情况分析</w:t>
      </w:r>
    </w:p>
    <w:p>
      <w:pPr>
        <w:overflowPunct w:val="0"/>
        <w:adjustRightInd w:val="0"/>
        <w:snapToGrid w:val="0"/>
        <w:ind w:firstLine="640" w:firstLineChars="200"/>
        <w:rPr>
          <w:rFonts w:eastAsia="方正仿宋_GBK"/>
          <w:color w:val="000000"/>
          <w:sz w:val="32"/>
          <w:szCs w:val="32"/>
        </w:rPr>
      </w:pPr>
      <w:r>
        <w:rPr>
          <w:rFonts w:eastAsia="方正仿宋_GBK"/>
          <w:sz w:val="32"/>
          <w:szCs w:val="32"/>
        </w:rPr>
        <w:t>1.基本医保参保人数。</w:t>
      </w:r>
      <w:bookmarkStart w:id="63" w:name="OLE_LINK16"/>
      <w:bookmarkStart w:id="64" w:name="OLE_LINK15"/>
      <w:r>
        <w:rPr>
          <w:rFonts w:eastAsia="方正仿宋_GBK"/>
          <w:sz w:val="32"/>
          <w:szCs w:val="32"/>
        </w:rPr>
        <w:t>指标值110万人，完成值109.8万人，得分4.98分</w:t>
      </w:r>
      <w:bookmarkEnd w:id="63"/>
      <w:bookmarkEnd w:id="64"/>
      <w:r>
        <w:rPr>
          <w:rFonts w:eastAsia="方正仿宋_GBK"/>
          <w:color w:val="000000"/>
          <w:sz w:val="32"/>
          <w:szCs w:val="32"/>
        </w:rPr>
        <w:t>。</w:t>
      </w:r>
    </w:p>
    <w:p>
      <w:pPr>
        <w:overflowPunct w:val="0"/>
        <w:adjustRightInd w:val="0"/>
        <w:snapToGrid w:val="0"/>
        <w:ind w:firstLine="640" w:firstLineChars="200"/>
        <w:rPr>
          <w:rFonts w:eastAsia="方正仿宋_GBK"/>
          <w:color w:val="000000"/>
          <w:sz w:val="32"/>
          <w:szCs w:val="32"/>
        </w:rPr>
      </w:pPr>
      <w:r>
        <w:rPr>
          <w:rFonts w:eastAsia="方正仿宋_GBK"/>
          <w:color w:val="000000"/>
          <w:sz w:val="32"/>
          <w:szCs w:val="32"/>
        </w:rPr>
        <w:t>2.村（社区）级医保服务、有网点提供帮办、代办服务的村（社区）覆盖率为100%，大于60%，得</w:t>
      </w:r>
      <w:r>
        <w:rPr>
          <w:rFonts w:eastAsia="方正仿宋_GBK"/>
          <w:sz w:val="32"/>
          <w:szCs w:val="32"/>
        </w:rPr>
        <w:t>分</w:t>
      </w:r>
      <w:r>
        <w:rPr>
          <w:rFonts w:eastAsia="方正仿宋_GBK"/>
          <w:color w:val="000000"/>
          <w:sz w:val="32"/>
          <w:szCs w:val="32"/>
        </w:rPr>
        <w:t>5分。</w:t>
      </w:r>
    </w:p>
    <w:p>
      <w:pPr>
        <w:overflowPunct w:val="0"/>
        <w:adjustRightInd w:val="0"/>
        <w:snapToGrid w:val="0"/>
        <w:ind w:firstLine="640" w:firstLineChars="200"/>
        <w:rPr>
          <w:rFonts w:eastAsia="方正仿宋_GBK"/>
          <w:color w:val="000000"/>
          <w:sz w:val="32"/>
          <w:szCs w:val="32"/>
        </w:rPr>
      </w:pPr>
      <w:r>
        <w:rPr>
          <w:rFonts w:eastAsia="方正仿宋_GBK"/>
          <w:color w:val="000000"/>
          <w:sz w:val="32"/>
          <w:szCs w:val="32"/>
        </w:rPr>
        <w:t>3.举办医保信息会。2025年度举办长护险信息会一次，全国医保信息化培训会一次，得</w:t>
      </w:r>
      <w:r>
        <w:rPr>
          <w:rFonts w:eastAsia="方正仿宋_GBK"/>
          <w:sz w:val="32"/>
          <w:szCs w:val="32"/>
        </w:rPr>
        <w:t>分</w:t>
      </w:r>
      <w:r>
        <w:rPr>
          <w:rFonts w:eastAsia="方正仿宋_GBK"/>
          <w:color w:val="000000"/>
          <w:sz w:val="32"/>
          <w:szCs w:val="32"/>
        </w:rPr>
        <w:t>5分。</w:t>
      </w:r>
    </w:p>
    <w:p>
      <w:pPr>
        <w:overflowPunct w:val="0"/>
        <w:adjustRightInd w:val="0"/>
        <w:snapToGrid w:val="0"/>
        <w:ind w:firstLine="640" w:firstLineChars="200"/>
        <w:rPr>
          <w:rFonts w:eastAsia="方正仿宋_GBK"/>
          <w:color w:val="000000"/>
          <w:sz w:val="32"/>
          <w:szCs w:val="32"/>
        </w:rPr>
      </w:pPr>
      <w:r>
        <w:rPr>
          <w:rFonts w:eastAsia="方正仿宋_GBK"/>
          <w:color w:val="000000"/>
          <w:sz w:val="32"/>
          <w:szCs w:val="32"/>
        </w:rPr>
        <w:t>4.医保信息系统正常运行率100%，大于90%，得分5分。</w:t>
      </w:r>
    </w:p>
    <w:p>
      <w:pPr>
        <w:overflowPunct w:val="0"/>
        <w:adjustRightInd w:val="0"/>
        <w:snapToGrid w:val="0"/>
        <w:ind w:firstLine="640" w:firstLineChars="200"/>
        <w:rPr>
          <w:rFonts w:eastAsia="方正仿宋_GBK"/>
          <w:color w:val="000000"/>
          <w:sz w:val="32"/>
          <w:szCs w:val="32"/>
        </w:rPr>
      </w:pPr>
      <w:r>
        <w:rPr>
          <w:rFonts w:eastAsia="方正仿宋_GBK"/>
          <w:color w:val="000000"/>
          <w:sz w:val="32"/>
          <w:szCs w:val="32"/>
        </w:rPr>
        <w:t>5.推进医保支付方式改革。2025年，我市已统一执行四川DRG目录，得</w:t>
      </w:r>
      <w:r>
        <w:rPr>
          <w:rFonts w:eastAsia="方正仿宋_GBK"/>
          <w:sz w:val="32"/>
          <w:szCs w:val="32"/>
        </w:rPr>
        <w:t>分</w:t>
      </w:r>
      <w:r>
        <w:rPr>
          <w:rFonts w:eastAsia="方正仿宋_GBK"/>
          <w:color w:val="000000"/>
          <w:sz w:val="32"/>
          <w:szCs w:val="32"/>
        </w:rPr>
        <w:t>5分。</w:t>
      </w:r>
    </w:p>
    <w:p>
      <w:pPr>
        <w:overflowPunct w:val="0"/>
        <w:adjustRightInd w:val="0"/>
        <w:snapToGrid w:val="0"/>
        <w:ind w:firstLine="640" w:firstLineChars="200"/>
        <w:rPr>
          <w:rFonts w:eastAsia="方正仿宋_GBK"/>
          <w:color w:val="000000"/>
          <w:sz w:val="32"/>
          <w:szCs w:val="32"/>
        </w:rPr>
      </w:pPr>
      <w:r>
        <w:rPr>
          <w:rFonts w:eastAsia="方正仿宋_GBK"/>
          <w:color w:val="000000"/>
          <w:sz w:val="32"/>
          <w:szCs w:val="32"/>
        </w:rPr>
        <w:t>6.国谈药等相关药品落地数据报送及时率。本年度报送及时率100%，得</w:t>
      </w:r>
      <w:r>
        <w:rPr>
          <w:rFonts w:eastAsia="方正仿宋_GBK"/>
          <w:sz w:val="32"/>
          <w:szCs w:val="32"/>
        </w:rPr>
        <w:t>分</w:t>
      </w:r>
      <w:r>
        <w:rPr>
          <w:rFonts w:eastAsia="方正仿宋_GBK"/>
          <w:color w:val="000000"/>
          <w:sz w:val="32"/>
          <w:szCs w:val="32"/>
        </w:rPr>
        <w:t>5分。</w:t>
      </w:r>
    </w:p>
    <w:p>
      <w:pPr>
        <w:overflowPunct w:val="0"/>
        <w:adjustRightInd w:val="0"/>
        <w:snapToGrid w:val="0"/>
        <w:ind w:firstLine="640" w:firstLineChars="200"/>
        <w:rPr>
          <w:rFonts w:eastAsia="方正仿宋_GBK"/>
          <w:sz w:val="32"/>
          <w:szCs w:val="32"/>
        </w:rPr>
      </w:pPr>
      <w:r>
        <w:rPr>
          <w:rFonts w:eastAsia="方正仿宋_GBK"/>
          <w:color w:val="000000"/>
          <w:sz w:val="32"/>
          <w:szCs w:val="32"/>
        </w:rPr>
        <w:t>7.</w:t>
      </w:r>
      <w:r>
        <w:rPr>
          <w:rFonts w:eastAsia="方正仿宋_GBK"/>
          <w:sz w:val="32"/>
          <w:szCs w:val="32"/>
        </w:rPr>
        <w:t>医保目录管理规范性。2025年未出现违反目录管理政策的情况，得分5分。</w:t>
      </w:r>
    </w:p>
    <w:p>
      <w:pPr>
        <w:overflowPunct w:val="0"/>
        <w:adjustRightInd w:val="0"/>
        <w:snapToGrid w:val="0"/>
        <w:ind w:firstLine="640" w:firstLineChars="200"/>
        <w:rPr>
          <w:rFonts w:eastAsia="方正仿宋_GBK"/>
          <w:sz w:val="32"/>
          <w:szCs w:val="32"/>
        </w:rPr>
      </w:pPr>
      <w:r>
        <w:rPr>
          <w:rFonts w:eastAsia="方正仿宋_GBK"/>
          <w:sz w:val="32"/>
          <w:szCs w:val="32"/>
        </w:rPr>
        <w:t>8.</w:t>
      </w:r>
      <w:r>
        <w:rPr>
          <w:rFonts w:eastAsia="方正仿宋_GBK"/>
          <w:color w:val="000000"/>
          <w:sz w:val="32"/>
          <w:szCs w:val="32"/>
        </w:rPr>
        <w:t>统筹地区结算效率。2025年，我市已实现即时结算，得</w:t>
      </w:r>
      <w:r>
        <w:rPr>
          <w:rFonts w:eastAsia="方正仿宋_GBK"/>
          <w:sz w:val="32"/>
          <w:szCs w:val="32"/>
        </w:rPr>
        <w:t>分</w:t>
      </w:r>
      <w:r>
        <w:rPr>
          <w:rFonts w:eastAsia="方正仿宋_GBK"/>
          <w:color w:val="000000"/>
          <w:sz w:val="32"/>
          <w:szCs w:val="32"/>
        </w:rPr>
        <w:t>5分。</w:t>
      </w:r>
    </w:p>
    <w:p>
      <w:pPr>
        <w:overflowPunct w:val="0"/>
        <w:adjustRightInd w:val="0"/>
        <w:snapToGrid w:val="0"/>
        <w:ind w:firstLine="640" w:firstLineChars="200"/>
        <w:rPr>
          <w:rFonts w:eastAsia="方正仿宋_GBK"/>
          <w:color w:val="000000"/>
          <w:sz w:val="32"/>
          <w:szCs w:val="32"/>
        </w:rPr>
      </w:pPr>
      <w:r>
        <w:rPr>
          <w:rFonts w:eastAsia="方正仿宋_GBK"/>
          <w:color w:val="000000"/>
          <w:sz w:val="32"/>
          <w:szCs w:val="32"/>
        </w:rPr>
        <w:t>9.定点医药机构监督检查和年度考核。在规定时间内按时完成两定医疗机构监督管理、年度考核工作，得</w:t>
      </w:r>
      <w:r>
        <w:rPr>
          <w:rFonts w:eastAsia="方正仿宋_GBK"/>
          <w:sz w:val="32"/>
          <w:szCs w:val="32"/>
        </w:rPr>
        <w:t>分</w:t>
      </w:r>
      <w:r>
        <w:rPr>
          <w:rFonts w:eastAsia="方正仿宋_GBK"/>
          <w:color w:val="000000"/>
          <w:sz w:val="32"/>
          <w:szCs w:val="32"/>
        </w:rPr>
        <w:t>5分。</w:t>
      </w:r>
    </w:p>
    <w:p>
      <w:pPr>
        <w:overflowPunct w:val="0"/>
        <w:adjustRightInd w:val="0"/>
        <w:snapToGrid w:val="0"/>
        <w:ind w:firstLine="640" w:firstLineChars="200"/>
        <w:rPr>
          <w:rFonts w:eastAsia="方正仿宋_GBK"/>
          <w:sz w:val="32"/>
          <w:szCs w:val="32"/>
        </w:rPr>
      </w:pPr>
      <w:r>
        <w:rPr>
          <w:rFonts w:eastAsia="方正仿宋_GBK"/>
          <w:color w:val="000000"/>
          <w:sz w:val="32"/>
          <w:szCs w:val="32"/>
        </w:rPr>
        <w:t>10.</w:t>
      </w:r>
      <w:r>
        <w:rPr>
          <w:rFonts w:eastAsia="方正仿宋_GBK"/>
          <w:sz w:val="32"/>
          <w:szCs w:val="32"/>
        </w:rPr>
        <w:t>医保信息系统运行维护响应时间。医保信息系统运行维护响应时间合同规定为30分钟，系统运行维护实际响应时间为立即处理，小于30分钟。得分5分。</w:t>
      </w:r>
    </w:p>
    <w:p>
      <w:pPr>
        <w:overflowPunct w:val="0"/>
        <w:adjustRightInd w:val="0"/>
        <w:snapToGrid w:val="0"/>
        <w:ind w:firstLine="640" w:firstLineChars="200"/>
        <w:rPr>
          <w:rFonts w:eastAsia="方正仿宋_GBK"/>
          <w:sz w:val="32"/>
          <w:szCs w:val="32"/>
        </w:rPr>
      </w:pPr>
      <w:r>
        <w:rPr>
          <w:rFonts w:eastAsia="方正仿宋_GBK"/>
          <w:sz w:val="32"/>
          <w:szCs w:val="32"/>
        </w:rPr>
        <w:t>11.医保信息系统数据安全事件响应时间。医保信息系统数据安全事件响应时间</w:t>
      </w:r>
      <w:bookmarkStart w:id="65" w:name="OLE_LINK18"/>
      <w:bookmarkStart w:id="66" w:name="OLE_LINK17"/>
      <w:r>
        <w:rPr>
          <w:rFonts w:eastAsia="方正仿宋_GBK"/>
          <w:sz w:val="32"/>
          <w:szCs w:val="32"/>
        </w:rPr>
        <w:t>合同规定为30分钟，2025年由于未发生数据安全事件，实际响应时间为0，</w:t>
      </w:r>
      <w:bookmarkEnd w:id="65"/>
      <w:bookmarkEnd w:id="66"/>
      <w:r>
        <w:rPr>
          <w:rFonts w:eastAsia="方正仿宋_GBK"/>
          <w:sz w:val="32"/>
          <w:szCs w:val="32"/>
        </w:rPr>
        <w:t>小于60分钟。得分5分。</w:t>
      </w:r>
    </w:p>
    <w:p>
      <w:pPr>
        <w:overflowPunct w:val="0"/>
        <w:adjustRightInd w:val="0"/>
        <w:snapToGrid w:val="0"/>
        <w:ind w:firstLine="640" w:firstLineChars="200"/>
        <w:rPr>
          <w:rFonts w:eastAsia="方正仿宋_GBK"/>
          <w:sz w:val="32"/>
          <w:szCs w:val="32"/>
        </w:rPr>
      </w:pPr>
      <w:r>
        <w:rPr>
          <w:rFonts w:eastAsia="方正仿宋_GBK"/>
          <w:sz w:val="32"/>
          <w:szCs w:val="32"/>
        </w:rPr>
        <w:t>12.</w:t>
      </w:r>
      <w:r>
        <w:rPr>
          <w:rFonts w:eastAsia="方正仿宋_GBK"/>
          <w:color w:val="000000"/>
          <w:sz w:val="32"/>
          <w:szCs w:val="32"/>
        </w:rPr>
        <w:t>公立医疗机构药品耗材平台采购率。药品网采率为93%，大于90%，高值医用耗材网采率为86%，大于80%，但为达到100%，得分5分。</w:t>
      </w:r>
    </w:p>
    <w:p>
      <w:pPr>
        <w:overflowPunct w:val="0"/>
        <w:adjustRightInd w:val="0"/>
        <w:snapToGrid w:val="0"/>
        <w:ind w:firstLine="640" w:firstLineChars="200"/>
        <w:rPr>
          <w:rFonts w:eastAsia="方正仿宋_GBK"/>
          <w:color w:val="000000"/>
          <w:sz w:val="32"/>
          <w:szCs w:val="32"/>
        </w:rPr>
      </w:pPr>
      <w:r>
        <w:rPr>
          <w:rFonts w:eastAsia="方正仿宋_GBK"/>
          <w:color w:val="000000"/>
          <w:sz w:val="32"/>
          <w:szCs w:val="32"/>
        </w:rPr>
        <w:t>13.</w:t>
      </w:r>
      <w:r>
        <w:rPr>
          <w:rFonts w:eastAsia="方正仿宋_GBK"/>
          <w:sz w:val="32"/>
          <w:szCs w:val="32"/>
        </w:rPr>
        <w:t>基金预警和风险防控能力。2025年，我市职工、居民医保基金均为低风险级别，得分5分。</w:t>
      </w:r>
    </w:p>
    <w:p>
      <w:pPr>
        <w:overflowPunct w:val="0"/>
        <w:adjustRightInd w:val="0"/>
        <w:snapToGrid w:val="0"/>
        <w:ind w:firstLine="640" w:firstLineChars="200"/>
        <w:rPr>
          <w:rFonts w:eastAsia="方正仿宋_GBK"/>
          <w:color w:val="000000"/>
          <w:sz w:val="32"/>
          <w:szCs w:val="32"/>
        </w:rPr>
      </w:pPr>
      <w:r>
        <w:rPr>
          <w:rFonts w:eastAsia="方正仿宋_GBK"/>
          <w:color w:val="000000"/>
          <w:sz w:val="32"/>
          <w:szCs w:val="32"/>
        </w:rPr>
        <w:t>14.</w:t>
      </w:r>
      <w:r>
        <w:rPr>
          <w:rFonts w:eastAsia="方正仿宋_GBK"/>
          <w:sz w:val="32"/>
          <w:szCs w:val="32"/>
        </w:rPr>
        <w:t>医保基金监管能力。有所提升，得分5分。</w:t>
      </w:r>
    </w:p>
    <w:p>
      <w:pPr>
        <w:overflowPunct w:val="0"/>
        <w:adjustRightInd w:val="0"/>
        <w:snapToGrid w:val="0"/>
        <w:ind w:firstLine="640" w:firstLineChars="200"/>
        <w:rPr>
          <w:rFonts w:eastAsia="方正仿宋_GBK"/>
          <w:color w:val="000000"/>
          <w:sz w:val="32"/>
          <w:szCs w:val="32"/>
        </w:rPr>
      </w:pPr>
      <w:r>
        <w:rPr>
          <w:rFonts w:eastAsia="方正仿宋_GBK"/>
          <w:color w:val="000000"/>
          <w:sz w:val="32"/>
          <w:szCs w:val="32"/>
        </w:rPr>
        <w:t>15.</w:t>
      </w:r>
      <w:r>
        <w:rPr>
          <w:rFonts w:eastAsia="方正仿宋_GBK"/>
          <w:sz w:val="32"/>
          <w:szCs w:val="32"/>
        </w:rPr>
        <w:t>医保经办服务能力。有所提升，得分5分。</w:t>
      </w:r>
    </w:p>
    <w:p>
      <w:pPr>
        <w:overflowPunct w:val="0"/>
        <w:adjustRightInd w:val="0"/>
        <w:snapToGrid w:val="0"/>
        <w:ind w:firstLine="640" w:firstLineChars="200"/>
        <w:rPr>
          <w:rFonts w:eastAsia="方正仿宋_GBK"/>
          <w:sz w:val="32"/>
          <w:szCs w:val="32"/>
        </w:rPr>
      </w:pPr>
      <w:r>
        <w:rPr>
          <w:rFonts w:eastAsia="方正仿宋_GBK"/>
          <w:sz w:val="32"/>
          <w:szCs w:val="32"/>
        </w:rPr>
        <w:t>16.异地就医人员纳入本地同质化管理情况，有所提升，得分5分。</w:t>
      </w:r>
    </w:p>
    <w:p>
      <w:pPr>
        <w:overflowPunct w:val="0"/>
        <w:adjustRightInd w:val="0"/>
        <w:snapToGrid w:val="0"/>
        <w:ind w:firstLine="640" w:firstLineChars="200"/>
        <w:rPr>
          <w:rFonts w:eastAsia="方正仿宋_GBK"/>
          <w:sz w:val="32"/>
          <w:szCs w:val="32"/>
        </w:rPr>
      </w:pPr>
      <w:r>
        <w:rPr>
          <w:rFonts w:eastAsia="方正仿宋_GBK"/>
          <w:sz w:val="32"/>
          <w:szCs w:val="32"/>
        </w:rPr>
        <w:t>17.医保标准化水平。有所提升，得分5分。</w:t>
      </w:r>
    </w:p>
    <w:p>
      <w:pPr>
        <w:overflowPunct w:val="0"/>
        <w:adjustRightInd w:val="0"/>
        <w:snapToGrid w:val="0"/>
        <w:ind w:firstLine="640" w:firstLineChars="200"/>
        <w:rPr>
          <w:rFonts w:eastAsia="方正仿宋_GBK"/>
          <w:sz w:val="32"/>
          <w:szCs w:val="32"/>
        </w:rPr>
      </w:pPr>
      <w:r>
        <w:rPr>
          <w:rFonts w:eastAsia="方正仿宋_GBK"/>
          <w:sz w:val="32"/>
          <w:szCs w:val="32"/>
        </w:rPr>
        <w:t>18.参保人员对医保服务的满意度。我市2025年参保人员对医保服务的满意度为100%，大于85%。得分5分。</w:t>
      </w:r>
    </w:p>
    <w:p>
      <w:pPr>
        <w:overflowPunct w:val="0"/>
        <w:adjustRightInd w:val="0"/>
        <w:snapToGrid w:val="0"/>
        <w:ind w:firstLine="640" w:firstLineChars="200"/>
        <w:rPr>
          <w:rFonts w:eastAsia="方正仿宋_GBK"/>
          <w:sz w:val="32"/>
          <w:szCs w:val="32"/>
        </w:rPr>
      </w:pPr>
      <w:r>
        <w:rPr>
          <w:rFonts w:eastAsia="方正仿宋_GBK"/>
          <w:sz w:val="32"/>
          <w:szCs w:val="32"/>
        </w:rPr>
        <w:t>19.医疗服务与保障能力提升中央财政补助资金预算执行率。我中心预算执行率为91.22%，大于80%，但未达到100%，扣0.88分，得分9.12分。</w:t>
      </w:r>
    </w:p>
    <w:p>
      <w:pPr>
        <w:overflowPunct w:val="0"/>
        <w:adjustRightInd w:val="0"/>
        <w:snapToGrid w:val="0"/>
        <w:ind w:firstLine="640" w:firstLineChars="200"/>
        <w:rPr>
          <w:rFonts w:eastAsia="方正仿宋_GBK"/>
          <w:sz w:val="32"/>
          <w:szCs w:val="32"/>
        </w:rPr>
      </w:pPr>
      <w:r>
        <w:rPr>
          <w:rFonts w:eastAsia="方正仿宋_GBK"/>
          <w:sz w:val="32"/>
          <w:szCs w:val="32"/>
        </w:rPr>
        <w:t>综上，医疗服务与保障能力提升中央财政补助资金自评得分99.1分。</w:t>
      </w:r>
    </w:p>
    <w:p>
      <w:pPr>
        <w:adjustRightInd w:val="0"/>
        <w:snapToGrid w:val="0"/>
        <w:ind w:firstLine="640" w:firstLineChars="200"/>
        <w:rPr>
          <w:rFonts w:eastAsia="方正黑体_GBK"/>
          <w:color w:val="000000"/>
          <w:sz w:val="32"/>
          <w:szCs w:val="32"/>
        </w:rPr>
      </w:pPr>
      <w:r>
        <w:rPr>
          <w:rFonts w:eastAsia="方正黑体_GBK"/>
          <w:color w:val="000000"/>
          <w:sz w:val="32"/>
          <w:szCs w:val="32"/>
        </w:rPr>
        <w:t>三、存在的主要问题及改进措施</w:t>
      </w:r>
    </w:p>
    <w:p>
      <w:pPr>
        <w:adjustRightInd w:val="0"/>
        <w:snapToGrid w:val="0"/>
        <w:ind w:firstLine="643" w:firstLineChars="200"/>
        <w:rPr>
          <w:rFonts w:eastAsia="方正楷体_GBK"/>
          <w:b/>
          <w:bCs/>
          <w:color w:val="000000"/>
          <w:sz w:val="32"/>
          <w:szCs w:val="32"/>
        </w:rPr>
      </w:pPr>
      <w:r>
        <w:rPr>
          <w:rFonts w:eastAsia="方正楷体_GBK"/>
          <w:b/>
          <w:bCs/>
          <w:color w:val="000000"/>
          <w:sz w:val="32"/>
          <w:szCs w:val="32"/>
        </w:rPr>
        <w:t>（一）存在的主要问题</w:t>
      </w:r>
    </w:p>
    <w:p>
      <w:pPr>
        <w:widowControl/>
        <w:adjustRightInd w:val="0"/>
        <w:snapToGrid w:val="0"/>
        <w:ind w:firstLine="640" w:firstLineChars="200"/>
        <w:contextualSpacing/>
        <w:rPr>
          <w:rFonts w:eastAsia="方正仿宋_GBK"/>
          <w:sz w:val="32"/>
          <w:szCs w:val="32"/>
          <w:lang w:val="zh-CN"/>
        </w:rPr>
      </w:pPr>
      <w:r>
        <w:rPr>
          <w:rFonts w:eastAsia="方正仿宋_GBK"/>
          <w:sz w:val="32"/>
          <w:szCs w:val="32"/>
        </w:rPr>
        <w:t>2025年项目预算执行率有待提高，医疗服务与保障能力提升中央财政补助资金因受二次分配、多层级审核等因素影响，预算执行率为91.22%。</w:t>
      </w:r>
    </w:p>
    <w:p>
      <w:pPr>
        <w:adjustRightInd w:val="0"/>
        <w:snapToGrid w:val="0"/>
        <w:ind w:firstLine="643" w:firstLineChars="200"/>
        <w:rPr>
          <w:rFonts w:eastAsia="方正楷体_GBK"/>
          <w:b/>
          <w:bCs/>
          <w:color w:val="000000"/>
          <w:sz w:val="32"/>
          <w:szCs w:val="32"/>
        </w:rPr>
      </w:pPr>
      <w:r>
        <w:rPr>
          <w:rFonts w:eastAsia="方正楷体_GBK"/>
          <w:b/>
          <w:bCs/>
          <w:color w:val="000000"/>
          <w:sz w:val="32"/>
          <w:szCs w:val="32"/>
        </w:rPr>
        <w:t>（二）改进措施</w:t>
      </w:r>
    </w:p>
    <w:p>
      <w:pPr>
        <w:adjustRightInd w:val="0"/>
        <w:snapToGrid w:val="0"/>
        <w:ind w:firstLine="640" w:firstLineChars="200"/>
        <w:rPr>
          <w:rFonts w:eastAsia="方正仿宋_GBK"/>
          <w:color w:val="000000"/>
          <w:sz w:val="32"/>
          <w:szCs w:val="32"/>
        </w:rPr>
      </w:pPr>
      <w:r>
        <w:rPr>
          <w:rFonts w:eastAsia="方正仿宋_GBK"/>
          <w:color w:val="000000"/>
          <w:sz w:val="32"/>
          <w:szCs w:val="32"/>
        </w:rPr>
        <w:t>一是2025年该项目结余资金已下达，根据项目资金用途及时安排拨付。二是加强与市级财政部门沟通协调，做好2026年该项目资金分配和使用，加强绩效管理。</w:t>
      </w:r>
    </w:p>
    <w:p>
      <w:pPr>
        <w:adjustRightInd w:val="0"/>
        <w:snapToGrid w:val="0"/>
        <w:ind w:firstLine="640" w:firstLineChars="200"/>
        <w:rPr>
          <w:rFonts w:eastAsia="方正黑体_GBK"/>
          <w:color w:val="000000"/>
          <w:sz w:val="32"/>
          <w:szCs w:val="32"/>
        </w:rPr>
      </w:pPr>
      <w:r>
        <w:rPr>
          <w:rFonts w:eastAsia="方正黑体_GBK"/>
          <w:color w:val="000000"/>
          <w:sz w:val="32"/>
          <w:szCs w:val="32"/>
        </w:rPr>
        <w:t>四、经验做法和意见建议</w:t>
      </w:r>
    </w:p>
    <w:p>
      <w:pPr>
        <w:adjustRightInd w:val="0"/>
        <w:snapToGrid w:val="0"/>
        <w:ind w:firstLine="640" w:firstLineChars="200"/>
        <w:rPr>
          <w:rFonts w:eastAsia="方正仿宋_GBK"/>
          <w:color w:val="000000"/>
          <w:sz w:val="32"/>
          <w:szCs w:val="32"/>
        </w:rPr>
      </w:pPr>
      <w:r>
        <w:rPr>
          <w:rFonts w:eastAsia="方正仿宋_GBK"/>
          <w:color w:val="000000"/>
          <w:sz w:val="32"/>
          <w:szCs w:val="32"/>
        </w:rPr>
        <w:t>无。</w:t>
      </w:r>
    </w:p>
    <w:p>
      <w:pPr>
        <w:adjustRightInd w:val="0"/>
        <w:snapToGrid w:val="0"/>
        <w:ind w:firstLine="640" w:firstLineChars="200"/>
        <w:rPr>
          <w:rFonts w:eastAsia="方正黑体_GBK"/>
          <w:color w:val="000000"/>
          <w:sz w:val="32"/>
          <w:szCs w:val="32"/>
        </w:rPr>
      </w:pPr>
      <w:r>
        <w:rPr>
          <w:rFonts w:eastAsia="方正黑体_GBK"/>
          <w:color w:val="000000"/>
          <w:sz w:val="32"/>
          <w:szCs w:val="32"/>
        </w:rPr>
        <w:t>五、其他需要说明的问题</w:t>
      </w:r>
    </w:p>
    <w:p>
      <w:pPr>
        <w:adjustRightInd w:val="0"/>
        <w:snapToGrid w:val="0"/>
        <w:ind w:firstLine="640" w:firstLineChars="200"/>
        <w:rPr>
          <w:rFonts w:eastAsia="方正仿宋_GBK"/>
          <w:color w:val="000000"/>
          <w:sz w:val="32"/>
          <w:szCs w:val="32"/>
        </w:rPr>
      </w:pPr>
      <w:r>
        <w:rPr>
          <w:rFonts w:eastAsia="方正仿宋_GBK"/>
          <w:color w:val="000000"/>
          <w:sz w:val="32"/>
          <w:szCs w:val="32"/>
        </w:rPr>
        <w:t>无。</w:t>
      </w:r>
    </w:p>
    <w:p>
      <w:pPr>
        <w:adjustRightInd w:val="0"/>
        <w:snapToGrid w:val="0"/>
        <w:ind w:firstLine="640" w:firstLineChars="200"/>
        <w:rPr>
          <w:rFonts w:eastAsia="方正仿宋_GBK"/>
          <w:color w:val="000000"/>
          <w:sz w:val="32"/>
          <w:szCs w:val="32"/>
        </w:rPr>
      </w:pPr>
    </w:p>
    <w:p>
      <w:pPr>
        <w:spacing w:line="560" w:lineRule="exact"/>
        <w:rPr>
          <w:rFonts w:eastAsia="方正黑体_GBK"/>
          <w:sz w:val="32"/>
          <w:szCs w:val="32"/>
        </w:rPr>
      </w:pPr>
      <w:r>
        <w:rPr>
          <w:rFonts w:eastAsia="方正黑体_GBK"/>
          <w:sz w:val="32"/>
          <w:szCs w:val="32"/>
        </w:rPr>
        <w:t>附件4</w:t>
      </w:r>
    </w:p>
    <w:p>
      <w:pPr>
        <w:spacing w:line="600" w:lineRule="exact"/>
        <w:rPr>
          <w:rFonts w:eastAsia="方正小标宋简体"/>
          <w:sz w:val="32"/>
          <w:szCs w:val="32"/>
        </w:rPr>
      </w:pPr>
    </w:p>
    <w:p>
      <w:pPr>
        <w:widowControl/>
        <w:adjustRightInd w:val="0"/>
        <w:snapToGrid w:val="0"/>
        <w:spacing w:line="0" w:lineRule="atLeast"/>
        <w:ind w:firstLine="880" w:firstLineChars="200"/>
        <w:contextualSpacing/>
        <w:jc w:val="center"/>
        <w:rPr>
          <w:rFonts w:eastAsia="方正小标宋_GBK"/>
          <w:sz w:val="44"/>
          <w:szCs w:val="44"/>
          <w:shd w:val="clear" w:color="auto" w:fill="FFFFFF"/>
        </w:rPr>
      </w:pPr>
      <w:r>
        <w:rPr>
          <w:rFonts w:eastAsia="方正小标宋_GBK"/>
          <w:sz w:val="44"/>
          <w:szCs w:val="44"/>
          <w:shd w:val="clear" w:color="auto" w:fill="FFFFFF"/>
        </w:rPr>
        <w:t>攀枝花市医疗保障事务中心</w:t>
      </w:r>
    </w:p>
    <w:p>
      <w:pPr>
        <w:widowControl/>
        <w:adjustRightInd w:val="0"/>
        <w:snapToGrid w:val="0"/>
        <w:spacing w:line="0" w:lineRule="atLeast"/>
        <w:ind w:firstLine="880" w:firstLineChars="200"/>
        <w:contextualSpacing/>
        <w:jc w:val="center"/>
        <w:rPr>
          <w:rFonts w:eastAsia="方正小标宋_GBK"/>
          <w:color w:val="000000"/>
          <w:kern w:val="0"/>
          <w:sz w:val="44"/>
          <w:szCs w:val="44"/>
          <w:shd w:val="clear" w:color="auto" w:fill="FFFFFF"/>
          <w:lang w:val="zh-CN"/>
        </w:rPr>
      </w:pPr>
      <w:r>
        <w:rPr>
          <w:rFonts w:eastAsia="方正小标宋_GBK"/>
          <w:sz w:val="44"/>
          <w:szCs w:val="44"/>
          <w:shd w:val="clear" w:color="auto" w:fill="FFFFFF"/>
        </w:rPr>
        <w:t>医保定点医药机构监管经费项目</w:t>
      </w:r>
      <w:r>
        <w:rPr>
          <w:rFonts w:eastAsia="方正小标宋_GBK"/>
          <w:color w:val="000000"/>
          <w:kern w:val="0"/>
          <w:sz w:val="44"/>
          <w:szCs w:val="44"/>
          <w:shd w:val="clear" w:color="auto" w:fill="FFFFFF"/>
          <w:lang w:val="zh-CN"/>
        </w:rPr>
        <w:t>支出</w:t>
      </w:r>
    </w:p>
    <w:p>
      <w:pPr>
        <w:widowControl/>
        <w:adjustRightInd w:val="0"/>
        <w:snapToGrid w:val="0"/>
        <w:spacing w:line="0" w:lineRule="atLeast"/>
        <w:ind w:firstLine="880" w:firstLineChars="200"/>
        <w:contextualSpacing/>
        <w:jc w:val="center"/>
        <w:rPr>
          <w:rFonts w:eastAsia="仿宋_GB2312"/>
          <w:sz w:val="32"/>
          <w:szCs w:val="32"/>
          <w:lang w:val="zh-CN"/>
        </w:rPr>
      </w:pPr>
      <w:r>
        <w:rPr>
          <w:rFonts w:eastAsia="方正小标宋_GBK"/>
          <w:color w:val="000000"/>
          <w:kern w:val="0"/>
          <w:sz w:val="44"/>
          <w:szCs w:val="44"/>
          <w:shd w:val="clear" w:color="auto" w:fill="FFFFFF"/>
          <w:lang w:val="zh-CN"/>
        </w:rPr>
        <w:t>绩效自评报告</w:t>
      </w:r>
    </w:p>
    <w:p>
      <w:pPr>
        <w:spacing w:line="578" w:lineRule="exact"/>
        <w:ind w:firstLine="640" w:firstLineChars="200"/>
        <w:jc w:val="center"/>
        <w:rPr>
          <w:sz w:val="32"/>
          <w:szCs w:val="32"/>
          <w:lang w:val="zh-CN"/>
        </w:rPr>
      </w:pPr>
    </w:p>
    <w:p>
      <w:pPr>
        <w:adjustRightInd w:val="0"/>
        <w:snapToGrid w:val="0"/>
        <w:ind w:firstLine="640" w:firstLineChars="200"/>
        <w:rPr>
          <w:rFonts w:eastAsia="方正黑体_GBK"/>
          <w:sz w:val="32"/>
          <w:szCs w:val="32"/>
          <w:lang w:val="zh-CN"/>
        </w:rPr>
      </w:pPr>
      <w:r>
        <w:rPr>
          <w:rFonts w:eastAsia="方正黑体_GBK"/>
          <w:sz w:val="32"/>
          <w:szCs w:val="32"/>
        </w:rPr>
        <w:t>一、</w:t>
      </w:r>
      <w:r>
        <w:rPr>
          <w:rFonts w:eastAsia="方正黑体_GBK"/>
          <w:sz w:val="32"/>
          <w:szCs w:val="32"/>
          <w:lang w:val="zh-CN"/>
        </w:rPr>
        <w:t>项目概况</w:t>
      </w:r>
    </w:p>
    <w:p>
      <w:pPr>
        <w:adjustRightInd w:val="0"/>
        <w:snapToGrid w:val="0"/>
        <w:ind w:firstLine="643" w:firstLineChars="200"/>
        <w:rPr>
          <w:rFonts w:eastAsia="方正楷体_GBK"/>
          <w:b/>
          <w:bCs/>
          <w:sz w:val="32"/>
          <w:szCs w:val="32"/>
          <w:lang w:val="zh-CN"/>
        </w:rPr>
      </w:pPr>
      <w:r>
        <w:rPr>
          <w:rFonts w:eastAsia="方正楷体_GBK"/>
          <w:b/>
          <w:bCs/>
          <w:sz w:val="32"/>
          <w:szCs w:val="32"/>
          <w:lang w:val="zh-CN"/>
        </w:rPr>
        <w:t>（一）项目基本情况</w:t>
      </w:r>
    </w:p>
    <w:p>
      <w:pPr>
        <w:adjustRightInd w:val="0"/>
        <w:snapToGrid w:val="0"/>
        <w:ind w:firstLine="640" w:firstLineChars="200"/>
        <w:rPr>
          <w:rFonts w:eastAsia="方正仿宋_GBK"/>
          <w:sz w:val="32"/>
          <w:szCs w:val="32"/>
          <w:lang w:val="zh-CN"/>
        </w:rPr>
      </w:pPr>
      <w:r>
        <w:rPr>
          <w:rFonts w:eastAsia="方正仿宋_GBK"/>
          <w:sz w:val="32"/>
          <w:szCs w:val="32"/>
        </w:rPr>
        <w:t>1.</w:t>
      </w:r>
      <w:r>
        <w:rPr>
          <w:rFonts w:eastAsia="方正仿宋_GBK"/>
          <w:sz w:val="32"/>
          <w:szCs w:val="32"/>
          <w:lang w:val="zh-CN"/>
        </w:rPr>
        <w:t>项目主管部门（管理职能</w:t>
      </w:r>
    </w:p>
    <w:p>
      <w:pPr>
        <w:adjustRightInd w:val="0"/>
        <w:snapToGrid w:val="0"/>
        <w:ind w:firstLine="640" w:firstLineChars="200"/>
        <w:rPr>
          <w:rFonts w:eastAsia="方正仿宋_GBK"/>
          <w:sz w:val="32"/>
          <w:szCs w:val="32"/>
          <w:lang w:val="zh-CN"/>
        </w:rPr>
      </w:pPr>
      <w:r>
        <w:rPr>
          <w:rFonts w:eastAsia="方正仿宋_GBK"/>
          <w:sz w:val="32"/>
          <w:szCs w:val="32"/>
        </w:rPr>
        <w:t>本项目主管部门为市医保局，其下属的市医保事务中心具体负责项目实施。在该项目管理中，市医保局发挥统筹规划、政策制定与监督指导职能，确保医保基金监管稽核工作沿着正确方向推进，市医保事务中心则承担组织人员、落实任务、执行监管稽核行动等实际操作层面的工作，保障医保基金监管稽核各项举措落地见效。</w:t>
      </w:r>
    </w:p>
    <w:p>
      <w:pPr>
        <w:adjustRightInd w:val="0"/>
        <w:snapToGrid w:val="0"/>
        <w:ind w:firstLine="640" w:firstLineChars="200"/>
        <w:rPr>
          <w:rFonts w:eastAsia="方正仿宋_GBK"/>
          <w:sz w:val="32"/>
          <w:szCs w:val="32"/>
        </w:rPr>
      </w:pPr>
      <w:r>
        <w:rPr>
          <w:rFonts w:eastAsia="方正仿宋_GBK"/>
          <w:sz w:val="32"/>
          <w:szCs w:val="32"/>
          <w:lang w:val="zh-CN"/>
        </w:rPr>
        <w:t>2.项目立项、资金申报的依据。</w:t>
      </w:r>
    </w:p>
    <w:p>
      <w:pPr>
        <w:adjustRightInd w:val="0"/>
        <w:snapToGrid w:val="0"/>
        <w:ind w:firstLine="640" w:firstLineChars="200"/>
        <w:rPr>
          <w:rFonts w:eastAsia="方正仿宋_GBK"/>
          <w:sz w:val="32"/>
          <w:szCs w:val="32"/>
          <w:lang w:val="zh-CN"/>
        </w:rPr>
      </w:pPr>
      <w:r>
        <w:rPr>
          <w:rFonts w:eastAsia="方正仿宋_GBK"/>
          <w:sz w:val="32"/>
          <w:szCs w:val="32"/>
        </w:rPr>
        <w:t>为国家、省关于强化医保基金监管，打击欺诈骗保行为，维护医保基金安全的系列政策文件，以及本市医保基金运行实际情况与监管需求。资金申报依据市医保事务中心年度工作计划，结合过往监管稽核工作成本、人员经费需求及新增监管任务要求，按照财政预算编制规范流程进行申报。</w:t>
      </w:r>
    </w:p>
    <w:p>
      <w:pPr>
        <w:adjustRightInd w:val="0"/>
        <w:snapToGrid w:val="0"/>
        <w:ind w:firstLine="640" w:firstLineChars="200"/>
        <w:rPr>
          <w:rFonts w:eastAsia="方正仿宋_GBK"/>
          <w:sz w:val="32"/>
          <w:szCs w:val="32"/>
          <w:lang w:val="zh-CN"/>
        </w:rPr>
      </w:pPr>
      <w:r>
        <w:rPr>
          <w:rFonts w:eastAsia="方正仿宋_GBK"/>
          <w:sz w:val="32"/>
          <w:szCs w:val="32"/>
          <w:lang w:val="zh-CN"/>
        </w:rPr>
        <w:t>3</w:t>
      </w:r>
      <w:r>
        <w:rPr>
          <w:rFonts w:eastAsia="方正仿宋_GBK"/>
          <w:sz w:val="32"/>
          <w:szCs w:val="32"/>
        </w:rPr>
        <w:t>.</w:t>
      </w:r>
      <w:r>
        <w:rPr>
          <w:rFonts w:eastAsia="方正仿宋_GBK"/>
          <w:sz w:val="32"/>
          <w:szCs w:val="32"/>
          <w:lang w:val="zh-CN"/>
        </w:rPr>
        <w:t>资金管理办法制定情况，资金支持具体项目的条件、范围与支持方式概况。</w:t>
      </w:r>
    </w:p>
    <w:p>
      <w:pPr>
        <w:adjustRightInd w:val="0"/>
        <w:snapToGrid w:val="0"/>
        <w:ind w:firstLine="640" w:firstLineChars="200"/>
        <w:rPr>
          <w:rFonts w:eastAsia="方正仿宋_GBK"/>
          <w:sz w:val="32"/>
          <w:szCs w:val="32"/>
          <w:lang w:val="zh-CN"/>
        </w:rPr>
      </w:pPr>
      <w:r>
        <w:rPr>
          <w:rFonts w:eastAsia="方正仿宋_GBK"/>
          <w:sz w:val="32"/>
          <w:szCs w:val="32"/>
        </w:rPr>
        <w:t>资金管理办法依据市级财政专项资金管理办法制定，明确专款专用原则。资金支持具体项目的条件为围绕医保基金监管稽核核心任务，涵盖人员经费保障、专业服务采购、实地检查行动开展等；范围覆盖全市医保定点医药机构、参保人员就医行为核查等领域；支持方式以财政直接拨款为主，保障各项监管稽核活动所需经费及时足额到位。</w:t>
      </w:r>
    </w:p>
    <w:p>
      <w:pPr>
        <w:adjustRightInd w:val="0"/>
        <w:snapToGrid w:val="0"/>
        <w:ind w:firstLine="640" w:firstLineChars="200"/>
        <w:rPr>
          <w:rFonts w:eastAsia="方正仿宋_GBK"/>
          <w:sz w:val="32"/>
          <w:szCs w:val="32"/>
          <w:lang w:val="zh-CN"/>
        </w:rPr>
      </w:pPr>
      <w:r>
        <w:rPr>
          <w:rFonts w:eastAsia="方正仿宋_GBK"/>
          <w:sz w:val="32"/>
          <w:szCs w:val="32"/>
          <w:lang w:val="zh-CN"/>
        </w:rPr>
        <w:t>4.资金分配的原则及考虑因素。</w:t>
      </w:r>
    </w:p>
    <w:p>
      <w:pPr>
        <w:adjustRightInd w:val="0"/>
        <w:snapToGrid w:val="0"/>
        <w:ind w:firstLine="640" w:firstLineChars="200"/>
        <w:rPr>
          <w:rFonts w:eastAsia="方正仿宋_GBK"/>
          <w:sz w:val="32"/>
          <w:szCs w:val="32"/>
          <w:lang w:val="zh-CN"/>
        </w:rPr>
      </w:pPr>
      <w:r>
        <w:rPr>
          <w:rFonts w:eastAsia="方正仿宋_GBK"/>
          <w:sz w:val="32"/>
          <w:szCs w:val="32"/>
        </w:rPr>
        <w:t>资金分配原则综合考虑工作任务优先级、人员投入规模、检查覆盖广度与深度等因素。优先保障稽核工作人员基本工资、五险一金等基本待遇，确保人员队伍稳定；依据不同检查项目难度、工作量分配差旅费、资料费等专项经费；根据第三方专业公司服务内容、技术含量分配服务采购资金，以实现资金效益最大化，保障医保基金监管稽核工作全面、高效开展。</w:t>
      </w:r>
    </w:p>
    <w:p>
      <w:pPr>
        <w:adjustRightInd w:val="0"/>
        <w:snapToGrid w:val="0"/>
        <w:ind w:firstLine="643" w:firstLineChars="200"/>
        <w:rPr>
          <w:rFonts w:eastAsia="方正楷体_GBK"/>
          <w:b/>
          <w:bCs/>
          <w:sz w:val="32"/>
          <w:szCs w:val="32"/>
          <w:lang w:val="zh-CN"/>
        </w:rPr>
      </w:pPr>
      <w:r>
        <w:rPr>
          <w:rFonts w:eastAsia="方正楷体_GBK"/>
          <w:b/>
          <w:bCs/>
          <w:sz w:val="32"/>
          <w:szCs w:val="32"/>
          <w:lang w:val="zh-CN"/>
        </w:rPr>
        <w:t>（二）项目绩效目标</w:t>
      </w:r>
    </w:p>
    <w:p>
      <w:pPr>
        <w:adjustRightInd w:val="0"/>
        <w:snapToGrid w:val="0"/>
        <w:ind w:firstLine="640" w:firstLineChars="200"/>
        <w:rPr>
          <w:rFonts w:eastAsia="方正仿宋_GBK"/>
          <w:sz w:val="32"/>
          <w:szCs w:val="32"/>
          <w:lang w:val="zh-CN"/>
        </w:rPr>
      </w:pPr>
      <w:r>
        <w:rPr>
          <w:rFonts w:eastAsia="方正仿宋_GBK"/>
          <w:sz w:val="32"/>
          <w:szCs w:val="32"/>
          <w:lang w:val="zh-CN"/>
        </w:rPr>
        <w:t>1.项目主要内容。</w:t>
      </w:r>
    </w:p>
    <w:p>
      <w:pPr>
        <w:adjustRightInd w:val="0"/>
        <w:snapToGrid w:val="0"/>
        <w:ind w:firstLine="640" w:firstLineChars="200"/>
        <w:rPr>
          <w:rFonts w:eastAsia="方正仿宋_GBK"/>
          <w:sz w:val="32"/>
          <w:szCs w:val="32"/>
        </w:rPr>
      </w:pPr>
      <w:r>
        <w:rPr>
          <w:rFonts w:eastAsia="方正仿宋_GBK"/>
          <w:sz w:val="32"/>
          <w:szCs w:val="32"/>
        </w:rPr>
        <w:t>（1）用于保障稽核工作人员工资、社保缴费、公积金等支出。</w:t>
      </w:r>
    </w:p>
    <w:p>
      <w:pPr>
        <w:adjustRightInd w:val="0"/>
        <w:snapToGrid w:val="0"/>
        <w:ind w:firstLine="640" w:firstLineChars="200"/>
        <w:rPr>
          <w:rFonts w:eastAsia="方正仿宋_GBK"/>
          <w:sz w:val="32"/>
          <w:szCs w:val="32"/>
        </w:rPr>
      </w:pPr>
      <w:r>
        <w:rPr>
          <w:rFonts w:eastAsia="方正仿宋_GBK"/>
          <w:sz w:val="32"/>
          <w:szCs w:val="32"/>
        </w:rPr>
        <w:t>（2）在参保方面要加大宣传力度，提升参保率，实现全民参保。</w:t>
      </w:r>
    </w:p>
    <w:p>
      <w:pPr>
        <w:adjustRightInd w:val="0"/>
        <w:snapToGrid w:val="0"/>
        <w:ind w:firstLine="640" w:firstLineChars="200"/>
        <w:rPr>
          <w:rFonts w:eastAsia="方正仿宋_GBK"/>
          <w:sz w:val="32"/>
          <w:szCs w:val="32"/>
        </w:rPr>
      </w:pPr>
      <w:r>
        <w:rPr>
          <w:rFonts w:eastAsia="方正仿宋_GBK"/>
          <w:sz w:val="32"/>
          <w:szCs w:val="32"/>
        </w:rPr>
        <w:t>（3）按一定比例抽查全市所有定点医疗机构上一年度住院病例的完整病案纸质资料和费用明细。</w:t>
      </w:r>
    </w:p>
    <w:p>
      <w:pPr>
        <w:adjustRightInd w:val="0"/>
        <w:snapToGrid w:val="0"/>
        <w:ind w:firstLine="640" w:firstLineChars="200"/>
        <w:rPr>
          <w:rFonts w:eastAsia="方正仿宋_GBK"/>
          <w:sz w:val="32"/>
          <w:szCs w:val="32"/>
        </w:rPr>
      </w:pPr>
      <w:r>
        <w:rPr>
          <w:rFonts w:eastAsia="方正仿宋_GBK"/>
          <w:sz w:val="32"/>
          <w:szCs w:val="32"/>
        </w:rPr>
        <w:t>（4）不断提升市医保经办机构医保基金监管水平，坚决维护医保基金安全可持续发展。</w:t>
      </w:r>
    </w:p>
    <w:p>
      <w:pPr>
        <w:adjustRightInd w:val="0"/>
        <w:snapToGrid w:val="0"/>
        <w:ind w:firstLine="640" w:firstLineChars="200"/>
        <w:rPr>
          <w:rFonts w:eastAsia="方正仿宋_GBK"/>
          <w:sz w:val="32"/>
          <w:szCs w:val="32"/>
          <w:lang w:val="zh-CN"/>
        </w:rPr>
      </w:pPr>
      <w:r>
        <w:rPr>
          <w:rFonts w:eastAsia="方正仿宋_GBK"/>
          <w:sz w:val="32"/>
          <w:szCs w:val="32"/>
        </w:rPr>
        <w:t>（5）让全市参保群众懂得了人人参保、按时续保的重要意义，也对医保政策有了更深入全面的了解，在以后的生活中，能更好地从此项关乎自己切身利益的惠民政策中受益。同时，通过宣传，让医保机构、医疗机构、药店、用人单位和参保人员等医疗保障参与方在参保、就医、服务等方式遵守法律法规，提升医疗保障的社会影响力。</w:t>
      </w:r>
    </w:p>
    <w:p>
      <w:pPr>
        <w:adjustRightInd w:val="0"/>
        <w:snapToGrid w:val="0"/>
        <w:ind w:firstLine="640" w:firstLineChars="200"/>
        <w:rPr>
          <w:rFonts w:eastAsia="方正仿宋_GBK"/>
          <w:sz w:val="32"/>
          <w:szCs w:val="32"/>
          <w:lang w:val="zh-CN"/>
        </w:rPr>
      </w:pPr>
      <w:r>
        <w:rPr>
          <w:rFonts w:eastAsia="方正仿宋_GBK"/>
          <w:sz w:val="32"/>
          <w:szCs w:val="32"/>
          <w:lang w:val="zh-CN"/>
        </w:rPr>
        <w:t>2.项目应实现的具体绩效目标，包括目标的量化、细化情况以及项目实施进度计划等。</w:t>
      </w:r>
    </w:p>
    <w:p>
      <w:pPr>
        <w:adjustRightInd w:val="0"/>
        <w:snapToGrid w:val="0"/>
        <w:ind w:firstLine="640" w:firstLineChars="200"/>
        <w:rPr>
          <w:rFonts w:eastAsia="方正仿宋_GBK"/>
          <w:sz w:val="32"/>
          <w:szCs w:val="32"/>
        </w:rPr>
      </w:pPr>
      <w:r>
        <w:rPr>
          <w:rFonts w:eastAsia="方正仿宋_GBK"/>
          <w:sz w:val="32"/>
          <w:szCs w:val="32"/>
        </w:rPr>
        <w:t>截至2025年12月31日，实现基金监管人员力量提升；加大宣传力度，提升参保率，实现全民参保，让医保机构、医疗机构、药店、用人单位和参保人员等医疗保障参与方在参保、就医、服务等方式遵守法律法规，提升医疗保障的社会影响力；按一定比例抽查全市所有定点医疗机构上一年度住院病例的完整病案纸质资料和费用明细。</w:t>
      </w:r>
    </w:p>
    <w:p>
      <w:pPr>
        <w:adjustRightInd w:val="0"/>
        <w:snapToGrid w:val="0"/>
        <w:ind w:firstLine="640" w:firstLineChars="200"/>
        <w:rPr>
          <w:rFonts w:eastAsia="方正仿宋_GBK"/>
          <w:sz w:val="32"/>
          <w:szCs w:val="32"/>
          <w:lang w:val="zh-CN"/>
        </w:rPr>
      </w:pPr>
      <w:r>
        <w:rPr>
          <w:rFonts w:eastAsia="方正仿宋_GBK"/>
          <w:sz w:val="32"/>
          <w:szCs w:val="32"/>
          <w:lang w:val="zh-CN"/>
        </w:rPr>
        <w:t>3.分析评价申报内容是否与实际相符，申报目标是否合理可行。</w:t>
      </w:r>
    </w:p>
    <w:p>
      <w:pPr>
        <w:adjustRightInd w:val="0"/>
        <w:snapToGrid w:val="0"/>
        <w:ind w:firstLine="640" w:firstLineChars="200"/>
        <w:rPr>
          <w:rFonts w:eastAsia="方正仿宋_GBK"/>
          <w:sz w:val="32"/>
          <w:szCs w:val="32"/>
          <w:lang w:val="zh-CN"/>
        </w:rPr>
      </w:pPr>
      <w:r>
        <w:rPr>
          <w:rFonts w:eastAsia="方正仿宋_GBK"/>
          <w:sz w:val="32"/>
          <w:szCs w:val="32"/>
        </w:rPr>
        <w:t>市医保事务中心紧密结合本市医保工作实际，依据政策要求与基金监管形势制定绩效目标，申报内容如实反映工作需求，各项指标经充分论证，具备现实可行性，与本市医保事业发展阶段相适应，能够通过努力达成预期效果，切实保障医保基金安全、高效运行。</w:t>
      </w:r>
    </w:p>
    <w:p>
      <w:pPr>
        <w:adjustRightInd w:val="0"/>
        <w:snapToGrid w:val="0"/>
        <w:ind w:firstLine="643" w:firstLineChars="200"/>
        <w:rPr>
          <w:rFonts w:eastAsia="方正楷体_GBK"/>
          <w:b/>
          <w:bCs/>
          <w:sz w:val="32"/>
          <w:szCs w:val="32"/>
          <w:lang w:val="zh-CN"/>
        </w:rPr>
      </w:pPr>
      <w:r>
        <w:rPr>
          <w:rFonts w:eastAsia="方正楷体_GBK"/>
          <w:b/>
          <w:bCs/>
          <w:sz w:val="32"/>
          <w:szCs w:val="32"/>
          <w:lang w:val="zh-CN"/>
        </w:rPr>
        <w:t>（三）项目自评步骤及方法</w:t>
      </w:r>
    </w:p>
    <w:p>
      <w:pPr>
        <w:adjustRightInd w:val="0"/>
        <w:snapToGrid w:val="0"/>
        <w:ind w:firstLine="640" w:firstLineChars="200"/>
        <w:rPr>
          <w:rFonts w:eastAsia="方正仿宋_GBK"/>
          <w:sz w:val="32"/>
          <w:szCs w:val="32"/>
          <w:lang w:val="zh-CN"/>
        </w:rPr>
      </w:pPr>
      <w:r>
        <w:rPr>
          <w:rFonts w:eastAsia="方正仿宋_GBK"/>
          <w:sz w:val="32"/>
          <w:szCs w:val="32"/>
        </w:rPr>
        <w:t>该项目由市医保事务中心稽核科牵头，各业务科室积极配合，明确职责分工，根据项目绩效目标和指标体系，逐项开展自评工作。</w:t>
      </w:r>
    </w:p>
    <w:p>
      <w:pPr>
        <w:adjustRightInd w:val="0"/>
        <w:snapToGrid w:val="0"/>
        <w:ind w:firstLine="640" w:firstLineChars="200"/>
        <w:rPr>
          <w:rFonts w:eastAsia="方正黑体_GBK"/>
          <w:sz w:val="32"/>
          <w:szCs w:val="32"/>
        </w:rPr>
      </w:pPr>
      <w:r>
        <w:rPr>
          <w:rFonts w:eastAsia="方正黑体_GBK"/>
          <w:sz w:val="32"/>
          <w:szCs w:val="32"/>
        </w:rPr>
        <w:t>二、项目资金申报及使用情况</w:t>
      </w:r>
    </w:p>
    <w:p>
      <w:pPr>
        <w:adjustRightInd w:val="0"/>
        <w:snapToGrid w:val="0"/>
        <w:ind w:firstLine="643" w:firstLineChars="200"/>
        <w:rPr>
          <w:rFonts w:eastAsia="方正楷体_GBK"/>
          <w:b/>
          <w:bCs/>
          <w:sz w:val="32"/>
          <w:szCs w:val="32"/>
          <w:lang w:val="zh-CN"/>
        </w:rPr>
      </w:pPr>
      <w:r>
        <w:rPr>
          <w:rFonts w:eastAsia="方正楷体_GBK"/>
          <w:b/>
          <w:bCs/>
          <w:sz w:val="32"/>
          <w:szCs w:val="32"/>
          <w:lang w:val="zh-CN"/>
        </w:rPr>
        <w:t>（一）项目资金申报及批复情况</w:t>
      </w:r>
    </w:p>
    <w:p>
      <w:pPr>
        <w:adjustRightInd w:val="0"/>
        <w:snapToGrid w:val="0"/>
        <w:ind w:firstLine="640" w:firstLineChars="200"/>
        <w:rPr>
          <w:rFonts w:eastAsia="方正仿宋_GBK"/>
          <w:sz w:val="32"/>
          <w:szCs w:val="32"/>
          <w:lang w:val="zh-CN"/>
        </w:rPr>
      </w:pPr>
      <w:r>
        <w:rPr>
          <w:rFonts w:eastAsia="方正仿宋_GBK"/>
          <w:sz w:val="32"/>
          <w:szCs w:val="32"/>
        </w:rPr>
        <w:t>“医保定点医药机构监管经费”作为市医保事务中心重点项目，于2025年年初依据详细的项目计划书、经费预算明细在部门预算中申报，经财政部门严格审核、多轮沟通反馈后，年中正式批复下达资金73万元，全部为调整（追加）预算。整个申报批复流程严格遵循市级财政预算管理办法，从项目必要性论证、预算合理性审核到最终资金下达，各环节规范透明，确保资金精准投向医保基金监管关键领域。</w:t>
      </w:r>
    </w:p>
    <w:p>
      <w:pPr>
        <w:adjustRightInd w:val="0"/>
        <w:snapToGrid w:val="0"/>
        <w:ind w:firstLine="643" w:firstLineChars="200"/>
        <w:rPr>
          <w:rFonts w:eastAsia="方正楷体_GBK"/>
          <w:b/>
          <w:bCs/>
          <w:sz w:val="32"/>
          <w:szCs w:val="32"/>
          <w:lang w:val="zh-CN"/>
        </w:rPr>
      </w:pPr>
      <w:r>
        <w:rPr>
          <w:rFonts w:eastAsia="方正楷体_GBK"/>
          <w:b/>
          <w:bCs/>
          <w:sz w:val="32"/>
          <w:szCs w:val="32"/>
          <w:lang w:val="zh-CN"/>
        </w:rPr>
        <w:t>（二）资金计划、到位及使用情况</w:t>
      </w:r>
    </w:p>
    <w:p>
      <w:pPr>
        <w:adjustRightInd w:val="0"/>
        <w:snapToGrid w:val="0"/>
        <w:ind w:firstLine="640" w:firstLineChars="200"/>
        <w:rPr>
          <w:rFonts w:eastAsia="方正仿宋_GBK"/>
          <w:sz w:val="32"/>
          <w:szCs w:val="32"/>
        </w:rPr>
      </w:pPr>
      <w:r>
        <w:rPr>
          <w:rFonts w:eastAsia="方正仿宋_GBK"/>
          <w:sz w:val="32"/>
          <w:szCs w:val="32"/>
        </w:rPr>
        <w:t>1.</w:t>
      </w:r>
      <w:r>
        <w:rPr>
          <w:rFonts w:eastAsia="方正仿宋_GBK"/>
          <w:sz w:val="32"/>
          <w:szCs w:val="32"/>
          <w:lang w:val="zh-CN"/>
        </w:rPr>
        <w:t>资金计划。</w:t>
      </w:r>
      <w:r>
        <w:rPr>
          <w:rFonts w:eastAsia="方正仿宋_GBK"/>
          <w:sz w:val="32"/>
          <w:szCs w:val="32"/>
        </w:rPr>
        <w:t>此项目资金需金73万元，单一资金来源为市财政拨款，精准聚焦医保定点医药机构监管核心任务，保障人员经费、检查行动、宣传推广等关键环节资金需求。</w:t>
      </w:r>
    </w:p>
    <w:p>
      <w:pPr>
        <w:adjustRightInd w:val="0"/>
        <w:snapToGrid w:val="0"/>
        <w:ind w:firstLine="640" w:firstLineChars="200"/>
        <w:rPr>
          <w:rFonts w:eastAsia="方正仿宋_GBK"/>
          <w:sz w:val="32"/>
          <w:szCs w:val="32"/>
          <w:lang w:val="zh-CN"/>
        </w:rPr>
      </w:pPr>
      <w:r>
        <w:rPr>
          <w:rFonts w:eastAsia="方正仿宋_GBK"/>
          <w:sz w:val="32"/>
          <w:szCs w:val="32"/>
        </w:rPr>
        <w:t>2.</w:t>
      </w:r>
      <w:r>
        <w:rPr>
          <w:rFonts w:eastAsia="方正仿宋_GBK"/>
          <w:sz w:val="32"/>
          <w:szCs w:val="32"/>
          <w:lang w:val="zh-CN"/>
        </w:rPr>
        <w:t>资金到位。</w:t>
      </w:r>
      <w:r>
        <w:rPr>
          <w:rFonts w:eastAsia="方正仿宋_GBK"/>
          <w:sz w:val="32"/>
          <w:szCs w:val="32"/>
        </w:rPr>
        <w:t>截至</w:t>
      </w:r>
      <w:r>
        <w:rPr>
          <w:rFonts w:eastAsia="方正仿宋_GBK"/>
          <w:sz w:val="32"/>
          <w:szCs w:val="32"/>
          <w:lang w:val="zh-CN"/>
        </w:rPr>
        <w:t>评价时点评价时点</w:t>
      </w:r>
      <w:r>
        <w:rPr>
          <w:rFonts w:eastAsia="方正仿宋_GBK"/>
          <w:sz w:val="32"/>
          <w:szCs w:val="32"/>
        </w:rPr>
        <w:t>，市财政73万元资金全额按时到位，无延迟、无截留，为项目顺利实施提供坚实资金保障，资金到位率达100%，充分彰显财政部门对医保基金监管工作的重视与支持。</w:t>
      </w:r>
    </w:p>
    <w:p>
      <w:pPr>
        <w:adjustRightInd w:val="0"/>
        <w:snapToGrid w:val="0"/>
        <w:ind w:firstLine="640" w:firstLineChars="200"/>
        <w:rPr>
          <w:rFonts w:eastAsia="方正仿宋_GBK"/>
          <w:sz w:val="32"/>
          <w:szCs w:val="32"/>
          <w:lang w:val="zh-CN"/>
        </w:rPr>
      </w:pPr>
      <w:r>
        <w:rPr>
          <w:rFonts w:eastAsia="方正仿宋_GBK"/>
          <w:sz w:val="32"/>
          <w:szCs w:val="32"/>
        </w:rPr>
        <w:t>3.</w:t>
      </w:r>
      <w:r>
        <w:rPr>
          <w:rFonts w:eastAsia="方正仿宋_GBK"/>
          <w:sz w:val="32"/>
          <w:szCs w:val="32"/>
          <w:lang w:val="zh-CN"/>
        </w:rPr>
        <w:t>资金使用。</w:t>
      </w:r>
      <w:r>
        <w:rPr>
          <w:rFonts w:eastAsia="方正仿宋_GBK"/>
          <w:sz w:val="32"/>
          <w:szCs w:val="32"/>
        </w:rPr>
        <w:t>截至</w:t>
      </w:r>
      <w:r>
        <w:rPr>
          <w:rFonts w:eastAsia="方正仿宋_GBK"/>
          <w:sz w:val="32"/>
          <w:szCs w:val="32"/>
          <w:lang w:val="zh-CN"/>
        </w:rPr>
        <w:t>评价时点</w:t>
      </w:r>
      <w:r>
        <w:rPr>
          <w:rFonts w:eastAsia="方正仿宋_GBK"/>
          <w:sz w:val="32"/>
          <w:szCs w:val="32"/>
        </w:rPr>
        <w:t>，该项目资金已支付使用资金73万元，主要用于保障稽核工作人员工资、社保缴费、公积金等支出；宣传费；差旅费；按一定比例抽查全市所有定点医疗机构上一年度住院病例的完整病案纸质资料费用；补充人员经费，会议培训、政策宣传及办公场所基础设备维修等医保日常运转支出。此项目资金到位后，市医保事务中心严格按财经纪律、财务管理等相关规定，严格审核各项支出，及时支付，专款专用，资金支付完成100%。</w:t>
      </w:r>
    </w:p>
    <w:p>
      <w:pPr>
        <w:adjustRightInd w:val="0"/>
        <w:snapToGrid w:val="0"/>
        <w:ind w:firstLine="643" w:firstLineChars="200"/>
        <w:rPr>
          <w:rFonts w:eastAsia="方正楷体_GBK"/>
          <w:b/>
          <w:bCs/>
          <w:sz w:val="32"/>
          <w:szCs w:val="32"/>
          <w:lang w:val="zh-CN"/>
        </w:rPr>
      </w:pPr>
      <w:r>
        <w:rPr>
          <w:rFonts w:eastAsia="方正楷体_GBK"/>
          <w:b/>
          <w:bCs/>
          <w:sz w:val="32"/>
          <w:szCs w:val="32"/>
          <w:lang w:val="zh-CN"/>
        </w:rPr>
        <w:t>（三）项目财务管理情况</w:t>
      </w:r>
    </w:p>
    <w:p>
      <w:pPr>
        <w:adjustRightInd w:val="0"/>
        <w:snapToGrid w:val="0"/>
        <w:ind w:firstLine="640" w:firstLineChars="200"/>
        <w:rPr>
          <w:rFonts w:eastAsia="方正仿宋_GBK"/>
          <w:sz w:val="32"/>
          <w:szCs w:val="32"/>
          <w:lang w:val="zh-CN"/>
        </w:rPr>
      </w:pPr>
      <w:r>
        <w:rPr>
          <w:rFonts w:eastAsia="方正仿宋_GBK"/>
          <w:sz w:val="32"/>
          <w:szCs w:val="32"/>
        </w:rPr>
        <w:t>“医保定点医药机构监管经费”项目资金合规使用。所有支出严格按照财政资金管理规定，做到资金使用有计划、审批有手续、支出合理规范，并及时进行账务处理和会计核算，按财政要求及时编制和公开项目资金绩效目标。</w:t>
      </w:r>
    </w:p>
    <w:p>
      <w:pPr>
        <w:adjustRightInd w:val="0"/>
        <w:snapToGrid w:val="0"/>
        <w:ind w:firstLine="640" w:firstLineChars="200"/>
        <w:rPr>
          <w:rFonts w:eastAsia="方正黑体_GBK"/>
          <w:sz w:val="32"/>
          <w:szCs w:val="32"/>
        </w:rPr>
      </w:pPr>
      <w:r>
        <w:rPr>
          <w:rFonts w:eastAsia="方正黑体_GBK"/>
          <w:sz w:val="32"/>
          <w:szCs w:val="32"/>
        </w:rPr>
        <w:t>三、项目实施及管理情况</w:t>
      </w:r>
    </w:p>
    <w:p>
      <w:pPr>
        <w:adjustRightInd w:val="0"/>
        <w:snapToGrid w:val="0"/>
        <w:ind w:firstLine="643" w:firstLineChars="200"/>
        <w:rPr>
          <w:rFonts w:eastAsia="方正楷体_GBK"/>
          <w:b/>
          <w:bCs/>
          <w:sz w:val="32"/>
          <w:szCs w:val="32"/>
        </w:rPr>
      </w:pPr>
      <w:r>
        <w:rPr>
          <w:rFonts w:eastAsia="方正楷体_GBK"/>
          <w:b/>
          <w:bCs/>
          <w:sz w:val="32"/>
          <w:szCs w:val="32"/>
          <w:lang w:val="zh-CN"/>
        </w:rPr>
        <w:t>（一）项目组织架构及实施流程</w:t>
      </w:r>
    </w:p>
    <w:p>
      <w:pPr>
        <w:adjustRightInd w:val="0"/>
        <w:snapToGrid w:val="0"/>
        <w:ind w:firstLine="640" w:firstLineChars="200"/>
        <w:rPr>
          <w:rFonts w:eastAsia="方正仿宋_GBK"/>
          <w:sz w:val="32"/>
          <w:szCs w:val="32"/>
        </w:rPr>
      </w:pPr>
      <w:r>
        <w:rPr>
          <w:rFonts w:eastAsia="方正仿宋_GBK"/>
          <w:sz w:val="32"/>
          <w:szCs w:val="32"/>
        </w:rPr>
        <w:t>1.组织架构：市医保局成立医保基金监管工作领导小组，负责统筹协调全市医保基金监管重大事项；市医保事务中心稽核科作为执行主体，具体负责稽核工作人员调配、检查任务安排、第三方机构对接等工作；办公室负责财务管理、后勤保障、绩效评价等综合支撑工作，各科室协同联动，形成严密组织体系。</w:t>
      </w:r>
    </w:p>
    <w:p>
      <w:pPr>
        <w:adjustRightInd w:val="0"/>
        <w:snapToGrid w:val="0"/>
        <w:ind w:firstLine="640" w:firstLineChars="200"/>
        <w:rPr>
          <w:rFonts w:eastAsia="方正仿宋_GBK"/>
          <w:sz w:val="32"/>
          <w:szCs w:val="32"/>
        </w:rPr>
      </w:pPr>
      <w:r>
        <w:rPr>
          <w:rFonts w:eastAsia="方正仿宋_GBK"/>
          <w:sz w:val="32"/>
          <w:szCs w:val="32"/>
        </w:rPr>
        <w:t>2.实施流程：</w:t>
      </w:r>
    </w:p>
    <w:p>
      <w:pPr>
        <w:adjustRightInd w:val="0"/>
        <w:snapToGrid w:val="0"/>
        <w:ind w:firstLine="640" w:firstLineChars="200"/>
        <w:rPr>
          <w:rFonts w:eastAsia="方正仿宋_GBK"/>
          <w:sz w:val="32"/>
          <w:szCs w:val="32"/>
        </w:rPr>
      </w:pPr>
      <w:r>
        <w:rPr>
          <w:rFonts w:eastAsia="方正仿宋_GBK"/>
          <w:sz w:val="32"/>
          <w:szCs w:val="32"/>
        </w:rPr>
        <w:t>前期规划：年初依据政策要求、基金运行数据制定年度监管稽核计划，明确检查重点、人员分工、时间节点，同步编制项目预算与绩效目标，报经批准后实施。</w:t>
      </w:r>
    </w:p>
    <w:p>
      <w:pPr>
        <w:adjustRightInd w:val="0"/>
        <w:snapToGrid w:val="0"/>
        <w:ind w:firstLine="640" w:firstLineChars="200"/>
        <w:rPr>
          <w:rFonts w:eastAsia="方正仿宋_GBK"/>
          <w:sz w:val="32"/>
          <w:szCs w:val="32"/>
        </w:rPr>
      </w:pPr>
      <w:r>
        <w:rPr>
          <w:rFonts w:eastAsia="方正仿宋_GBK"/>
          <w:sz w:val="32"/>
          <w:szCs w:val="32"/>
        </w:rPr>
        <w:t>任务执行：按计划组织稽核工作人员开展日常巡查、专项检查、飞行检查，委托第三方专业公司开展数据分析、病案审查；依据参保扩面任务，策划宣传活动，多渠道推广医保政策；及时收集整理检查资料、宣传反馈，为后续决策提供依据。</w:t>
      </w:r>
    </w:p>
    <w:p>
      <w:pPr>
        <w:adjustRightInd w:val="0"/>
        <w:snapToGrid w:val="0"/>
        <w:ind w:firstLine="640" w:firstLineChars="200"/>
        <w:rPr>
          <w:rFonts w:eastAsia="方正仿宋_GBK"/>
          <w:sz w:val="32"/>
          <w:szCs w:val="32"/>
          <w:lang w:val="zh-CN"/>
        </w:rPr>
      </w:pPr>
      <w:r>
        <w:rPr>
          <w:rFonts w:eastAsia="方正仿宋_GBK"/>
          <w:sz w:val="32"/>
          <w:szCs w:val="32"/>
        </w:rPr>
        <w:t>收尾总结：年末全面总结监管稽核成果，统计违规案例、追回基金金额，评估宣传效果、人员绩效，完成资金结算支付，编制项目绩效自评报告，为下一年度工作积累经验。</w:t>
      </w:r>
    </w:p>
    <w:p>
      <w:pPr>
        <w:adjustRightInd w:val="0"/>
        <w:snapToGrid w:val="0"/>
        <w:ind w:firstLine="643" w:firstLineChars="200"/>
        <w:rPr>
          <w:rFonts w:eastAsia="方正楷体_GBK"/>
          <w:b/>
          <w:bCs/>
          <w:sz w:val="32"/>
          <w:szCs w:val="32"/>
          <w:lang w:val="zh-CN"/>
        </w:rPr>
      </w:pPr>
      <w:r>
        <w:rPr>
          <w:rFonts w:eastAsia="方正楷体_GBK"/>
          <w:b/>
          <w:bCs/>
          <w:sz w:val="32"/>
          <w:szCs w:val="32"/>
          <w:lang w:val="zh-CN"/>
        </w:rPr>
        <w:t>（二）项目管理情况</w:t>
      </w:r>
    </w:p>
    <w:p>
      <w:pPr>
        <w:adjustRightInd w:val="0"/>
        <w:snapToGrid w:val="0"/>
        <w:ind w:firstLine="640" w:firstLineChars="200"/>
        <w:rPr>
          <w:rFonts w:eastAsia="方正仿宋_GBK"/>
          <w:sz w:val="32"/>
          <w:szCs w:val="32"/>
        </w:rPr>
      </w:pPr>
      <w:r>
        <w:rPr>
          <w:rFonts w:eastAsia="方正仿宋_GBK"/>
          <w:sz w:val="32"/>
          <w:szCs w:val="32"/>
        </w:rPr>
        <w:t>1.严格执行招投标与政府采购规定：涉及第三方专业服务采购，如大数据分析、会计师事务所审计服务，严格按照政府采购流程，发布招标公告、组织评标、签订合同，确保采购过程公平公正、服务优质优价。</w:t>
      </w:r>
    </w:p>
    <w:p>
      <w:pPr>
        <w:adjustRightInd w:val="0"/>
        <w:snapToGrid w:val="0"/>
        <w:ind w:firstLine="640" w:firstLineChars="200"/>
        <w:rPr>
          <w:rFonts w:eastAsia="方正仿宋_GBK"/>
          <w:sz w:val="32"/>
          <w:szCs w:val="32"/>
        </w:rPr>
      </w:pPr>
      <w:r>
        <w:rPr>
          <w:rFonts w:eastAsia="方正仿宋_GBK"/>
          <w:sz w:val="32"/>
          <w:szCs w:val="32"/>
        </w:rPr>
        <w:t>2.落实项目公示制：在医保定点医药机构显著位置公示检查计划、违规处理结果，接受社会监督；在</w:t>
      </w:r>
      <w:r>
        <w:rPr>
          <w:rFonts w:hint="eastAsia" w:eastAsia="方正仿宋_GBK"/>
          <w:sz w:val="32"/>
          <w:szCs w:val="32"/>
        </w:rPr>
        <w:t>部门</w:t>
      </w:r>
      <w:r>
        <w:rPr>
          <w:rFonts w:eastAsia="方正仿宋_GBK"/>
          <w:sz w:val="32"/>
          <w:szCs w:val="32"/>
        </w:rPr>
        <w:t>内部公示项目预算、资金使用、绩效目标完成情况，保障干部职工知情权、参与权，以公示促规范，提升项目管理透明度。</w:t>
      </w:r>
    </w:p>
    <w:p>
      <w:pPr>
        <w:adjustRightInd w:val="0"/>
        <w:snapToGrid w:val="0"/>
        <w:ind w:firstLine="640" w:firstLineChars="200"/>
        <w:rPr>
          <w:rFonts w:eastAsia="方正仿宋_GBK"/>
          <w:sz w:val="32"/>
          <w:szCs w:val="32"/>
          <w:lang w:val="zh-CN"/>
        </w:rPr>
      </w:pPr>
      <w:r>
        <w:rPr>
          <w:rFonts w:eastAsia="方正仿宋_GBK"/>
          <w:sz w:val="32"/>
          <w:szCs w:val="32"/>
        </w:rPr>
        <w:t>3.遵守法律法规：整个项目实施过程严格遵循《社会保险法》《医疗保障基金使用监督管理条例》等法律法规，依法依规开展检查、处理违规行为，保障参保人员合法权益，维护医保基金安全运行。</w:t>
      </w:r>
    </w:p>
    <w:p>
      <w:pPr>
        <w:adjustRightInd w:val="0"/>
        <w:snapToGrid w:val="0"/>
        <w:ind w:firstLine="643" w:firstLineChars="200"/>
        <w:rPr>
          <w:rFonts w:eastAsia="方正楷体_GBK"/>
          <w:b/>
          <w:bCs/>
          <w:sz w:val="32"/>
          <w:szCs w:val="32"/>
          <w:lang w:val="zh-CN"/>
        </w:rPr>
      </w:pPr>
      <w:r>
        <w:rPr>
          <w:rFonts w:eastAsia="方正楷体_GBK"/>
          <w:b/>
          <w:bCs/>
          <w:sz w:val="32"/>
          <w:szCs w:val="32"/>
          <w:lang w:val="zh-CN"/>
        </w:rPr>
        <w:t>（三）项目监管情况</w:t>
      </w:r>
    </w:p>
    <w:p>
      <w:pPr>
        <w:adjustRightInd w:val="0"/>
        <w:snapToGrid w:val="0"/>
        <w:ind w:firstLine="640" w:firstLineChars="200"/>
        <w:rPr>
          <w:rFonts w:eastAsia="方正仿宋_GBK"/>
          <w:sz w:val="32"/>
          <w:szCs w:val="32"/>
        </w:rPr>
      </w:pPr>
      <w:r>
        <w:rPr>
          <w:rFonts w:eastAsia="方正仿宋_GBK"/>
          <w:sz w:val="32"/>
          <w:szCs w:val="32"/>
        </w:rPr>
        <w:t>1.监管手段：通过智能审核系统对定点医药机构结算数据进行“事后审核”，实现审核全覆盖；建立举报投诉制度，畅通群众监督渠道，对举报线索查实必奖；实施内部审计监督，定期审查资金使用、项目执行合规性，多维度防控风险。</w:t>
      </w:r>
    </w:p>
    <w:p>
      <w:pPr>
        <w:adjustRightInd w:val="0"/>
        <w:snapToGrid w:val="0"/>
        <w:ind w:firstLine="640" w:firstLineChars="200"/>
        <w:rPr>
          <w:rFonts w:eastAsia="方正仿宋_GBK"/>
          <w:sz w:val="32"/>
          <w:szCs w:val="32"/>
        </w:rPr>
      </w:pPr>
      <w:r>
        <w:rPr>
          <w:rFonts w:eastAsia="方正仿宋_GBK"/>
          <w:sz w:val="32"/>
          <w:szCs w:val="32"/>
        </w:rPr>
        <w:t>2.监管程序：制定稽核检查经办规程，明确检查流程、标准、文书格式；检查前抽取检查人员、下达检查通知；检查中依规收集证据、制作笔录；检查后集体审议、出具处理意见、跟踪整改落实，确保监管程序严谨规范。</w:t>
      </w:r>
    </w:p>
    <w:p>
      <w:pPr>
        <w:adjustRightInd w:val="0"/>
        <w:snapToGrid w:val="0"/>
        <w:ind w:firstLine="640" w:firstLineChars="200"/>
        <w:rPr>
          <w:rFonts w:eastAsia="方正仿宋_GBK"/>
          <w:sz w:val="32"/>
          <w:szCs w:val="32"/>
          <w:lang w:val="zh-CN"/>
        </w:rPr>
      </w:pPr>
      <w:r>
        <w:rPr>
          <w:rFonts w:eastAsia="方正仿宋_GBK"/>
          <w:sz w:val="32"/>
          <w:szCs w:val="32"/>
        </w:rPr>
        <w:t>3.监管成效：指导医药机构开展自查，</w:t>
      </w:r>
      <w:r>
        <w:rPr>
          <w:rFonts w:eastAsia="方正仿宋_GBK"/>
          <w:kern w:val="0"/>
          <w:sz w:val="32"/>
          <w:szCs w:val="32"/>
        </w:rPr>
        <w:t>截至2025年12月底，</w:t>
      </w:r>
      <w:r>
        <w:rPr>
          <w:rFonts w:eastAsia="方正仿宋_GBK"/>
          <w:sz w:val="32"/>
          <w:szCs w:val="32"/>
        </w:rPr>
        <w:t>完成对市本级14家定点医药机构开展各类检查共计48家次，首次引入第三方机构稽核和大数据筛查技术开展监管工作，</w:t>
      </w:r>
      <w:r>
        <w:rPr>
          <w:rFonts w:eastAsia="方正仿宋_GBK"/>
          <w:kern w:val="0"/>
          <w:sz w:val="32"/>
          <w:szCs w:val="32"/>
        </w:rPr>
        <w:t>截至2025年12月底，</w:t>
      </w:r>
      <w:r>
        <w:rPr>
          <w:rFonts w:eastAsia="方正仿宋_GBK"/>
          <w:sz w:val="32"/>
          <w:szCs w:val="32"/>
        </w:rPr>
        <w:t>违规违约问题依协议处理共计47家次，约谈定点医药机构负责人17人次；对2家定点医疗机构进行行政立案调查，查实违法金额，追回医保基金。</w:t>
      </w:r>
      <w:r>
        <w:rPr>
          <w:rFonts w:eastAsia="方正仿宋_GBK"/>
          <w:sz w:val="32"/>
        </w:rPr>
        <w:t>有效遏制欺诈骗保势头，维护医保基金使用安全。</w:t>
      </w:r>
    </w:p>
    <w:p>
      <w:pPr>
        <w:adjustRightInd w:val="0"/>
        <w:snapToGrid w:val="0"/>
        <w:ind w:firstLine="640" w:firstLineChars="200"/>
        <w:rPr>
          <w:rFonts w:eastAsia="方正黑体_GBK"/>
          <w:sz w:val="32"/>
          <w:szCs w:val="32"/>
          <w:lang w:val="zh-CN"/>
        </w:rPr>
      </w:pPr>
      <w:r>
        <w:rPr>
          <w:rFonts w:eastAsia="方正黑体_GBK"/>
          <w:sz w:val="32"/>
          <w:szCs w:val="32"/>
        </w:rPr>
        <w:t>四、项目绩效情况</w:t>
      </w:r>
      <w:r>
        <w:rPr>
          <w:rFonts w:eastAsia="方正黑体_GBK"/>
          <w:sz w:val="32"/>
          <w:szCs w:val="32"/>
        </w:rPr>
        <w:tab/>
      </w:r>
    </w:p>
    <w:p>
      <w:pPr>
        <w:adjustRightInd w:val="0"/>
        <w:snapToGrid w:val="0"/>
        <w:ind w:firstLine="643" w:firstLineChars="200"/>
        <w:rPr>
          <w:rFonts w:eastAsia="方正楷体_GBK"/>
          <w:b/>
          <w:bCs/>
          <w:sz w:val="32"/>
          <w:szCs w:val="32"/>
          <w:lang w:val="zh-CN"/>
        </w:rPr>
      </w:pPr>
      <w:r>
        <w:rPr>
          <w:rFonts w:eastAsia="方正楷体_GBK"/>
          <w:b/>
          <w:bCs/>
          <w:sz w:val="32"/>
          <w:szCs w:val="32"/>
          <w:lang w:val="zh-CN"/>
        </w:rPr>
        <w:t>（一）项目完成情况</w:t>
      </w:r>
    </w:p>
    <w:p>
      <w:pPr>
        <w:adjustRightInd w:val="0"/>
        <w:snapToGrid w:val="0"/>
        <w:ind w:firstLine="640" w:firstLineChars="200"/>
        <w:rPr>
          <w:rFonts w:eastAsia="方正仿宋_GBK"/>
          <w:sz w:val="32"/>
          <w:szCs w:val="32"/>
        </w:rPr>
      </w:pPr>
      <w:r>
        <w:rPr>
          <w:rFonts w:eastAsia="方正仿宋_GBK"/>
          <w:sz w:val="32"/>
          <w:szCs w:val="32"/>
        </w:rPr>
        <w:t>“医保定点医药机构监管经费”项目预算资金73万元，实际支付73万元，执行率100%，保障了全市门诊特殊疾病补助资格、定点医药机构医疗保障待遇审核和稽核检查正常开展。</w:t>
      </w:r>
    </w:p>
    <w:p>
      <w:pPr>
        <w:adjustRightInd w:val="0"/>
        <w:snapToGrid w:val="0"/>
        <w:ind w:firstLine="640" w:firstLineChars="200"/>
        <w:rPr>
          <w:rFonts w:eastAsia="方正仿宋_GBK"/>
          <w:sz w:val="32"/>
          <w:szCs w:val="32"/>
        </w:rPr>
      </w:pPr>
      <w:r>
        <w:rPr>
          <w:rFonts w:eastAsia="方正仿宋_GBK"/>
          <w:sz w:val="32"/>
          <w:szCs w:val="32"/>
        </w:rPr>
        <w:t>1.数量指标：2025年，主要用于保障医保工作的正常运转，主要用于支付稽核工作人员工资和五险一金；通过开展多次专项行动，加大了定点医药机构监管处罚力度，提高了参保人员对医保服务的满意度；</w:t>
      </w:r>
    </w:p>
    <w:p>
      <w:pPr>
        <w:adjustRightInd w:val="0"/>
        <w:snapToGrid w:val="0"/>
        <w:ind w:firstLine="640" w:firstLineChars="200"/>
        <w:rPr>
          <w:rFonts w:eastAsia="方正仿宋_GBK"/>
          <w:sz w:val="32"/>
          <w:szCs w:val="32"/>
        </w:rPr>
      </w:pPr>
      <w:r>
        <w:rPr>
          <w:rFonts w:eastAsia="方正仿宋_GBK"/>
          <w:sz w:val="32"/>
          <w:szCs w:val="32"/>
        </w:rPr>
        <w:t>2.质量指标：医保医药、财务、信息、稽核工作人员相关劳务费、五险一金及相关监管检查、协查、监督经费，不断提升医保经办机构稽核、监管水平，坚决维护医保基金安全。</w:t>
      </w:r>
    </w:p>
    <w:p>
      <w:pPr>
        <w:adjustRightInd w:val="0"/>
        <w:snapToGrid w:val="0"/>
        <w:ind w:firstLine="640" w:firstLineChars="200"/>
        <w:rPr>
          <w:rFonts w:eastAsia="方正仿宋_GBK"/>
          <w:sz w:val="32"/>
          <w:szCs w:val="32"/>
        </w:rPr>
      </w:pPr>
      <w:r>
        <w:rPr>
          <w:rFonts w:eastAsia="方正仿宋_GBK"/>
          <w:sz w:val="32"/>
          <w:szCs w:val="32"/>
        </w:rPr>
        <w:t>3.时效指标：2025年在规定时间内使用资金。</w:t>
      </w:r>
    </w:p>
    <w:p>
      <w:pPr>
        <w:adjustRightInd w:val="0"/>
        <w:snapToGrid w:val="0"/>
        <w:ind w:firstLine="640" w:firstLineChars="200"/>
        <w:rPr>
          <w:rFonts w:eastAsia="方正仿宋_GBK"/>
          <w:sz w:val="32"/>
          <w:szCs w:val="32"/>
        </w:rPr>
      </w:pPr>
      <w:r>
        <w:rPr>
          <w:rFonts w:eastAsia="方正仿宋_GBK"/>
          <w:sz w:val="32"/>
          <w:szCs w:val="32"/>
        </w:rPr>
        <w:t>4.成本指标：医保定点医药机构监管经费73万元。</w:t>
      </w:r>
    </w:p>
    <w:p>
      <w:pPr>
        <w:adjustRightInd w:val="0"/>
        <w:snapToGrid w:val="0"/>
        <w:ind w:firstLine="643" w:firstLineChars="200"/>
        <w:rPr>
          <w:rFonts w:eastAsia="方正楷体_GBK"/>
          <w:b/>
          <w:bCs/>
          <w:sz w:val="32"/>
          <w:szCs w:val="32"/>
          <w:lang w:val="zh-CN"/>
        </w:rPr>
      </w:pPr>
      <w:r>
        <w:rPr>
          <w:rFonts w:eastAsia="方正楷体_GBK"/>
          <w:b/>
          <w:bCs/>
          <w:sz w:val="32"/>
          <w:szCs w:val="32"/>
          <w:lang w:val="zh-CN"/>
        </w:rPr>
        <w:t>（二）项目效益情况</w:t>
      </w:r>
    </w:p>
    <w:p>
      <w:pPr>
        <w:adjustRightInd w:val="0"/>
        <w:snapToGrid w:val="0"/>
        <w:ind w:firstLine="640" w:firstLineChars="200"/>
        <w:rPr>
          <w:rFonts w:eastAsia="方正仿宋_GBK"/>
          <w:sz w:val="32"/>
          <w:szCs w:val="32"/>
        </w:rPr>
      </w:pPr>
      <w:r>
        <w:rPr>
          <w:rFonts w:eastAsia="方正仿宋_GBK"/>
          <w:sz w:val="32"/>
          <w:szCs w:val="32"/>
        </w:rPr>
        <w:t>1.经济效益指标：维护医保基金安全。</w:t>
      </w:r>
    </w:p>
    <w:p>
      <w:pPr>
        <w:adjustRightInd w:val="0"/>
        <w:snapToGrid w:val="0"/>
        <w:ind w:firstLine="640" w:firstLineChars="200"/>
        <w:rPr>
          <w:rFonts w:eastAsia="方正仿宋_GBK"/>
          <w:sz w:val="32"/>
          <w:szCs w:val="32"/>
        </w:rPr>
      </w:pPr>
      <w:r>
        <w:rPr>
          <w:rFonts w:eastAsia="方正仿宋_GBK"/>
          <w:sz w:val="32"/>
          <w:szCs w:val="32"/>
        </w:rPr>
        <w:t>2.社会效益指标：保障</w:t>
      </w:r>
      <w:r>
        <w:rPr>
          <w:rFonts w:hint="eastAsia" w:eastAsia="方正仿宋_GBK"/>
          <w:sz w:val="32"/>
          <w:szCs w:val="32"/>
        </w:rPr>
        <w:t>部门</w:t>
      </w:r>
      <w:r>
        <w:rPr>
          <w:rFonts w:eastAsia="方正仿宋_GBK"/>
          <w:sz w:val="32"/>
          <w:szCs w:val="32"/>
        </w:rPr>
        <w:t>正常运转。聘用人员队伍稳定，保障聘用人员待遇。</w:t>
      </w:r>
    </w:p>
    <w:p>
      <w:pPr>
        <w:adjustRightInd w:val="0"/>
        <w:snapToGrid w:val="0"/>
        <w:ind w:firstLine="640" w:firstLineChars="200"/>
        <w:rPr>
          <w:rFonts w:eastAsia="方正仿宋_GBK"/>
          <w:sz w:val="32"/>
          <w:szCs w:val="32"/>
        </w:rPr>
      </w:pPr>
      <w:r>
        <w:rPr>
          <w:rFonts w:eastAsia="方正仿宋_GBK"/>
          <w:sz w:val="32"/>
          <w:szCs w:val="32"/>
        </w:rPr>
        <w:t>3.可持续影响指标：医保经办能力和监管水平有效提升。</w:t>
      </w:r>
    </w:p>
    <w:p>
      <w:pPr>
        <w:adjustRightInd w:val="0"/>
        <w:snapToGrid w:val="0"/>
        <w:ind w:firstLine="640" w:firstLineChars="200"/>
        <w:rPr>
          <w:rFonts w:eastAsia="方正仿宋_GBK"/>
          <w:sz w:val="32"/>
          <w:szCs w:val="32"/>
          <w:lang w:val="zh-CN"/>
        </w:rPr>
      </w:pPr>
      <w:r>
        <w:rPr>
          <w:rFonts w:eastAsia="方正仿宋_GBK"/>
          <w:sz w:val="32"/>
          <w:szCs w:val="32"/>
        </w:rPr>
        <w:t>4.满意度指标：稽核工作人员满意度稳健提升≥90%以上。</w:t>
      </w:r>
    </w:p>
    <w:p>
      <w:pPr>
        <w:adjustRightInd w:val="0"/>
        <w:snapToGrid w:val="0"/>
        <w:ind w:firstLine="640" w:firstLineChars="200"/>
        <w:rPr>
          <w:rFonts w:eastAsia="方正黑体_GBK"/>
          <w:sz w:val="32"/>
          <w:szCs w:val="32"/>
        </w:rPr>
      </w:pPr>
      <w:r>
        <w:rPr>
          <w:rFonts w:eastAsia="方正黑体_GBK"/>
          <w:sz w:val="32"/>
          <w:szCs w:val="32"/>
        </w:rPr>
        <w:t>五、评价结论及建议</w:t>
      </w:r>
    </w:p>
    <w:p>
      <w:pPr>
        <w:adjustRightInd w:val="0"/>
        <w:snapToGrid w:val="0"/>
        <w:ind w:firstLine="643" w:firstLineChars="200"/>
        <w:rPr>
          <w:rFonts w:eastAsia="方正楷体_GBK"/>
          <w:b/>
          <w:bCs/>
          <w:sz w:val="32"/>
          <w:szCs w:val="32"/>
          <w:lang w:val="zh-CN"/>
        </w:rPr>
      </w:pPr>
      <w:r>
        <w:rPr>
          <w:rFonts w:eastAsia="方正楷体_GBK"/>
          <w:b/>
          <w:bCs/>
          <w:sz w:val="32"/>
          <w:szCs w:val="32"/>
          <w:lang w:val="zh-CN"/>
        </w:rPr>
        <w:t>（一）评价结论</w:t>
      </w:r>
    </w:p>
    <w:p>
      <w:pPr>
        <w:adjustRightInd w:val="0"/>
        <w:snapToGrid w:val="0"/>
        <w:ind w:firstLine="640" w:firstLineChars="200"/>
        <w:rPr>
          <w:rFonts w:eastAsia="方正仿宋_GBK"/>
          <w:sz w:val="32"/>
          <w:szCs w:val="32"/>
          <w:lang w:val="zh-CN"/>
        </w:rPr>
      </w:pPr>
      <w:r>
        <w:rPr>
          <w:rFonts w:eastAsia="方正仿宋_GBK"/>
          <w:sz w:val="32"/>
          <w:szCs w:val="32"/>
        </w:rPr>
        <w:t>依据专项项目支出绩效评价指标体系，综合考量项目决策、管理、产出、效益各环节，“医保定点医药机构监管经费”项目自评得分100分。项目立项精准契合医保基金监管需求，资金管理规范透明，实施流程严谨高效，绩效目标全面达成，经济效益、社会效益显著，切实提升医保基金监督管理能力，维护医保基金安全。</w:t>
      </w:r>
    </w:p>
    <w:p>
      <w:pPr>
        <w:adjustRightInd w:val="0"/>
        <w:snapToGrid w:val="0"/>
        <w:ind w:firstLine="643" w:firstLineChars="200"/>
        <w:rPr>
          <w:rFonts w:hint="eastAsia" w:ascii="方正楷体_GBK" w:hAnsi="方正楷体_GBK" w:eastAsia="方正楷体_GBK" w:cs="方正楷体_GBK"/>
          <w:b/>
          <w:bCs/>
          <w:sz w:val="32"/>
          <w:szCs w:val="32"/>
          <w:lang w:val="zh-CN"/>
        </w:rPr>
      </w:pPr>
      <w:r>
        <w:rPr>
          <w:rFonts w:hint="eastAsia" w:ascii="方正楷体_GBK" w:hAnsi="方正楷体_GBK" w:eastAsia="方正楷体_GBK" w:cs="方正楷体_GBK"/>
          <w:b/>
          <w:bCs/>
          <w:sz w:val="32"/>
          <w:szCs w:val="32"/>
          <w:lang w:val="zh-CN"/>
        </w:rPr>
        <w:t>（</w:t>
      </w:r>
      <w:r>
        <w:rPr>
          <w:rFonts w:hint="eastAsia" w:ascii="方正楷体_GBK" w:hAnsi="方正楷体_GBK" w:eastAsia="方正楷体_GBK" w:cs="方正楷体_GBK"/>
          <w:b/>
          <w:bCs/>
          <w:sz w:val="32"/>
          <w:szCs w:val="32"/>
        </w:rPr>
        <w:t>二</w:t>
      </w:r>
      <w:r>
        <w:rPr>
          <w:rFonts w:hint="eastAsia" w:ascii="方正楷体_GBK" w:hAnsi="方正楷体_GBK" w:eastAsia="方正楷体_GBK" w:cs="方正楷体_GBK"/>
          <w:b/>
          <w:bCs/>
          <w:sz w:val="32"/>
          <w:szCs w:val="32"/>
          <w:lang w:val="zh-CN"/>
        </w:rPr>
        <w:t>）存在的问题</w:t>
      </w:r>
    </w:p>
    <w:p>
      <w:pPr>
        <w:numPr>
          <w:ilvl w:val="255"/>
          <w:numId w:val="0"/>
        </w:numPr>
        <w:adjustRightInd w:val="0"/>
        <w:snapToGrid w:val="0"/>
        <w:ind w:firstLine="640" w:firstLineChars="200"/>
        <w:rPr>
          <w:rFonts w:eastAsia="方正仿宋_GBK"/>
          <w:sz w:val="32"/>
          <w:szCs w:val="32"/>
          <w:lang w:val="zh-CN"/>
        </w:rPr>
      </w:pPr>
      <w:r>
        <w:rPr>
          <w:rFonts w:eastAsia="方正仿宋_GBK"/>
          <w:sz w:val="32"/>
          <w:szCs w:val="32"/>
          <w:lang w:val="zh-CN"/>
        </w:rPr>
        <w:t>无。</w:t>
      </w:r>
    </w:p>
    <w:p>
      <w:pPr>
        <w:adjustRightInd w:val="0"/>
        <w:snapToGrid w:val="0"/>
        <w:ind w:firstLine="643" w:firstLineChars="200"/>
        <w:rPr>
          <w:rFonts w:hint="eastAsia" w:ascii="方正楷体_GBK" w:hAnsi="方正楷体_GBK" w:eastAsia="方正楷体_GBK" w:cs="方正楷体_GBK"/>
          <w:b/>
          <w:bCs/>
          <w:sz w:val="32"/>
          <w:szCs w:val="32"/>
          <w:lang w:val="zh-CN"/>
        </w:rPr>
      </w:pPr>
      <w:r>
        <w:rPr>
          <w:rFonts w:hint="eastAsia" w:ascii="方正楷体_GBK" w:hAnsi="方正楷体_GBK" w:eastAsia="方正楷体_GBK" w:cs="方正楷体_GBK"/>
          <w:b/>
          <w:bCs/>
          <w:sz w:val="32"/>
          <w:szCs w:val="32"/>
          <w:lang w:val="zh-CN"/>
        </w:rPr>
        <w:t>（</w:t>
      </w:r>
      <w:r>
        <w:rPr>
          <w:rFonts w:hint="eastAsia" w:ascii="方正楷体_GBK" w:hAnsi="方正楷体_GBK" w:eastAsia="方正楷体_GBK" w:cs="方正楷体_GBK"/>
          <w:b/>
          <w:bCs/>
          <w:sz w:val="32"/>
          <w:szCs w:val="32"/>
        </w:rPr>
        <w:t>三</w:t>
      </w:r>
      <w:r>
        <w:rPr>
          <w:rFonts w:hint="eastAsia" w:ascii="方正楷体_GBK" w:hAnsi="方正楷体_GBK" w:eastAsia="方正楷体_GBK" w:cs="方正楷体_GBK"/>
          <w:b/>
          <w:bCs/>
          <w:sz w:val="32"/>
          <w:szCs w:val="32"/>
          <w:lang w:val="zh-CN"/>
        </w:rPr>
        <w:t>）相关建议</w:t>
      </w:r>
    </w:p>
    <w:p>
      <w:pPr>
        <w:adjustRightInd w:val="0"/>
        <w:snapToGrid w:val="0"/>
        <w:ind w:firstLine="640" w:firstLineChars="200"/>
        <w:rPr>
          <w:rFonts w:eastAsia="方正仿宋_GBK"/>
          <w:sz w:val="32"/>
          <w:szCs w:val="32"/>
        </w:rPr>
      </w:pPr>
      <w:r>
        <w:rPr>
          <w:rFonts w:eastAsia="方正仿宋_GBK"/>
          <w:sz w:val="32"/>
          <w:szCs w:val="32"/>
          <w:lang w:val="zh-CN"/>
        </w:rPr>
        <w:t>无。</w:t>
      </w:r>
    </w:p>
    <w:p>
      <w:pPr>
        <w:spacing w:line="560" w:lineRule="exact"/>
        <w:ind w:firstLine="640" w:firstLineChars="200"/>
        <w:rPr>
          <w:rFonts w:eastAsia="仿宋_GB2312"/>
          <w:sz w:val="32"/>
          <w:szCs w:val="32"/>
        </w:rPr>
      </w:pPr>
    </w:p>
    <w:p>
      <w:pPr>
        <w:spacing w:line="560" w:lineRule="exact"/>
        <w:ind w:firstLine="640" w:firstLineChars="200"/>
        <w:rPr>
          <w:rFonts w:eastAsia="仿宋_GB2312"/>
          <w:sz w:val="32"/>
          <w:szCs w:val="32"/>
        </w:rPr>
      </w:pPr>
    </w:p>
    <w:p>
      <w:pPr>
        <w:spacing w:line="560" w:lineRule="exact"/>
        <w:ind w:firstLine="640" w:firstLineChars="200"/>
        <w:rPr>
          <w:rFonts w:eastAsia="仿宋_GB2312"/>
          <w:sz w:val="32"/>
          <w:szCs w:val="32"/>
        </w:rPr>
      </w:pPr>
    </w:p>
    <w:p>
      <w:pPr>
        <w:spacing w:line="560" w:lineRule="exact"/>
        <w:ind w:firstLine="640" w:firstLineChars="200"/>
        <w:rPr>
          <w:rFonts w:eastAsia="仿宋_GB2312"/>
          <w:sz w:val="32"/>
          <w:szCs w:val="32"/>
        </w:rPr>
      </w:pPr>
    </w:p>
    <w:p>
      <w:pPr>
        <w:spacing w:line="560" w:lineRule="exact"/>
        <w:ind w:firstLine="640" w:firstLineChars="200"/>
        <w:rPr>
          <w:rFonts w:eastAsia="仿宋_GB2312"/>
          <w:sz w:val="32"/>
          <w:szCs w:val="32"/>
        </w:rPr>
      </w:pPr>
    </w:p>
    <w:p>
      <w:pPr>
        <w:spacing w:line="560" w:lineRule="exact"/>
        <w:ind w:firstLine="640" w:firstLineChars="200"/>
        <w:rPr>
          <w:rFonts w:eastAsia="仿宋_GB2312"/>
          <w:sz w:val="32"/>
          <w:szCs w:val="32"/>
        </w:rPr>
      </w:pPr>
    </w:p>
    <w:p>
      <w:pPr>
        <w:spacing w:line="560" w:lineRule="exact"/>
        <w:ind w:firstLine="640" w:firstLineChars="200"/>
        <w:rPr>
          <w:rFonts w:eastAsia="仿宋_GB2312"/>
          <w:sz w:val="32"/>
          <w:szCs w:val="32"/>
        </w:rPr>
      </w:pPr>
    </w:p>
    <w:p>
      <w:pPr>
        <w:spacing w:line="560" w:lineRule="exact"/>
        <w:ind w:firstLine="640" w:firstLineChars="200"/>
        <w:rPr>
          <w:rFonts w:eastAsia="仿宋_GB2312"/>
          <w:sz w:val="32"/>
          <w:szCs w:val="32"/>
        </w:rPr>
      </w:pPr>
    </w:p>
    <w:p>
      <w:pPr>
        <w:spacing w:line="560" w:lineRule="exact"/>
        <w:ind w:firstLine="640" w:firstLineChars="200"/>
        <w:rPr>
          <w:rFonts w:eastAsia="仿宋_GB2312"/>
          <w:sz w:val="32"/>
          <w:szCs w:val="32"/>
        </w:rPr>
      </w:pPr>
    </w:p>
    <w:p>
      <w:pPr>
        <w:spacing w:line="560" w:lineRule="exact"/>
        <w:ind w:firstLine="640" w:firstLineChars="200"/>
        <w:rPr>
          <w:rFonts w:eastAsia="仿宋_GB2312"/>
          <w:sz w:val="32"/>
          <w:szCs w:val="32"/>
        </w:rPr>
      </w:pPr>
    </w:p>
    <w:p>
      <w:pPr>
        <w:spacing w:line="560" w:lineRule="exact"/>
        <w:ind w:firstLine="640" w:firstLineChars="200"/>
        <w:rPr>
          <w:rFonts w:eastAsia="仿宋_GB2312"/>
          <w:sz w:val="32"/>
          <w:szCs w:val="32"/>
        </w:rPr>
      </w:pPr>
    </w:p>
    <w:p>
      <w:pPr>
        <w:spacing w:line="560" w:lineRule="exact"/>
        <w:ind w:firstLine="640" w:firstLineChars="200"/>
        <w:rPr>
          <w:rFonts w:eastAsia="仿宋_GB2312"/>
          <w:sz w:val="32"/>
          <w:szCs w:val="32"/>
        </w:rPr>
      </w:pPr>
    </w:p>
    <w:p>
      <w:pPr>
        <w:spacing w:line="560" w:lineRule="exact"/>
        <w:rPr>
          <w:rFonts w:eastAsia="仿宋_GB2312"/>
          <w:sz w:val="32"/>
          <w:szCs w:val="32"/>
        </w:rPr>
      </w:pPr>
    </w:p>
    <w:p>
      <w:pPr>
        <w:spacing w:line="560" w:lineRule="exact"/>
        <w:rPr>
          <w:rFonts w:eastAsia="方正黑体_GBK"/>
          <w:sz w:val="32"/>
          <w:szCs w:val="32"/>
        </w:rPr>
      </w:pPr>
      <w:r>
        <w:rPr>
          <w:rFonts w:eastAsia="方正黑体_GBK"/>
          <w:sz w:val="32"/>
          <w:szCs w:val="32"/>
        </w:rPr>
        <w:t>附件</w:t>
      </w:r>
      <w:r>
        <w:rPr>
          <w:rFonts w:hint="eastAsia" w:eastAsia="方正黑体_GBK"/>
          <w:sz w:val="32"/>
          <w:szCs w:val="32"/>
        </w:rPr>
        <w:t>5</w:t>
      </w:r>
    </w:p>
    <w:p>
      <w:pPr>
        <w:widowControl/>
        <w:spacing w:line="600" w:lineRule="exact"/>
        <w:ind w:firstLine="640" w:firstLineChars="200"/>
        <w:contextualSpacing/>
        <w:rPr>
          <w:rFonts w:eastAsia="方正小标宋_GBK"/>
          <w:sz w:val="32"/>
          <w:szCs w:val="32"/>
          <w:shd w:val="clear" w:color="auto" w:fill="FFFFFF"/>
        </w:rPr>
      </w:pPr>
    </w:p>
    <w:p>
      <w:pPr>
        <w:widowControl/>
        <w:adjustRightInd w:val="0"/>
        <w:snapToGrid w:val="0"/>
        <w:spacing w:line="0" w:lineRule="atLeast"/>
        <w:ind w:firstLine="880" w:firstLineChars="200"/>
        <w:contextualSpacing/>
        <w:jc w:val="center"/>
        <w:rPr>
          <w:rFonts w:eastAsia="方正小标宋_GBK"/>
          <w:sz w:val="44"/>
          <w:szCs w:val="44"/>
          <w:shd w:val="clear" w:color="auto" w:fill="FFFFFF"/>
        </w:rPr>
      </w:pPr>
      <w:r>
        <w:rPr>
          <w:rFonts w:eastAsia="方正小标宋_GBK"/>
          <w:sz w:val="44"/>
          <w:szCs w:val="44"/>
          <w:shd w:val="clear" w:color="auto" w:fill="FFFFFF"/>
        </w:rPr>
        <w:t>攀枝花市医疗保障事务中心</w:t>
      </w:r>
    </w:p>
    <w:p>
      <w:pPr>
        <w:widowControl/>
        <w:adjustRightInd w:val="0"/>
        <w:snapToGrid w:val="0"/>
        <w:spacing w:line="0" w:lineRule="atLeast"/>
        <w:ind w:firstLine="880" w:firstLineChars="200"/>
        <w:contextualSpacing/>
        <w:jc w:val="center"/>
        <w:rPr>
          <w:rFonts w:eastAsia="方正小标宋_GBK"/>
          <w:sz w:val="44"/>
          <w:szCs w:val="44"/>
          <w:shd w:val="clear" w:color="auto" w:fill="FFFFFF"/>
        </w:rPr>
      </w:pPr>
      <w:r>
        <w:rPr>
          <w:rFonts w:eastAsia="方正小标宋_GBK"/>
          <w:sz w:val="44"/>
          <w:szCs w:val="44"/>
          <w:shd w:val="clear" w:color="auto" w:fill="FFFFFF"/>
        </w:rPr>
        <w:t>2025年入驻政务中心单位租金、物业费及水电费项目支出绩效自评报告</w:t>
      </w:r>
    </w:p>
    <w:p>
      <w:pPr>
        <w:spacing w:line="578" w:lineRule="exact"/>
        <w:ind w:firstLine="640" w:firstLineChars="200"/>
        <w:rPr>
          <w:rFonts w:eastAsia="仿宋_GB2312"/>
          <w:sz w:val="32"/>
          <w:szCs w:val="32"/>
        </w:rPr>
      </w:pPr>
    </w:p>
    <w:p>
      <w:pPr>
        <w:adjustRightInd w:val="0"/>
        <w:snapToGrid w:val="0"/>
        <w:ind w:firstLine="640" w:firstLineChars="200"/>
        <w:rPr>
          <w:rFonts w:eastAsia="方正黑体_GBK"/>
          <w:sz w:val="32"/>
          <w:szCs w:val="32"/>
        </w:rPr>
      </w:pPr>
      <w:r>
        <w:rPr>
          <w:rFonts w:eastAsia="方正黑体_GBK"/>
          <w:sz w:val="32"/>
          <w:szCs w:val="32"/>
        </w:rPr>
        <w:t>一、项目概况</w:t>
      </w:r>
    </w:p>
    <w:p>
      <w:pPr>
        <w:adjustRightInd w:val="0"/>
        <w:snapToGrid w:val="0"/>
        <w:ind w:firstLine="643" w:firstLineChars="200"/>
        <w:rPr>
          <w:rFonts w:eastAsia="方正楷体_GBK"/>
          <w:b/>
          <w:bCs/>
          <w:sz w:val="32"/>
          <w:szCs w:val="32"/>
        </w:rPr>
      </w:pPr>
      <w:r>
        <w:rPr>
          <w:rFonts w:eastAsia="方正楷体_GBK"/>
          <w:b/>
          <w:bCs/>
          <w:sz w:val="32"/>
          <w:szCs w:val="32"/>
        </w:rPr>
        <w:t>（一）项目基本情况</w:t>
      </w:r>
    </w:p>
    <w:p>
      <w:pPr>
        <w:adjustRightInd w:val="0"/>
        <w:snapToGrid w:val="0"/>
        <w:ind w:firstLine="640" w:firstLineChars="200"/>
        <w:rPr>
          <w:rFonts w:eastAsia="方正仿宋_GBK"/>
          <w:sz w:val="32"/>
          <w:szCs w:val="32"/>
        </w:rPr>
      </w:pPr>
      <w:r>
        <w:rPr>
          <w:rFonts w:eastAsia="方正仿宋_GBK"/>
          <w:sz w:val="32"/>
          <w:szCs w:val="32"/>
        </w:rPr>
        <w:t>1</w:t>
      </w:r>
      <w:r>
        <w:rPr>
          <w:rFonts w:hint="eastAsia" w:eastAsia="方正仿宋_GBK"/>
          <w:sz w:val="32"/>
          <w:szCs w:val="32"/>
        </w:rPr>
        <w:t>.</w:t>
      </w:r>
      <w:r>
        <w:rPr>
          <w:rFonts w:eastAsia="方正仿宋_GBK"/>
          <w:sz w:val="32"/>
          <w:szCs w:val="32"/>
        </w:rPr>
        <w:t>市医保事务中心在项目管理中的职能。</w:t>
      </w:r>
    </w:p>
    <w:p>
      <w:pPr>
        <w:adjustRightInd w:val="0"/>
        <w:snapToGrid w:val="0"/>
        <w:ind w:firstLine="640" w:firstLineChars="200"/>
        <w:rPr>
          <w:rFonts w:eastAsia="方正仿宋_GBK"/>
          <w:sz w:val="32"/>
          <w:szCs w:val="32"/>
        </w:rPr>
      </w:pPr>
      <w:r>
        <w:rPr>
          <w:rFonts w:eastAsia="方正仿宋_GBK"/>
          <w:sz w:val="32"/>
          <w:szCs w:val="32"/>
        </w:rPr>
        <w:t>攀枝花市医保事务中心主要负责职工基本医疗保险、城乡居民基本医疗保险、生育保险、医疗救助具体经办业务，制定、完善业务经办管理规程。负责对定点医药机构执行政策规定和为参保人员提供医疗服务进行指导和检查。承担离休干部、六级以上革命伤残军人（警察）、建国初期参加工作退休干部及其他医疗照顾人员医药费用审核报销的具体业务工作。参与医疗保障业务经办信息系统建设。</w:t>
      </w:r>
    </w:p>
    <w:p>
      <w:pPr>
        <w:adjustRightInd w:val="0"/>
        <w:snapToGrid w:val="0"/>
        <w:ind w:firstLine="640" w:firstLineChars="200"/>
        <w:rPr>
          <w:rFonts w:eastAsia="方正仿宋_GBK"/>
          <w:sz w:val="32"/>
          <w:szCs w:val="32"/>
        </w:rPr>
      </w:pPr>
      <w:r>
        <w:rPr>
          <w:rFonts w:eastAsia="方正仿宋_GBK"/>
          <w:sz w:val="32"/>
          <w:szCs w:val="32"/>
        </w:rPr>
        <w:t>2</w:t>
      </w:r>
      <w:r>
        <w:rPr>
          <w:rFonts w:hint="eastAsia" w:eastAsia="方正仿宋_GBK"/>
          <w:sz w:val="32"/>
          <w:szCs w:val="32"/>
        </w:rPr>
        <w:t>.</w:t>
      </w:r>
      <w:r>
        <w:rPr>
          <w:rFonts w:eastAsia="方正仿宋_GBK"/>
          <w:sz w:val="32"/>
          <w:szCs w:val="32"/>
        </w:rPr>
        <w:t>项目立项、资金申报依据。</w:t>
      </w:r>
    </w:p>
    <w:p>
      <w:pPr>
        <w:adjustRightInd w:val="0"/>
        <w:snapToGrid w:val="0"/>
        <w:ind w:firstLine="640" w:firstLineChars="200"/>
        <w:rPr>
          <w:rFonts w:eastAsia="方正仿宋_GBK"/>
          <w:sz w:val="32"/>
          <w:szCs w:val="32"/>
        </w:rPr>
      </w:pPr>
      <w:r>
        <w:rPr>
          <w:rFonts w:eastAsia="方正仿宋_GBK"/>
          <w:sz w:val="32"/>
          <w:szCs w:val="32"/>
        </w:rPr>
        <w:t>“入驻政务中心单位租金、物业费及水电费”项目资金主要用于市医疗保障事务中心支付入驻政务中心单位租金、物业费及水电费，更好的提升服务效能、服务满意度，保障单位办公场所正常运转。</w:t>
      </w:r>
    </w:p>
    <w:p>
      <w:pPr>
        <w:adjustRightInd w:val="0"/>
        <w:snapToGrid w:val="0"/>
        <w:ind w:firstLine="640" w:firstLineChars="200"/>
        <w:rPr>
          <w:rFonts w:eastAsia="方正仿宋_GBK"/>
          <w:sz w:val="32"/>
          <w:szCs w:val="32"/>
        </w:rPr>
      </w:pPr>
      <w:r>
        <w:rPr>
          <w:rFonts w:eastAsia="方正仿宋_GBK"/>
          <w:sz w:val="32"/>
          <w:szCs w:val="32"/>
        </w:rPr>
        <w:t>3</w:t>
      </w:r>
      <w:r>
        <w:rPr>
          <w:rFonts w:hint="eastAsia" w:eastAsia="方正仿宋_GBK"/>
          <w:sz w:val="32"/>
          <w:szCs w:val="32"/>
        </w:rPr>
        <w:t>.</w:t>
      </w:r>
      <w:r>
        <w:rPr>
          <w:rFonts w:eastAsia="方正仿宋_GBK"/>
          <w:sz w:val="32"/>
          <w:szCs w:val="32"/>
        </w:rPr>
        <w:t>资金支持项目的概况。</w:t>
      </w:r>
    </w:p>
    <w:p>
      <w:pPr>
        <w:adjustRightInd w:val="0"/>
        <w:snapToGrid w:val="0"/>
        <w:ind w:firstLine="640" w:firstLineChars="200"/>
        <w:rPr>
          <w:rFonts w:eastAsia="方正仿宋_GBK"/>
          <w:sz w:val="32"/>
          <w:szCs w:val="32"/>
        </w:rPr>
      </w:pPr>
      <w:r>
        <w:rPr>
          <w:rFonts w:eastAsia="方正仿宋_GBK"/>
          <w:sz w:val="32"/>
          <w:szCs w:val="32"/>
        </w:rPr>
        <w:t>“入驻政务中心单位租金、物业费及水电费”项目经费已纳入政府年度财政预算，并通过相关审批程序，租金、物业费及水电费等符合政府采购和财务管理规定。</w:t>
      </w:r>
    </w:p>
    <w:p>
      <w:pPr>
        <w:adjustRightInd w:val="0"/>
        <w:snapToGrid w:val="0"/>
        <w:ind w:firstLine="640" w:firstLineChars="200"/>
        <w:rPr>
          <w:rFonts w:eastAsia="方正仿宋_GBK"/>
          <w:sz w:val="32"/>
          <w:szCs w:val="32"/>
        </w:rPr>
      </w:pPr>
      <w:r>
        <w:rPr>
          <w:rFonts w:eastAsia="方正仿宋_GBK"/>
          <w:sz w:val="32"/>
          <w:szCs w:val="32"/>
        </w:rPr>
        <w:t>4</w:t>
      </w:r>
      <w:r>
        <w:rPr>
          <w:rFonts w:hint="eastAsia" w:eastAsia="方正仿宋_GBK"/>
          <w:sz w:val="32"/>
          <w:szCs w:val="32"/>
        </w:rPr>
        <w:t>.</w:t>
      </w:r>
      <w:r>
        <w:rPr>
          <w:rFonts w:eastAsia="方正仿宋_GBK"/>
          <w:sz w:val="32"/>
          <w:szCs w:val="32"/>
        </w:rPr>
        <w:t>资金分配的原则及考虑因素。</w:t>
      </w:r>
    </w:p>
    <w:p>
      <w:pPr>
        <w:adjustRightInd w:val="0"/>
        <w:snapToGrid w:val="0"/>
        <w:ind w:firstLine="640" w:firstLineChars="200"/>
        <w:rPr>
          <w:rFonts w:eastAsia="方正仿宋_GBK"/>
          <w:sz w:val="32"/>
          <w:szCs w:val="32"/>
        </w:rPr>
      </w:pPr>
      <w:r>
        <w:rPr>
          <w:rFonts w:eastAsia="方正仿宋_GBK"/>
          <w:sz w:val="32"/>
          <w:szCs w:val="32"/>
        </w:rPr>
        <w:t>“入驻政务中心单位租金、物业费及水电费”项目资金分配应遵循科学合理的原则，并综合考虑资源消耗、财政预算等多种因素，以确保资金分配合理、公平、高效，促进中心的正常运行和持续发展。</w:t>
      </w:r>
    </w:p>
    <w:p>
      <w:pPr>
        <w:adjustRightInd w:val="0"/>
        <w:snapToGrid w:val="0"/>
        <w:ind w:firstLine="643" w:firstLineChars="200"/>
        <w:rPr>
          <w:rFonts w:eastAsia="方正楷体_GBK"/>
          <w:b/>
          <w:bCs/>
          <w:sz w:val="32"/>
          <w:szCs w:val="32"/>
        </w:rPr>
      </w:pPr>
      <w:r>
        <w:rPr>
          <w:rFonts w:eastAsia="方正楷体_GBK"/>
          <w:b/>
          <w:bCs/>
          <w:sz w:val="32"/>
          <w:szCs w:val="32"/>
        </w:rPr>
        <w:t>（二）项目绩效目标</w:t>
      </w:r>
    </w:p>
    <w:p>
      <w:pPr>
        <w:adjustRightInd w:val="0"/>
        <w:snapToGrid w:val="0"/>
        <w:ind w:firstLine="640" w:firstLineChars="200"/>
        <w:rPr>
          <w:rFonts w:eastAsia="方正仿宋_GBK"/>
          <w:sz w:val="32"/>
          <w:szCs w:val="32"/>
        </w:rPr>
      </w:pPr>
      <w:r>
        <w:rPr>
          <w:rFonts w:eastAsia="方正仿宋_GBK"/>
          <w:sz w:val="32"/>
          <w:szCs w:val="32"/>
        </w:rPr>
        <w:t>1.主要内容。</w:t>
      </w:r>
    </w:p>
    <w:p>
      <w:pPr>
        <w:adjustRightInd w:val="0"/>
        <w:snapToGrid w:val="0"/>
        <w:ind w:firstLine="640" w:firstLineChars="200"/>
        <w:rPr>
          <w:rFonts w:eastAsia="方正仿宋_GBK"/>
          <w:sz w:val="32"/>
          <w:szCs w:val="32"/>
        </w:rPr>
      </w:pPr>
      <w:r>
        <w:rPr>
          <w:rFonts w:eastAsia="方正仿宋_GBK"/>
          <w:sz w:val="32"/>
          <w:szCs w:val="32"/>
        </w:rPr>
        <w:t>缴纳入驻政务中心单位租金、物业费及水电费。</w:t>
      </w:r>
    </w:p>
    <w:p>
      <w:pPr>
        <w:adjustRightInd w:val="0"/>
        <w:snapToGrid w:val="0"/>
        <w:ind w:firstLine="640" w:firstLineChars="200"/>
        <w:rPr>
          <w:rFonts w:eastAsia="方正仿宋_GBK"/>
          <w:sz w:val="32"/>
          <w:szCs w:val="32"/>
        </w:rPr>
      </w:pPr>
      <w:r>
        <w:rPr>
          <w:rFonts w:eastAsia="方正仿宋_GBK"/>
          <w:sz w:val="32"/>
          <w:szCs w:val="32"/>
        </w:rPr>
        <w:t>2.具体绩效目标。</w:t>
      </w:r>
    </w:p>
    <w:p>
      <w:pPr>
        <w:adjustRightInd w:val="0"/>
        <w:snapToGrid w:val="0"/>
        <w:ind w:firstLine="640" w:firstLineChars="200"/>
        <w:rPr>
          <w:rFonts w:eastAsia="方正仿宋_GBK"/>
          <w:sz w:val="32"/>
          <w:szCs w:val="32"/>
          <w:highlight w:val="none"/>
        </w:rPr>
      </w:pPr>
      <w:r>
        <w:rPr>
          <w:rFonts w:eastAsia="方正仿宋_GBK"/>
          <w:sz w:val="32"/>
          <w:szCs w:val="32"/>
        </w:rPr>
        <w:t>（1）数量指标：</w:t>
      </w:r>
      <w:r>
        <w:rPr>
          <w:rFonts w:hint="eastAsia" w:eastAsia="方正仿宋_GBK"/>
          <w:sz w:val="32"/>
          <w:szCs w:val="32"/>
        </w:rPr>
        <w:t>按季</w:t>
      </w:r>
      <w:r>
        <w:rPr>
          <w:rFonts w:eastAsia="方正仿宋_GBK"/>
          <w:sz w:val="32"/>
          <w:szCs w:val="32"/>
          <w:highlight w:val="none"/>
        </w:rPr>
        <w:t>完成入驻政务中心单位租金、物业费及水电费</w:t>
      </w:r>
      <w:r>
        <w:rPr>
          <w:rFonts w:hint="eastAsia" w:eastAsia="方正仿宋_GBK"/>
          <w:sz w:val="32"/>
          <w:szCs w:val="32"/>
          <w:highlight w:val="none"/>
        </w:rPr>
        <w:t>支付</w:t>
      </w:r>
      <w:r>
        <w:rPr>
          <w:rFonts w:eastAsia="方正仿宋_GBK"/>
          <w:sz w:val="32"/>
          <w:szCs w:val="32"/>
          <w:highlight w:val="none"/>
        </w:rPr>
        <w:t>。</w:t>
      </w:r>
    </w:p>
    <w:p>
      <w:pPr>
        <w:adjustRightInd w:val="0"/>
        <w:snapToGrid w:val="0"/>
        <w:ind w:firstLine="640" w:firstLineChars="200"/>
        <w:rPr>
          <w:rFonts w:eastAsia="方正仿宋_GBK"/>
          <w:sz w:val="32"/>
          <w:szCs w:val="32"/>
        </w:rPr>
      </w:pPr>
      <w:r>
        <w:rPr>
          <w:rFonts w:eastAsia="方正仿宋_GBK"/>
          <w:sz w:val="32"/>
          <w:szCs w:val="32"/>
        </w:rPr>
        <w:t>（2）质量指标：按时全额缴纳入驻政务中心单位租金、物业费及水电费，保障单位正常运转。</w:t>
      </w:r>
    </w:p>
    <w:p>
      <w:pPr>
        <w:adjustRightInd w:val="0"/>
        <w:snapToGrid w:val="0"/>
        <w:ind w:firstLine="640" w:firstLineChars="200"/>
        <w:rPr>
          <w:rFonts w:eastAsia="方正仿宋_GBK"/>
          <w:sz w:val="32"/>
          <w:szCs w:val="32"/>
        </w:rPr>
      </w:pPr>
      <w:r>
        <w:rPr>
          <w:rFonts w:eastAsia="方正仿宋_GBK"/>
          <w:sz w:val="32"/>
          <w:szCs w:val="32"/>
        </w:rPr>
        <w:t>（3）时效指标：2025年1-12月在规定时间内使用资金。</w:t>
      </w:r>
    </w:p>
    <w:p>
      <w:pPr>
        <w:adjustRightInd w:val="0"/>
        <w:snapToGrid w:val="0"/>
        <w:ind w:firstLine="640" w:firstLineChars="200"/>
        <w:rPr>
          <w:rFonts w:eastAsia="方正仿宋_GBK"/>
          <w:sz w:val="32"/>
          <w:szCs w:val="32"/>
        </w:rPr>
      </w:pPr>
      <w:r>
        <w:rPr>
          <w:rFonts w:eastAsia="方正仿宋_GBK"/>
          <w:sz w:val="32"/>
          <w:szCs w:val="32"/>
        </w:rPr>
        <w:t>（4）社会效益指标：保障单位正常运转。</w:t>
      </w:r>
    </w:p>
    <w:p>
      <w:pPr>
        <w:adjustRightInd w:val="0"/>
        <w:snapToGrid w:val="0"/>
        <w:ind w:firstLine="640" w:firstLineChars="200"/>
        <w:rPr>
          <w:rFonts w:eastAsia="方正仿宋_GBK"/>
          <w:sz w:val="32"/>
          <w:szCs w:val="32"/>
        </w:rPr>
      </w:pPr>
      <w:r>
        <w:rPr>
          <w:rFonts w:eastAsia="方正仿宋_GBK"/>
          <w:sz w:val="32"/>
          <w:szCs w:val="32"/>
        </w:rPr>
        <w:t>（5）服务对象满意度指标：政务中心入驻人员满意度做到完成值“满意”。</w:t>
      </w:r>
    </w:p>
    <w:p>
      <w:pPr>
        <w:adjustRightInd w:val="0"/>
        <w:snapToGrid w:val="0"/>
        <w:ind w:firstLine="640" w:firstLineChars="200"/>
        <w:rPr>
          <w:rFonts w:eastAsia="方正仿宋_GBK"/>
          <w:sz w:val="32"/>
          <w:szCs w:val="32"/>
        </w:rPr>
      </w:pPr>
      <w:r>
        <w:rPr>
          <w:rFonts w:eastAsia="方正仿宋_GBK"/>
          <w:sz w:val="32"/>
          <w:szCs w:val="32"/>
        </w:rPr>
        <w:t>（6）经济成本指标：入驻政务中心单位租金、物业费及水电费75.52万元。</w:t>
      </w:r>
    </w:p>
    <w:p>
      <w:pPr>
        <w:adjustRightInd w:val="0"/>
        <w:snapToGrid w:val="0"/>
        <w:ind w:firstLine="640" w:firstLineChars="200"/>
        <w:rPr>
          <w:rFonts w:eastAsia="方正仿宋_GBK"/>
          <w:sz w:val="32"/>
          <w:szCs w:val="32"/>
        </w:rPr>
      </w:pPr>
      <w:r>
        <w:rPr>
          <w:rFonts w:eastAsia="方正仿宋_GBK"/>
          <w:sz w:val="32"/>
          <w:szCs w:val="32"/>
        </w:rPr>
        <w:t>3.项目资金申报相符性。</w:t>
      </w:r>
    </w:p>
    <w:p>
      <w:pPr>
        <w:adjustRightInd w:val="0"/>
        <w:snapToGrid w:val="0"/>
        <w:ind w:firstLine="640" w:firstLineChars="200"/>
        <w:rPr>
          <w:rFonts w:eastAsia="方正仿宋_GBK"/>
          <w:sz w:val="32"/>
          <w:szCs w:val="32"/>
        </w:rPr>
      </w:pPr>
      <w:r>
        <w:rPr>
          <w:rFonts w:eastAsia="方正仿宋_GBK"/>
          <w:sz w:val="32"/>
          <w:szCs w:val="32"/>
        </w:rPr>
        <w:t>市医保事务中心按照2025年目标任务制定绩效目标，申报内容与实际相符，申报目标合理可行。</w:t>
      </w:r>
    </w:p>
    <w:p>
      <w:pPr>
        <w:adjustRightInd w:val="0"/>
        <w:snapToGrid w:val="0"/>
        <w:ind w:firstLine="643" w:firstLineChars="200"/>
        <w:rPr>
          <w:rFonts w:eastAsia="方正楷体_GBK"/>
          <w:b/>
          <w:bCs/>
          <w:sz w:val="32"/>
          <w:szCs w:val="32"/>
        </w:rPr>
      </w:pPr>
      <w:r>
        <w:rPr>
          <w:rFonts w:eastAsia="方正楷体_GBK"/>
          <w:b/>
          <w:bCs/>
          <w:sz w:val="32"/>
          <w:szCs w:val="32"/>
        </w:rPr>
        <w:t>（三）项目自评步骤及方法</w:t>
      </w:r>
    </w:p>
    <w:p>
      <w:pPr>
        <w:adjustRightInd w:val="0"/>
        <w:snapToGrid w:val="0"/>
        <w:ind w:firstLine="640" w:firstLineChars="200"/>
        <w:rPr>
          <w:rFonts w:eastAsia="方正仿宋_GBK"/>
          <w:sz w:val="32"/>
          <w:szCs w:val="32"/>
        </w:rPr>
      </w:pPr>
      <w:r>
        <w:rPr>
          <w:rFonts w:eastAsia="方正仿宋_GBK"/>
          <w:sz w:val="32"/>
          <w:szCs w:val="32"/>
        </w:rPr>
        <w:t>办公室成立项目评价小组，明确自评项目自评总分为100分，根据设定的评价指标和评分标准，对项目各方面进行评分。按规定足额缴纳入驻政务中心单位租金、物业费及水电费，保障单位正常运转。</w:t>
      </w:r>
    </w:p>
    <w:p>
      <w:pPr>
        <w:adjustRightInd w:val="0"/>
        <w:snapToGrid w:val="0"/>
        <w:ind w:firstLine="640" w:firstLineChars="200"/>
        <w:rPr>
          <w:rFonts w:eastAsia="方正黑体_GBK"/>
          <w:sz w:val="32"/>
          <w:szCs w:val="32"/>
        </w:rPr>
      </w:pPr>
      <w:r>
        <w:rPr>
          <w:rFonts w:eastAsia="方正黑体_GBK"/>
          <w:sz w:val="32"/>
          <w:szCs w:val="32"/>
        </w:rPr>
        <w:t>二、项目资金申报及使用情况</w:t>
      </w:r>
    </w:p>
    <w:p>
      <w:pPr>
        <w:adjustRightInd w:val="0"/>
        <w:snapToGrid w:val="0"/>
        <w:ind w:firstLine="640" w:firstLineChars="200"/>
        <w:rPr>
          <w:rFonts w:eastAsia="方正仿宋_GBK"/>
          <w:sz w:val="32"/>
          <w:szCs w:val="32"/>
        </w:rPr>
      </w:pPr>
      <w:r>
        <w:rPr>
          <w:rFonts w:eastAsia="方正仿宋_GBK"/>
          <w:sz w:val="32"/>
          <w:szCs w:val="32"/>
        </w:rPr>
        <w:t>“入驻政务中心单位租金、物业费及水电费”项目资金在市医保事务中心2025年年初预算中申报，由市财政批复，共75.52万元，此项目符合资金管理办法等相关规定。</w:t>
      </w:r>
    </w:p>
    <w:p>
      <w:pPr>
        <w:adjustRightInd w:val="0"/>
        <w:snapToGrid w:val="0"/>
        <w:ind w:firstLine="643" w:firstLineChars="200"/>
        <w:rPr>
          <w:rFonts w:eastAsia="方正楷体_GBK"/>
          <w:b/>
          <w:bCs/>
          <w:vanish/>
          <w:sz w:val="32"/>
          <w:szCs w:val="32"/>
        </w:rPr>
      </w:pPr>
      <w:r>
        <w:rPr>
          <w:rFonts w:eastAsia="方正楷体_GBK"/>
          <w:b/>
          <w:bCs/>
          <w:vanish/>
          <w:sz w:val="32"/>
          <w:szCs w:val="32"/>
        </w:rPr>
        <w:t>（二）资金计划、到位及使用情况</w:t>
      </w:r>
    </w:p>
    <w:p>
      <w:pPr>
        <w:adjustRightInd w:val="0"/>
        <w:snapToGrid w:val="0"/>
        <w:ind w:firstLine="643" w:firstLineChars="200"/>
        <w:rPr>
          <w:rFonts w:hint="eastAsia" w:ascii="方正楷体_GBK" w:hAnsi="方正楷体_GBK" w:eastAsia="方正楷体_GBK" w:cs="方正楷体_GBK"/>
          <w:b/>
          <w:bCs/>
          <w:sz w:val="32"/>
          <w:szCs w:val="32"/>
        </w:rPr>
      </w:pPr>
      <w:r>
        <w:rPr>
          <w:rFonts w:hint="eastAsia" w:ascii="方正楷体_GBK" w:hAnsi="方正楷体_GBK" w:eastAsia="方正楷体_GBK" w:cs="方正楷体_GBK"/>
          <w:b/>
          <w:bCs/>
          <w:sz w:val="32"/>
          <w:szCs w:val="32"/>
        </w:rPr>
        <w:t>（一）资金计划及到位。</w:t>
      </w:r>
    </w:p>
    <w:p>
      <w:pPr>
        <w:adjustRightInd w:val="0"/>
        <w:snapToGrid w:val="0"/>
        <w:ind w:firstLine="640" w:firstLineChars="200"/>
        <w:rPr>
          <w:rFonts w:eastAsia="方正仿宋_GBK"/>
          <w:sz w:val="32"/>
          <w:szCs w:val="32"/>
        </w:rPr>
      </w:pPr>
      <w:r>
        <w:rPr>
          <w:rFonts w:eastAsia="方正仿宋_GBK"/>
          <w:sz w:val="32"/>
          <w:szCs w:val="32"/>
        </w:rPr>
        <w:t>此项目2025年预算资金75.52万元，实际下达75.52万元，资金到位率100%。</w:t>
      </w:r>
    </w:p>
    <w:p>
      <w:pPr>
        <w:adjustRightInd w:val="0"/>
        <w:snapToGrid w:val="0"/>
        <w:ind w:firstLine="643" w:firstLineChars="200"/>
        <w:rPr>
          <w:rFonts w:eastAsia="方正仿宋_GBK"/>
          <w:sz w:val="32"/>
          <w:szCs w:val="32"/>
        </w:rPr>
      </w:pPr>
      <w:r>
        <w:rPr>
          <w:rFonts w:hint="eastAsia" w:ascii="方正楷体_GBK" w:hAnsi="方正楷体_GBK" w:eastAsia="方正楷体_GBK" w:cs="方正楷体_GBK"/>
          <w:b/>
          <w:bCs/>
          <w:sz w:val="32"/>
          <w:szCs w:val="32"/>
        </w:rPr>
        <w:t>（二）资金使用。</w:t>
      </w:r>
    </w:p>
    <w:p>
      <w:pPr>
        <w:adjustRightInd w:val="0"/>
        <w:snapToGrid w:val="0"/>
        <w:ind w:firstLine="640" w:firstLineChars="200"/>
        <w:rPr>
          <w:rFonts w:eastAsia="方正仿宋_GBK"/>
          <w:sz w:val="32"/>
          <w:szCs w:val="32"/>
        </w:rPr>
      </w:pPr>
      <w:r>
        <w:rPr>
          <w:rFonts w:eastAsia="方正仿宋_GBK"/>
          <w:sz w:val="32"/>
          <w:szCs w:val="32"/>
        </w:rPr>
        <w:t>此项目资金主要用于支付入驻政务中心单位租金、物业费及水电费。此项目资金到位后，市医保事务中心严格按财经纪律、财务管理等相关规定，严格审核各项支出，及时支付，专款专用，资金支付完成100%。</w:t>
      </w:r>
    </w:p>
    <w:p>
      <w:pPr>
        <w:adjustRightInd w:val="0"/>
        <w:snapToGrid w:val="0"/>
        <w:ind w:firstLine="640" w:firstLineChars="200"/>
        <w:rPr>
          <w:rFonts w:eastAsia="方正黑体_GBK"/>
          <w:sz w:val="32"/>
          <w:szCs w:val="32"/>
        </w:rPr>
      </w:pPr>
      <w:r>
        <w:rPr>
          <w:rFonts w:eastAsia="方正黑体_GBK"/>
          <w:sz w:val="32"/>
          <w:szCs w:val="32"/>
        </w:rPr>
        <w:t>三、项目实施及管理情况</w:t>
      </w:r>
    </w:p>
    <w:p>
      <w:pPr>
        <w:adjustRightInd w:val="0"/>
        <w:snapToGrid w:val="0"/>
        <w:ind w:firstLine="643" w:firstLineChars="200"/>
        <w:rPr>
          <w:rFonts w:eastAsia="方正楷体_GBK"/>
          <w:b/>
          <w:bCs/>
          <w:vanish/>
          <w:sz w:val="32"/>
          <w:szCs w:val="32"/>
        </w:rPr>
      </w:pPr>
      <w:r>
        <w:rPr>
          <w:rFonts w:eastAsia="方正楷体_GBK"/>
          <w:b/>
          <w:bCs/>
          <w:vanish/>
          <w:sz w:val="32"/>
          <w:szCs w:val="32"/>
        </w:rPr>
        <w:t>（一）项目组织架构及实施流程</w:t>
      </w:r>
    </w:p>
    <w:p>
      <w:pPr>
        <w:adjustRightInd w:val="0"/>
        <w:snapToGrid w:val="0"/>
        <w:ind w:firstLine="640" w:firstLineChars="200"/>
        <w:rPr>
          <w:rFonts w:eastAsia="方正仿宋_GBK"/>
          <w:sz w:val="32"/>
          <w:szCs w:val="32"/>
        </w:rPr>
      </w:pPr>
      <w:r>
        <w:rPr>
          <w:rFonts w:eastAsia="方正仿宋_GBK"/>
          <w:sz w:val="32"/>
          <w:szCs w:val="32"/>
        </w:rPr>
        <w:t>市医保事务中心在部门预算中申报项目资金，并制定绩效目标；办公室成立项目评价小组对项目资金执行情况进行绩效评价。</w:t>
      </w:r>
    </w:p>
    <w:p>
      <w:pPr>
        <w:adjustRightInd w:val="0"/>
        <w:snapToGrid w:val="0"/>
        <w:ind w:firstLine="643" w:firstLineChars="200"/>
        <w:rPr>
          <w:rFonts w:eastAsia="方正楷体_GBK"/>
          <w:b/>
          <w:bCs/>
          <w:sz w:val="32"/>
          <w:szCs w:val="32"/>
        </w:rPr>
      </w:pPr>
      <w:r>
        <w:rPr>
          <w:rFonts w:eastAsia="方正楷体_GBK"/>
          <w:b/>
          <w:bCs/>
          <w:sz w:val="32"/>
          <w:szCs w:val="32"/>
        </w:rPr>
        <w:t>（</w:t>
      </w:r>
      <w:r>
        <w:rPr>
          <w:rFonts w:hint="eastAsia" w:eastAsia="方正楷体_GBK"/>
          <w:b/>
          <w:bCs/>
          <w:sz w:val="32"/>
          <w:szCs w:val="32"/>
        </w:rPr>
        <w:t>一</w:t>
      </w:r>
      <w:r>
        <w:rPr>
          <w:rFonts w:eastAsia="方正楷体_GBK"/>
          <w:b/>
          <w:bCs/>
          <w:sz w:val="32"/>
          <w:szCs w:val="32"/>
        </w:rPr>
        <w:t>）项目管理情况</w:t>
      </w:r>
    </w:p>
    <w:p>
      <w:pPr>
        <w:adjustRightInd w:val="0"/>
        <w:snapToGrid w:val="0"/>
        <w:ind w:firstLine="640" w:firstLineChars="200"/>
        <w:rPr>
          <w:rFonts w:eastAsia="方正仿宋_GBK"/>
          <w:sz w:val="32"/>
          <w:szCs w:val="32"/>
        </w:rPr>
      </w:pPr>
      <w:r>
        <w:rPr>
          <w:rFonts w:eastAsia="方正仿宋_GBK"/>
          <w:sz w:val="32"/>
          <w:szCs w:val="32"/>
        </w:rPr>
        <w:t>市医保事务中心建立了财务管理制度，由办公室统一管理“入驻政务中心单位租金、物业费及水电费”项目资金，</w:t>
      </w:r>
    </w:p>
    <w:p>
      <w:pPr>
        <w:adjustRightInd w:val="0"/>
        <w:snapToGrid w:val="0"/>
        <w:ind w:firstLine="640" w:firstLineChars="200"/>
        <w:rPr>
          <w:rFonts w:eastAsia="方正仿宋_GBK"/>
          <w:sz w:val="32"/>
          <w:szCs w:val="32"/>
        </w:rPr>
      </w:pPr>
      <w:r>
        <w:rPr>
          <w:rFonts w:eastAsia="方正仿宋_GBK"/>
          <w:sz w:val="32"/>
          <w:szCs w:val="32"/>
        </w:rPr>
        <w:t>严格按照上级要求上报资金使用计划，并在实施过程中做到资金专款专用。</w:t>
      </w:r>
    </w:p>
    <w:p>
      <w:pPr>
        <w:adjustRightInd w:val="0"/>
        <w:snapToGrid w:val="0"/>
        <w:ind w:firstLine="643" w:firstLineChars="200"/>
        <w:rPr>
          <w:rFonts w:eastAsia="方正楷体_GBK"/>
          <w:b/>
          <w:bCs/>
          <w:sz w:val="32"/>
          <w:szCs w:val="32"/>
        </w:rPr>
      </w:pPr>
      <w:r>
        <w:rPr>
          <w:rFonts w:eastAsia="方正楷体_GBK"/>
          <w:b/>
          <w:bCs/>
          <w:sz w:val="32"/>
          <w:szCs w:val="32"/>
        </w:rPr>
        <w:t>（</w:t>
      </w:r>
      <w:r>
        <w:rPr>
          <w:rFonts w:hint="eastAsia" w:eastAsia="方正楷体_GBK"/>
          <w:b/>
          <w:bCs/>
          <w:sz w:val="32"/>
          <w:szCs w:val="32"/>
        </w:rPr>
        <w:t>二</w:t>
      </w:r>
      <w:r>
        <w:rPr>
          <w:rFonts w:eastAsia="方正楷体_GBK"/>
          <w:b/>
          <w:bCs/>
          <w:sz w:val="32"/>
          <w:szCs w:val="32"/>
        </w:rPr>
        <w:t>）项目监管情况</w:t>
      </w:r>
    </w:p>
    <w:p>
      <w:pPr>
        <w:adjustRightInd w:val="0"/>
        <w:snapToGrid w:val="0"/>
        <w:ind w:firstLine="640" w:firstLineChars="200"/>
        <w:rPr>
          <w:rFonts w:eastAsia="方正仿宋_GBK"/>
          <w:sz w:val="32"/>
          <w:szCs w:val="32"/>
        </w:rPr>
      </w:pPr>
      <w:r>
        <w:rPr>
          <w:rFonts w:eastAsia="方正仿宋_GBK"/>
          <w:sz w:val="32"/>
          <w:szCs w:val="32"/>
        </w:rPr>
        <w:t>“入驻政务中心单位租金、物业费及水电费”项目所有支出严格按照财务会计管理规定，做到资金使用有计划、审批有手续、支出合理规范。并及时进行账务处理和会计核算，按财政要求及时编制和公开项目资金绩效目标。</w:t>
      </w:r>
    </w:p>
    <w:p>
      <w:pPr>
        <w:adjustRightInd w:val="0"/>
        <w:snapToGrid w:val="0"/>
        <w:ind w:firstLine="640" w:firstLineChars="200"/>
        <w:rPr>
          <w:rFonts w:eastAsia="方正黑体_GBK"/>
          <w:sz w:val="32"/>
          <w:szCs w:val="32"/>
        </w:rPr>
      </w:pPr>
      <w:r>
        <w:rPr>
          <w:rFonts w:eastAsia="方正黑体_GBK"/>
          <w:sz w:val="32"/>
          <w:szCs w:val="32"/>
        </w:rPr>
        <w:t>四、项目绩效情况</w:t>
      </w:r>
    </w:p>
    <w:p>
      <w:pPr>
        <w:adjustRightInd w:val="0"/>
        <w:snapToGrid w:val="0"/>
        <w:ind w:firstLine="643" w:firstLineChars="200"/>
        <w:rPr>
          <w:rFonts w:eastAsia="方正楷体_GBK"/>
          <w:b/>
          <w:bCs/>
          <w:sz w:val="32"/>
          <w:szCs w:val="32"/>
        </w:rPr>
      </w:pPr>
      <w:r>
        <w:rPr>
          <w:rFonts w:eastAsia="方正楷体_GBK"/>
          <w:b/>
          <w:bCs/>
          <w:sz w:val="32"/>
          <w:szCs w:val="32"/>
        </w:rPr>
        <w:t>（一）项目完成情况</w:t>
      </w:r>
    </w:p>
    <w:p>
      <w:pPr>
        <w:adjustRightInd w:val="0"/>
        <w:snapToGrid w:val="0"/>
        <w:ind w:firstLine="640" w:firstLineChars="200"/>
        <w:rPr>
          <w:rFonts w:eastAsia="方正仿宋_GBK"/>
          <w:sz w:val="32"/>
          <w:szCs w:val="32"/>
        </w:rPr>
      </w:pPr>
      <w:r>
        <w:rPr>
          <w:rFonts w:eastAsia="方正仿宋_GBK"/>
          <w:sz w:val="32"/>
          <w:szCs w:val="32"/>
        </w:rPr>
        <w:t>“入驻政务中心单位租金、物业费及水电费”项目在当期完成了全部缴纳，执行率100%。保障了市医保事务中心工作正常开展。</w:t>
      </w:r>
    </w:p>
    <w:p>
      <w:pPr>
        <w:adjustRightInd w:val="0"/>
        <w:snapToGrid w:val="0"/>
        <w:ind w:firstLine="640" w:firstLineChars="200"/>
        <w:rPr>
          <w:rFonts w:eastAsia="方正仿宋_GBK"/>
          <w:sz w:val="32"/>
          <w:szCs w:val="32"/>
          <w:highlight w:val="none"/>
        </w:rPr>
      </w:pPr>
      <w:r>
        <w:rPr>
          <w:rFonts w:eastAsia="方正仿宋_GBK"/>
          <w:sz w:val="32"/>
          <w:szCs w:val="32"/>
        </w:rPr>
        <w:t>1.数量指标：</w:t>
      </w:r>
      <w:r>
        <w:rPr>
          <w:rFonts w:hint="eastAsia" w:eastAsia="方正仿宋_GBK"/>
          <w:sz w:val="32"/>
          <w:szCs w:val="32"/>
        </w:rPr>
        <w:t>按季</w:t>
      </w:r>
      <w:r>
        <w:rPr>
          <w:rFonts w:eastAsia="方正仿宋_GBK"/>
          <w:sz w:val="32"/>
          <w:szCs w:val="32"/>
          <w:highlight w:val="none"/>
        </w:rPr>
        <w:t>完成入驻政务中心单位租金、物业费及水电费</w:t>
      </w:r>
      <w:r>
        <w:rPr>
          <w:rFonts w:hint="eastAsia" w:eastAsia="方正仿宋_GBK"/>
          <w:sz w:val="32"/>
          <w:szCs w:val="32"/>
          <w:highlight w:val="none"/>
        </w:rPr>
        <w:t>支付</w:t>
      </w:r>
      <w:r>
        <w:rPr>
          <w:rFonts w:eastAsia="方正仿宋_GBK"/>
          <w:sz w:val="32"/>
          <w:szCs w:val="32"/>
          <w:highlight w:val="none"/>
        </w:rPr>
        <w:t>。</w:t>
      </w:r>
    </w:p>
    <w:p>
      <w:pPr>
        <w:adjustRightInd w:val="0"/>
        <w:snapToGrid w:val="0"/>
        <w:ind w:firstLine="640" w:firstLineChars="200"/>
        <w:rPr>
          <w:rFonts w:eastAsia="方正仿宋_GBK"/>
          <w:sz w:val="32"/>
          <w:szCs w:val="32"/>
        </w:rPr>
      </w:pPr>
      <w:r>
        <w:rPr>
          <w:rFonts w:eastAsia="方正仿宋_GBK"/>
          <w:sz w:val="32"/>
          <w:szCs w:val="32"/>
        </w:rPr>
        <w:t>2.质量指标：全额缴纳入驻政务中心单位租金、物业费及水电费，保障单位正常运转。</w:t>
      </w:r>
    </w:p>
    <w:p>
      <w:pPr>
        <w:adjustRightInd w:val="0"/>
        <w:snapToGrid w:val="0"/>
        <w:ind w:firstLine="640" w:firstLineChars="200"/>
        <w:rPr>
          <w:rFonts w:eastAsia="方正仿宋_GBK"/>
          <w:sz w:val="32"/>
          <w:szCs w:val="32"/>
        </w:rPr>
      </w:pPr>
      <w:r>
        <w:rPr>
          <w:rFonts w:eastAsia="方正仿宋_GBK"/>
          <w:sz w:val="32"/>
          <w:szCs w:val="32"/>
        </w:rPr>
        <w:t>3.时效指标：2025年1-12月在规定时间内使用资金。</w:t>
      </w:r>
    </w:p>
    <w:p>
      <w:pPr>
        <w:adjustRightInd w:val="0"/>
        <w:snapToGrid w:val="0"/>
        <w:ind w:firstLine="640" w:firstLineChars="200"/>
        <w:rPr>
          <w:rFonts w:eastAsia="方正仿宋_GBK"/>
          <w:sz w:val="32"/>
          <w:szCs w:val="32"/>
        </w:rPr>
      </w:pPr>
      <w:r>
        <w:rPr>
          <w:rFonts w:eastAsia="方正仿宋_GBK"/>
          <w:sz w:val="32"/>
          <w:szCs w:val="32"/>
        </w:rPr>
        <w:t>4.社会效益指标：保障单位正常运转，完成值为“良好”。</w:t>
      </w:r>
    </w:p>
    <w:p>
      <w:pPr>
        <w:adjustRightInd w:val="0"/>
        <w:snapToGrid w:val="0"/>
        <w:ind w:firstLine="640" w:firstLineChars="200"/>
        <w:rPr>
          <w:rFonts w:eastAsia="方正仿宋_GBK"/>
          <w:sz w:val="32"/>
          <w:szCs w:val="32"/>
        </w:rPr>
      </w:pPr>
      <w:r>
        <w:rPr>
          <w:rFonts w:eastAsia="方正仿宋_GBK"/>
          <w:sz w:val="32"/>
          <w:szCs w:val="32"/>
        </w:rPr>
        <w:t>5.服务对象满意度指标：政务中心入驻人员满意度完成值为“满意”。</w:t>
      </w:r>
    </w:p>
    <w:p>
      <w:pPr>
        <w:adjustRightInd w:val="0"/>
        <w:snapToGrid w:val="0"/>
        <w:ind w:firstLine="640" w:firstLineChars="200"/>
        <w:rPr>
          <w:rFonts w:eastAsia="方正仿宋_GBK"/>
          <w:sz w:val="32"/>
          <w:szCs w:val="32"/>
        </w:rPr>
      </w:pPr>
      <w:r>
        <w:rPr>
          <w:rFonts w:eastAsia="方正仿宋_GBK"/>
          <w:sz w:val="32"/>
          <w:szCs w:val="32"/>
        </w:rPr>
        <w:t>6.经济成本指标：完成入驻政务中心单位租金、物业费及水电费75.52万元。</w:t>
      </w:r>
    </w:p>
    <w:p>
      <w:pPr>
        <w:adjustRightInd w:val="0"/>
        <w:snapToGrid w:val="0"/>
        <w:ind w:firstLine="643" w:firstLineChars="200"/>
        <w:rPr>
          <w:rFonts w:eastAsia="方正楷体_GBK"/>
          <w:b/>
          <w:bCs/>
          <w:sz w:val="32"/>
          <w:szCs w:val="32"/>
        </w:rPr>
      </w:pPr>
      <w:r>
        <w:rPr>
          <w:rFonts w:eastAsia="方正楷体_GBK"/>
          <w:b/>
          <w:bCs/>
          <w:sz w:val="32"/>
          <w:szCs w:val="32"/>
        </w:rPr>
        <w:t>（二）项目效益情况</w:t>
      </w:r>
    </w:p>
    <w:p>
      <w:pPr>
        <w:adjustRightInd w:val="0"/>
        <w:snapToGrid w:val="0"/>
        <w:ind w:firstLine="640" w:firstLineChars="200"/>
        <w:rPr>
          <w:rFonts w:eastAsia="方正仿宋_GBK"/>
          <w:sz w:val="32"/>
          <w:szCs w:val="32"/>
        </w:rPr>
      </w:pPr>
      <w:r>
        <w:rPr>
          <w:rFonts w:eastAsia="方正仿宋_GBK"/>
          <w:sz w:val="32"/>
          <w:szCs w:val="32"/>
        </w:rPr>
        <w:t>“入驻政务中心单位租金、物业费及水电费”项目保证了市医保事务中心、日常办公正常运转。</w:t>
      </w:r>
    </w:p>
    <w:p>
      <w:pPr>
        <w:adjustRightInd w:val="0"/>
        <w:snapToGrid w:val="0"/>
        <w:ind w:firstLine="640" w:firstLineChars="200"/>
        <w:rPr>
          <w:rFonts w:eastAsia="方正黑体_GBK"/>
          <w:sz w:val="32"/>
          <w:szCs w:val="32"/>
        </w:rPr>
      </w:pPr>
      <w:r>
        <w:rPr>
          <w:rFonts w:eastAsia="方正黑体_GBK"/>
          <w:sz w:val="32"/>
          <w:szCs w:val="32"/>
        </w:rPr>
        <w:t>五、评价结论及建议</w:t>
      </w:r>
    </w:p>
    <w:p>
      <w:pPr>
        <w:adjustRightInd w:val="0"/>
        <w:snapToGrid w:val="0"/>
        <w:ind w:firstLine="643" w:firstLineChars="200"/>
        <w:rPr>
          <w:rFonts w:eastAsia="方正楷体_GBK"/>
          <w:b/>
          <w:bCs/>
          <w:sz w:val="32"/>
          <w:szCs w:val="32"/>
        </w:rPr>
      </w:pPr>
      <w:r>
        <w:rPr>
          <w:rFonts w:eastAsia="方正楷体_GBK"/>
          <w:b/>
          <w:bCs/>
          <w:sz w:val="32"/>
          <w:szCs w:val="32"/>
        </w:rPr>
        <w:t>（一）评价结论</w:t>
      </w:r>
    </w:p>
    <w:p>
      <w:pPr>
        <w:adjustRightInd w:val="0"/>
        <w:snapToGrid w:val="0"/>
        <w:ind w:firstLine="640" w:firstLineChars="200"/>
        <w:rPr>
          <w:rFonts w:eastAsia="方正仿宋_GBK"/>
          <w:sz w:val="32"/>
          <w:szCs w:val="32"/>
        </w:rPr>
      </w:pPr>
      <w:r>
        <w:rPr>
          <w:rFonts w:eastAsia="方正仿宋_GBK"/>
          <w:sz w:val="32"/>
          <w:szCs w:val="32"/>
        </w:rPr>
        <w:t>“入驻政务中心单位租金、物业费及水电费项目”在预算执行时未超过预算标准、资金使用效率高、服务对象满意度完成值为满意，持续精细化管理预算，保障市医保事务中心高效工作、可持续运行。</w:t>
      </w:r>
    </w:p>
    <w:p>
      <w:pPr>
        <w:adjustRightInd w:val="0"/>
        <w:snapToGrid w:val="0"/>
        <w:ind w:firstLine="643" w:firstLineChars="200"/>
        <w:rPr>
          <w:rFonts w:eastAsia="方正楷体_GBK"/>
          <w:b/>
          <w:bCs/>
          <w:sz w:val="32"/>
          <w:szCs w:val="32"/>
        </w:rPr>
      </w:pPr>
      <w:r>
        <w:rPr>
          <w:rFonts w:eastAsia="方正楷体_GBK"/>
          <w:b/>
          <w:bCs/>
          <w:sz w:val="32"/>
          <w:szCs w:val="32"/>
        </w:rPr>
        <w:t>（二）存在的问题</w:t>
      </w:r>
    </w:p>
    <w:p>
      <w:pPr>
        <w:adjustRightInd w:val="0"/>
        <w:snapToGrid w:val="0"/>
        <w:ind w:firstLine="640" w:firstLineChars="200"/>
        <w:rPr>
          <w:rFonts w:eastAsia="方正仿宋_GBK"/>
          <w:sz w:val="32"/>
          <w:szCs w:val="32"/>
        </w:rPr>
      </w:pPr>
      <w:r>
        <w:rPr>
          <w:rFonts w:eastAsia="方正仿宋_GBK"/>
          <w:sz w:val="32"/>
          <w:szCs w:val="32"/>
        </w:rPr>
        <w:t>无。</w:t>
      </w:r>
    </w:p>
    <w:p>
      <w:pPr>
        <w:adjustRightInd w:val="0"/>
        <w:snapToGrid w:val="0"/>
        <w:ind w:firstLine="643" w:firstLineChars="200"/>
        <w:rPr>
          <w:rFonts w:eastAsia="方正楷体_GBK"/>
          <w:b/>
          <w:bCs/>
          <w:sz w:val="32"/>
          <w:szCs w:val="32"/>
        </w:rPr>
      </w:pPr>
      <w:r>
        <w:rPr>
          <w:rFonts w:eastAsia="方正楷体_GBK"/>
          <w:b/>
          <w:bCs/>
          <w:sz w:val="32"/>
          <w:szCs w:val="32"/>
        </w:rPr>
        <w:t>（三）相关建议</w:t>
      </w:r>
    </w:p>
    <w:p>
      <w:pPr>
        <w:adjustRightInd w:val="0"/>
        <w:snapToGrid w:val="0"/>
        <w:ind w:firstLine="640" w:firstLineChars="200"/>
        <w:rPr>
          <w:rFonts w:eastAsia="方正仿宋_GBK"/>
          <w:sz w:val="32"/>
          <w:szCs w:val="32"/>
        </w:rPr>
      </w:pPr>
      <w:r>
        <w:rPr>
          <w:rFonts w:eastAsia="方正仿宋_GBK"/>
          <w:sz w:val="32"/>
          <w:szCs w:val="32"/>
        </w:rPr>
        <w:t>无。</w:t>
      </w:r>
    </w:p>
    <w:p>
      <w:pPr>
        <w:widowControl/>
        <w:ind w:firstLine="640" w:firstLineChars="200"/>
        <w:jc w:val="left"/>
        <w:rPr>
          <w:rFonts w:eastAsia="方正黑体_GBK"/>
          <w:sz w:val="32"/>
          <w:szCs w:val="32"/>
        </w:rPr>
      </w:pPr>
    </w:p>
    <w:p>
      <w:pPr>
        <w:widowControl/>
        <w:ind w:firstLine="880" w:firstLineChars="200"/>
        <w:jc w:val="center"/>
        <w:rPr>
          <w:rFonts w:eastAsia="黑体"/>
          <w:sz w:val="44"/>
          <w:szCs w:val="44"/>
        </w:rPr>
      </w:pPr>
    </w:p>
    <w:p>
      <w:pPr>
        <w:widowControl/>
        <w:ind w:firstLine="880" w:firstLineChars="200"/>
        <w:jc w:val="center"/>
        <w:rPr>
          <w:rFonts w:eastAsia="黑体"/>
          <w:sz w:val="44"/>
          <w:szCs w:val="44"/>
        </w:rPr>
        <w:sectPr>
          <w:headerReference r:id="rId4" w:type="first"/>
          <w:footerReference r:id="rId6" w:type="first"/>
          <w:headerReference r:id="rId3" w:type="default"/>
          <w:footerReference r:id="rId5" w:type="default"/>
          <w:pgSz w:w="11906" w:h="16838"/>
          <w:pgMar w:top="1440" w:right="1803" w:bottom="1440" w:left="1803" w:header="851" w:footer="992" w:gutter="0"/>
          <w:pgNumType w:fmt="numberInDash"/>
          <w:cols w:space="425" w:num="1"/>
          <w:titlePg/>
          <w:docGrid w:type="lines" w:linePitch="312" w:charSpace="0"/>
        </w:sectPr>
      </w:pPr>
    </w:p>
    <w:p>
      <w:pPr>
        <w:tabs>
          <w:tab w:val="left" w:pos="417"/>
        </w:tabs>
        <w:spacing w:line="600" w:lineRule="exact"/>
        <w:jc w:val="left"/>
        <w:rPr>
          <w:rFonts w:eastAsia="方正黑体_GBK"/>
          <w:sz w:val="32"/>
          <w:szCs w:val="32"/>
        </w:rPr>
      </w:pPr>
      <w:r>
        <w:rPr>
          <w:rFonts w:hint="eastAsia" w:ascii="方正黑体_GBK" w:hAnsi="方正黑体_GBK" w:eastAsia="方正黑体_GBK" w:cs="方正黑体_GBK"/>
          <w:sz w:val="32"/>
          <w:szCs w:val="32"/>
        </w:rPr>
        <w:t>附件</w:t>
      </w:r>
      <w:r>
        <w:rPr>
          <w:rFonts w:eastAsia="方正黑体_GBK"/>
          <w:sz w:val="32"/>
          <w:szCs w:val="32"/>
        </w:rPr>
        <w:t>6</w:t>
      </w:r>
    </w:p>
    <w:tbl>
      <w:tblPr>
        <w:tblStyle w:val="17"/>
        <w:tblW w:w="0" w:type="auto"/>
        <w:tblInd w:w="0" w:type="dxa"/>
        <w:tblLayout w:type="autofit"/>
        <w:tblCellMar>
          <w:top w:w="0" w:type="dxa"/>
          <w:left w:w="0" w:type="dxa"/>
          <w:bottom w:w="0" w:type="dxa"/>
          <w:right w:w="0" w:type="dxa"/>
        </w:tblCellMar>
      </w:tblPr>
      <w:tblGrid>
        <w:gridCol w:w="645"/>
        <w:gridCol w:w="691"/>
        <w:gridCol w:w="1065"/>
        <w:gridCol w:w="4114"/>
        <w:gridCol w:w="460"/>
        <w:gridCol w:w="1159"/>
        <w:gridCol w:w="814"/>
        <w:gridCol w:w="2427"/>
        <w:gridCol w:w="601"/>
        <w:gridCol w:w="525"/>
        <w:gridCol w:w="1487"/>
      </w:tblGrid>
      <w:tr>
        <w:tblPrEx>
          <w:tblCellMar>
            <w:top w:w="0" w:type="dxa"/>
            <w:left w:w="0" w:type="dxa"/>
            <w:bottom w:w="0" w:type="dxa"/>
            <w:right w:w="0" w:type="dxa"/>
          </w:tblCellMar>
        </w:tblPrEx>
        <w:trPr>
          <w:trHeight w:val="270" w:hRule="atLeast"/>
        </w:trPr>
        <w:tc>
          <w:tcPr>
            <w:tcW w:w="0" w:type="auto"/>
            <w:gridSpan w:val="11"/>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b/>
                <w:color w:val="000000"/>
                <w:sz w:val="18"/>
                <w:szCs w:val="18"/>
              </w:rPr>
            </w:pPr>
            <w:r>
              <w:rPr>
                <w:b/>
                <w:color w:val="000000"/>
                <w:kern w:val="0"/>
                <w:sz w:val="18"/>
                <w:szCs w:val="18"/>
                <w:lang w:bidi="ar"/>
              </w:rPr>
              <w:t>部门预算项目支出绩效自评表（2025年度）</w:t>
            </w:r>
          </w:p>
        </w:tc>
      </w:tr>
      <w:tr>
        <w:tblPrEx>
          <w:tblCellMar>
            <w:top w:w="0" w:type="dxa"/>
            <w:left w:w="0" w:type="dxa"/>
            <w:bottom w:w="0" w:type="dxa"/>
            <w:right w:w="0" w:type="dxa"/>
          </w:tblCellMar>
        </w:tblPrEx>
        <w:trPr>
          <w:trHeight w:val="270" w:hRule="atLeast"/>
        </w:trPr>
        <w:tc>
          <w:tcPr>
            <w:tcW w:w="0" w:type="auto"/>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项目名称</w:t>
            </w:r>
          </w:p>
        </w:tc>
        <w:tc>
          <w:tcPr>
            <w:tcW w:w="0" w:type="auto"/>
            <w:gridSpan w:val="9"/>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51040025T000013187694-攀枝花市基本医疗保险按疾病诊断相关分组结合点数法付费（DRG）应用软件系统暨医保基金第三方支付评审</w:t>
            </w:r>
          </w:p>
        </w:tc>
      </w:tr>
      <w:tr>
        <w:tblPrEx>
          <w:tblCellMar>
            <w:top w:w="0" w:type="dxa"/>
            <w:left w:w="0" w:type="dxa"/>
            <w:bottom w:w="0" w:type="dxa"/>
            <w:right w:w="0" w:type="dxa"/>
          </w:tblCellMar>
        </w:tblPrEx>
        <w:trPr>
          <w:trHeight w:val="486" w:hRule="atLeast"/>
        </w:trPr>
        <w:tc>
          <w:tcPr>
            <w:tcW w:w="0" w:type="auto"/>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主管部门</w:t>
            </w:r>
          </w:p>
        </w:tc>
        <w:tc>
          <w:tcPr>
            <w:tcW w:w="0" w:type="auto"/>
            <w:gridSpan w:val="4"/>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攀枝花市医疗保障事务中心部门</w:t>
            </w:r>
          </w:p>
        </w:tc>
        <w:tc>
          <w:tcPr>
            <w:tcW w:w="0" w:type="auto"/>
            <w:gridSpan w:val="2"/>
            <w:tcBorders>
              <w:top w:val="nil"/>
              <w:left w:val="nil"/>
              <w:bottom w:val="nil"/>
              <w:right w:val="nil"/>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实施单位 （盖章）</w:t>
            </w:r>
          </w:p>
        </w:tc>
        <w:tc>
          <w:tcPr>
            <w:tcW w:w="0" w:type="auto"/>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攀枝花市医疗保障事务中心</w:t>
            </w:r>
          </w:p>
        </w:tc>
      </w:tr>
      <w:tr>
        <w:tblPrEx>
          <w:tblCellMar>
            <w:top w:w="0" w:type="dxa"/>
            <w:left w:w="0" w:type="dxa"/>
            <w:bottom w:w="0" w:type="dxa"/>
            <w:right w:w="0" w:type="dxa"/>
          </w:tblCellMar>
        </w:tblPrEx>
        <w:trPr>
          <w:trHeight w:val="270" w:hRule="atLeast"/>
        </w:trPr>
        <w:tc>
          <w:tcPr>
            <w:tcW w:w="0" w:type="auto"/>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项目基本情况</w:t>
            </w:r>
          </w:p>
        </w:tc>
        <w:tc>
          <w:tcPr>
            <w:tcW w:w="0" w:type="auto"/>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1.项目年度目标完成情况</w:t>
            </w:r>
          </w:p>
        </w:tc>
        <w:tc>
          <w:tcPr>
            <w:tcW w:w="0" w:type="auto"/>
            <w:gridSpan w:val="4"/>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项目年度目标</w:t>
            </w:r>
          </w:p>
        </w:tc>
        <w:tc>
          <w:tcPr>
            <w:tcW w:w="0" w:type="auto"/>
            <w:gridSpan w:val="5"/>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年度目标完成情况</w:t>
            </w:r>
          </w:p>
        </w:tc>
      </w:tr>
      <w:tr>
        <w:tblPrEx>
          <w:tblCellMar>
            <w:top w:w="0" w:type="dxa"/>
            <w:left w:w="0" w:type="dxa"/>
            <w:bottom w:w="0" w:type="dxa"/>
            <w:right w:w="0" w:type="dxa"/>
          </w:tblCellMar>
        </w:tblPrEx>
        <w:trPr>
          <w:trHeight w:val="3160" w:hRule="atLeast"/>
        </w:trPr>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color w:val="000000"/>
                <w:sz w:val="18"/>
                <w:szCs w:val="18"/>
              </w:rPr>
            </w:pPr>
          </w:p>
        </w:tc>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color w:val="000000"/>
                <w:sz w:val="18"/>
                <w:szCs w:val="18"/>
              </w:rPr>
            </w:pPr>
          </w:p>
        </w:tc>
        <w:tc>
          <w:tcPr>
            <w:tcW w:w="0" w:type="auto"/>
            <w:gridSpan w:val="4"/>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借助第三方机构专业实施队伍和专家体系力量，在做好前期工作的基础上，对接全省统一的DRG付费系统的切换，以及切换后功能参数、模块规则的配置，及系统适配和维护等工作。一是协助医保经办机构对接省平台切换全省统一的DRG付费系统，根据本地实际情况进行优化、调整与对接，实现符合攀枝花DRG付费的分组方案和支付标准，完成本地历史数据迁移；二是协助医保经办机构在省平台DRG付费系统中做好功能参数、模块规则的配置，及系统适配和维护，实现原有的基层病种、高精尖新病种、中医病种、按床日付费病种等配套政策倾斜支付；三是协助医保经办机构使用省平台DRG付费系统进行日常支付、审核、稽核、大数据分析、专业培训、预警监测、绩效评价、结算清单质控分析等服务，并提供专家团队支撑开展疑难问题分析评审、学术探讨与能力建设等服务。</w:t>
            </w:r>
          </w:p>
        </w:tc>
        <w:tc>
          <w:tcPr>
            <w:tcW w:w="0" w:type="auto"/>
            <w:gridSpan w:val="5"/>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完成攀枝花市对接四川DRG分组目录、支付数据测算、系统参数配置等，配合医保月度预结算、年度清算、特例单议评审、医保数据工作组、病案检查、基准点数调整，提供日常业务咨询答疑、开展业务指导培训服务、提供病例审核咨询、地方付费政策入组调整、结算清单质控分析、日常数据维护以及其他服务等工作。</w:t>
            </w:r>
          </w:p>
        </w:tc>
      </w:tr>
      <w:tr>
        <w:tblPrEx>
          <w:tblCellMar>
            <w:top w:w="0" w:type="dxa"/>
            <w:left w:w="0" w:type="dxa"/>
            <w:bottom w:w="0" w:type="dxa"/>
            <w:right w:w="0" w:type="dxa"/>
          </w:tblCellMar>
        </w:tblPrEx>
        <w:trPr>
          <w:trHeight w:val="1680" w:hRule="atLeast"/>
        </w:trPr>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2.项目实施内容及过程概述</w:t>
            </w:r>
          </w:p>
        </w:tc>
        <w:tc>
          <w:tcPr>
            <w:tcW w:w="0" w:type="auto"/>
            <w:gridSpan w:val="9"/>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一是提供信息技术人员配合加强四川省支付管理子系统的功能应用，包括系统参数、业务逻辑的配置与测试，支付标准维护、支付计算公式配置、业务流程控制等；二是配合做好调整和确定适应本地的付费标准，健全符合中医药特点的医保支付机制，完善双侧手术支付政策工作；三是配合做好特例单议工作，协助医保部门完善单议范围、申报流程、组织评审、结果运用、争议处理等工作，日常对医疗机构分组反馈申诉病例进行准确性、合理性核查，对纳入政策规定病例进行准入核查；四是配合做好协商谈判、意见收集反馈、数据工作组、月度结算及年度清算工作，提供支付方式改革相关的专业培训服务、指标预警监测服务、绩效评价服务、结算清单质控分析服务以及DRG运维服务。</w:t>
            </w:r>
          </w:p>
        </w:tc>
      </w:tr>
      <w:tr>
        <w:tblPrEx>
          <w:tblCellMar>
            <w:top w:w="0" w:type="dxa"/>
            <w:left w:w="0" w:type="dxa"/>
            <w:bottom w:w="0" w:type="dxa"/>
            <w:right w:w="0" w:type="dxa"/>
          </w:tblCellMar>
        </w:tblPrEx>
        <w:trPr>
          <w:cantSplit/>
          <w:trHeight w:val="698" w:hRule="atLeast"/>
        </w:trPr>
        <w:tc>
          <w:tcPr>
            <w:tcW w:w="0" w:type="auto"/>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预算执行情况（10分）</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年度预算数（万元）</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年初预算</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调整后预算数</w:t>
            </w:r>
          </w:p>
        </w:tc>
        <w:tc>
          <w:tcPr>
            <w:tcW w:w="0" w:type="auto"/>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预算执行数</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预算执行率</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权重</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得分</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tcPr>
          <w:p>
            <w:pPr>
              <w:widowControl/>
              <w:jc w:val="center"/>
              <w:textAlignment w:val="center"/>
              <w:rPr>
                <w:color w:val="000000"/>
                <w:sz w:val="18"/>
                <w:szCs w:val="18"/>
              </w:rPr>
            </w:pPr>
            <w:r>
              <w:rPr>
                <w:color w:val="000000"/>
                <w:kern w:val="0"/>
                <w:sz w:val="18"/>
                <w:szCs w:val="18"/>
                <w:lang w:bidi="ar"/>
              </w:rPr>
              <w:t>原因</w:t>
            </w:r>
          </w:p>
        </w:tc>
      </w:tr>
      <w:tr>
        <w:tblPrEx>
          <w:tblCellMar>
            <w:top w:w="0" w:type="dxa"/>
            <w:left w:w="0" w:type="dxa"/>
            <w:bottom w:w="0" w:type="dxa"/>
            <w:right w:w="0" w:type="dxa"/>
          </w:tblCellMar>
        </w:tblPrEx>
        <w:trPr>
          <w:cantSplit/>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总额</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100.00</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100.00</w:t>
            </w:r>
          </w:p>
        </w:tc>
        <w:tc>
          <w:tcPr>
            <w:tcW w:w="0" w:type="auto"/>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100.00</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100.00%</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10</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0" w:type="auto"/>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tcPr>
          <w:p>
            <w:pPr>
              <w:widowControl/>
              <w:jc w:val="center"/>
              <w:textAlignment w:val="center"/>
              <w:rPr>
                <w:color w:val="000000"/>
                <w:sz w:val="18"/>
                <w:szCs w:val="18"/>
              </w:rPr>
            </w:pPr>
            <w:r>
              <w:rPr>
                <w:color w:val="000000"/>
                <w:kern w:val="0"/>
                <w:sz w:val="18"/>
                <w:szCs w:val="18"/>
                <w:lang w:bidi="ar"/>
              </w:rPr>
              <w:t>无。</w:t>
            </w:r>
          </w:p>
        </w:tc>
      </w:tr>
      <w:tr>
        <w:tblPrEx>
          <w:tblCellMar>
            <w:top w:w="0" w:type="dxa"/>
            <w:left w:w="0" w:type="dxa"/>
            <w:bottom w:w="0" w:type="dxa"/>
            <w:right w:w="0" w:type="dxa"/>
          </w:tblCellMar>
        </w:tblPrEx>
        <w:trPr>
          <w:trHeight w:val="561" w:hRule="atLeast"/>
        </w:trPr>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其中：财政资金</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100.00</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100.00</w:t>
            </w:r>
          </w:p>
        </w:tc>
        <w:tc>
          <w:tcPr>
            <w:tcW w:w="0" w:type="auto"/>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100.00</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100.00%</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w:t>
            </w:r>
          </w:p>
        </w:tc>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r>
      <w:tr>
        <w:tblPrEx>
          <w:tblCellMar>
            <w:top w:w="0" w:type="dxa"/>
            <w:left w:w="0" w:type="dxa"/>
            <w:bottom w:w="0" w:type="dxa"/>
            <w:right w:w="0"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财政专户管理资金</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0.00</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0.00</w:t>
            </w:r>
          </w:p>
        </w:tc>
        <w:tc>
          <w:tcPr>
            <w:tcW w:w="0" w:type="auto"/>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0.00</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0.00%</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w:t>
            </w:r>
          </w:p>
        </w:tc>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r>
      <w:tr>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单位资金</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0.00</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0.00</w:t>
            </w:r>
          </w:p>
        </w:tc>
        <w:tc>
          <w:tcPr>
            <w:tcW w:w="0" w:type="auto"/>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0.00</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0.00%</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w:t>
            </w:r>
          </w:p>
        </w:tc>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r>
      <w:tr>
        <w:trPr>
          <w:trHeight w:val="290" w:hRule="atLeast"/>
        </w:trPr>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其他资金</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i/>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i/>
                <w:color w:val="000000"/>
                <w:sz w:val="18"/>
                <w:szCs w:val="18"/>
              </w:rPr>
            </w:pPr>
          </w:p>
        </w:tc>
        <w:tc>
          <w:tcPr>
            <w:tcW w:w="0" w:type="auto"/>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i/>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w:t>
            </w:r>
          </w:p>
        </w:tc>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r>
      <w:tr>
        <w:tblPrEx>
          <w:tblCellMar>
            <w:top w:w="0" w:type="dxa"/>
            <w:left w:w="0" w:type="dxa"/>
            <w:bottom w:w="0" w:type="dxa"/>
            <w:right w:w="0" w:type="dxa"/>
          </w:tblCellMar>
        </w:tblPrEx>
        <w:trPr>
          <w:trHeight w:val="547" w:hRule="atLeast"/>
        </w:trPr>
        <w:tc>
          <w:tcPr>
            <w:tcW w:w="0" w:type="auto"/>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绩效指标（90分）</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一级指标</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二级指标</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三级指标</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指标性质</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指标值</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度量单位</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完成值</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权重</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得分</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未完成原因分析</w:t>
            </w:r>
          </w:p>
        </w:tc>
      </w:tr>
      <w:tr>
        <w:tblPrEx>
          <w:tblCellMar>
            <w:top w:w="0" w:type="dxa"/>
            <w:left w:w="0" w:type="dxa"/>
            <w:bottom w:w="0" w:type="dxa"/>
            <w:right w:w="0" w:type="dxa"/>
          </w:tblCellMar>
        </w:tblPrEx>
        <w:trPr>
          <w:trHeight w:val="540" w:hRule="atLeast"/>
        </w:trPr>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0" w:type="auto"/>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产出指标</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数量指标</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全市医疗机构全面覆盖</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100</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100</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15</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15</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无。</w:t>
            </w:r>
          </w:p>
        </w:tc>
      </w:tr>
      <w:tr>
        <w:tblPrEx>
          <w:tblCellMar>
            <w:top w:w="0" w:type="dxa"/>
            <w:left w:w="0" w:type="dxa"/>
            <w:bottom w:w="0" w:type="dxa"/>
            <w:right w:w="0" w:type="dxa"/>
          </w:tblCellMar>
        </w:tblPrEx>
        <w:trPr>
          <w:trHeight w:val="540" w:hRule="atLeast"/>
        </w:trPr>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质量指标</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实现医保基金实际付费</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12</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月</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12月</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15</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15</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无。</w:t>
            </w:r>
          </w:p>
        </w:tc>
      </w:tr>
      <w:tr>
        <w:tblPrEx>
          <w:tblCellMar>
            <w:top w:w="0" w:type="dxa"/>
            <w:left w:w="0" w:type="dxa"/>
            <w:bottom w:w="0" w:type="dxa"/>
            <w:right w:w="0"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时效指标</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全年医保基金付费</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年</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2025年</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10</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10</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无。</w:t>
            </w:r>
          </w:p>
        </w:tc>
      </w:tr>
      <w:tr>
        <w:tblPrEx>
          <w:tblCellMar>
            <w:top w:w="0" w:type="dxa"/>
            <w:left w:w="0" w:type="dxa"/>
            <w:bottom w:w="0" w:type="dxa"/>
            <w:right w:w="0" w:type="dxa"/>
          </w:tblCellMar>
        </w:tblPrEx>
        <w:trPr>
          <w:trHeight w:val="777" w:hRule="atLeast"/>
        </w:trPr>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0" w:type="auto"/>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效益指标</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经济效益指标</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全市医疗机构能够及时解决改革中出现的问题</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定性</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合理使用，个人负担减轻</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合理使用，个人负担减轻</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10</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10</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无。</w:t>
            </w:r>
          </w:p>
        </w:tc>
      </w:tr>
      <w:tr>
        <w:tblPrEx>
          <w:tblCellMar>
            <w:top w:w="0" w:type="dxa"/>
            <w:left w:w="0" w:type="dxa"/>
            <w:bottom w:w="0" w:type="dxa"/>
            <w:right w:w="0" w:type="dxa"/>
          </w:tblCellMar>
        </w:tblPrEx>
        <w:trPr>
          <w:trHeight w:val="791" w:hRule="atLeast"/>
        </w:trPr>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社会效益指标</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优化付费体系和服务系统，有效解决改革出现的问题</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定性</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规范定点医疗机构行为</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规范定点医疗机构行为</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10</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10</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无。</w:t>
            </w:r>
          </w:p>
        </w:tc>
      </w:tr>
      <w:tr>
        <w:tblPrEx>
          <w:tblCellMar>
            <w:top w:w="0" w:type="dxa"/>
            <w:left w:w="0" w:type="dxa"/>
            <w:bottom w:w="0" w:type="dxa"/>
            <w:right w:w="0" w:type="dxa"/>
          </w:tblCellMar>
        </w:tblPrEx>
        <w:trPr>
          <w:trHeight w:val="1581" w:hRule="atLeast"/>
        </w:trPr>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可持续影响指标</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实现患者治病少花钱、医保基金有结余、医院医疗服务快速提升“多方共赢”，为全国DRG付费改革提供了“攀枝花方案”。</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定性</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医保、医疗、医疗协同发展</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医保、医疗、医疗协同发展</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5</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5</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无。</w:t>
            </w:r>
          </w:p>
        </w:tc>
      </w:tr>
      <w:tr>
        <w:tblPrEx>
          <w:tblCellMar>
            <w:top w:w="0" w:type="dxa"/>
            <w:left w:w="0" w:type="dxa"/>
            <w:bottom w:w="0" w:type="dxa"/>
            <w:right w:w="0" w:type="dxa"/>
          </w:tblCellMar>
        </w:tblPrEx>
        <w:trPr>
          <w:trHeight w:val="628" w:hRule="atLeast"/>
        </w:trPr>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满意度指标</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服务对象满意度指标</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群众满意度</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75</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≥75%</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5</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5</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无。</w:t>
            </w:r>
          </w:p>
        </w:tc>
      </w:tr>
      <w:tr>
        <w:tblPrEx>
          <w:tblCellMar>
            <w:top w:w="0" w:type="dxa"/>
            <w:left w:w="0" w:type="dxa"/>
            <w:bottom w:w="0" w:type="dxa"/>
            <w:right w:w="0"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成本指标</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经济成本指标</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220万元</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100</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万元</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100万元</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20</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20</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无。</w:t>
            </w:r>
          </w:p>
        </w:tc>
      </w:tr>
      <w:tr>
        <w:tblPrEx>
          <w:tblCellMar>
            <w:top w:w="0" w:type="dxa"/>
            <w:left w:w="0" w:type="dxa"/>
            <w:bottom w:w="0" w:type="dxa"/>
            <w:right w:w="0" w:type="dxa"/>
          </w:tblCellMar>
        </w:tblPrEx>
        <w:trPr>
          <w:trHeight w:val="270" w:hRule="atLeast"/>
        </w:trPr>
        <w:tc>
          <w:tcPr>
            <w:tcW w:w="0" w:type="auto"/>
            <w:gridSpan w:val="7"/>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合计</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100</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100</w:t>
            </w:r>
          </w:p>
        </w:tc>
        <w:tc>
          <w:tcPr>
            <w:tcW w:w="0" w:type="auto"/>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无。</w:t>
            </w: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评价结论</w:t>
            </w:r>
          </w:p>
        </w:tc>
        <w:tc>
          <w:tcPr>
            <w:tcW w:w="0" w:type="auto"/>
            <w:gridSpan w:val="10"/>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项目自评得分100分，充分发挥示范带动作用，全面建成上下联动、内外协同、标准规范、管用高效的医保支付新机制，努力形成可复制、可借鉴的改革示范经验，促进医疗保障和医药服务高质量协同发展。</w:t>
            </w: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存在问题</w:t>
            </w:r>
          </w:p>
        </w:tc>
        <w:tc>
          <w:tcPr>
            <w:tcW w:w="0" w:type="auto"/>
            <w:gridSpan w:val="10"/>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1.DRG2.0版还在适应阶段。我市从2025年1月起实施全省统一的四川DRG分组目录，在执行过程中，存在ICD-10、ICD-9编码录入规则与2.0版分组逻辑不吻合导致入组错误，影响了DRG付费准确性。因此，要不断加强对四川DRG分组目录的培训，做好2.0版的落地实操。</w:t>
            </w:r>
            <w:r>
              <w:rPr>
                <w:color w:val="000000"/>
                <w:kern w:val="0"/>
                <w:sz w:val="18"/>
                <w:szCs w:val="18"/>
                <w:lang w:bidi="ar"/>
              </w:rPr>
              <w:br w:type="textWrapping"/>
            </w:r>
            <w:r>
              <w:rPr>
                <w:color w:val="000000"/>
                <w:kern w:val="0"/>
                <w:sz w:val="18"/>
                <w:szCs w:val="18"/>
                <w:lang w:bidi="ar"/>
              </w:rPr>
              <w:t>2.结算清单填报质量有待提高。医疗机构部分结算清单存在主诊断与主手术编码严重偏差的问题，如一些特殊术式编码错误，可能导致病例的付费出现严重偏差；部分病例其他诊断缺乏诊断依据且未治疗，导致诊断和病情无法充分结合，可能高编入组合并症或并发症病组，涉嫌套取医保基金。</w:t>
            </w: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nil"/>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改进措施</w:t>
            </w:r>
          </w:p>
        </w:tc>
        <w:tc>
          <w:tcPr>
            <w:tcW w:w="0" w:type="auto"/>
            <w:gridSpan w:val="10"/>
            <w:tcBorders>
              <w:top w:val="single" w:color="000000" w:sz="4" w:space="0"/>
              <w:left w:val="single" w:color="000000" w:sz="4" w:space="0"/>
              <w:bottom w:val="nil"/>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不断动态优化核心要素夯实改革“精准度”。按照国家局、省医保局统一安排部署，积极构建“动态调整、精准适配”的四川省分组体系。将继续用好特例单议机制，强化支付方式意见收集反馈，健全完善谈判协商机制，组建医保数据工作组，规范基金预付工作，建立基准点数和差异系数等核心要素动态调整机制，助力医疗机构高质量发展，推动医保支付方式改革走深走实。</w:t>
            </w:r>
          </w:p>
        </w:tc>
      </w:tr>
      <w:tr>
        <w:tblPrEx>
          <w:tblCellMar>
            <w:top w:w="0" w:type="dxa"/>
            <w:left w:w="0" w:type="dxa"/>
            <w:bottom w:w="0" w:type="dxa"/>
            <w:right w:w="0" w:type="dxa"/>
          </w:tblCellMar>
        </w:tblPrEx>
        <w:trPr>
          <w:trHeight w:val="270" w:hRule="atLeast"/>
        </w:trPr>
        <w:tc>
          <w:tcPr>
            <w:tcW w:w="0" w:type="auto"/>
            <w:gridSpan w:val="5"/>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项目负责人：孟瑶</w:t>
            </w:r>
          </w:p>
        </w:tc>
        <w:tc>
          <w:tcPr>
            <w:tcW w:w="0" w:type="auto"/>
            <w:gridSpan w:val="6"/>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财务负责人：张峻源</w:t>
            </w:r>
          </w:p>
        </w:tc>
      </w:tr>
    </w:tbl>
    <w:p>
      <w:pPr>
        <w:tabs>
          <w:tab w:val="left" w:pos="417"/>
        </w:tabs>
        <w:spacing w:line="600" w:lineRule="exact"/>
        <w:jc w:val="left"/>
        <w:rPr>
          <w:rFonts w:eastAsia="黑体"/>
          <w:sz w:val="32"/>
          <w:szCs w:val="32"/>
        </w:rPr>
      </w:pPr>
    </w:p>
    <w:p>
      <w:pPr>
        <w:adjustRightInd w:val="0"/>
        <w:snapToGrid w:val="0"/>
        <w:ind w:firstLine="640" w:firstLineChars="200"/>
        <w:rPr>
          <w:rFonts w:eastAsia="方正仿宋_GBK"/>
          <w:kern w:val="0"/>
          <w:sz w:val="32"/>
          <w:szCs w:val="32"/>
        </w:rPr>
      </w:pPr>
    </w:p>
    <w:p>
      <w:pPr>
        <w:adjustRightInd w:val="0"/>
        <w:snapToGrid w:val="0"/>
        <w:ind w:firstLine="640" w:firstLineChars="200"/>
        <w:rPr>
          <w:rFonts w:eastAsia="方正仿宋_GBK"/>
          <w:kern w:val="0"/>
          <w:sz w:val="32"/>
          <w:szCs w:val="32"/>
        </w:rPr>
      </w:pPr>
    </w:p>
    <w:p>
      <w:pPr>
        <w:adjustRightInd w:val="0"/>
        <w:snapToGrid w:val="0"/>
        <w:ind w:firstLine="640" w:firstLineChars="200"/>
        <w:rPr>
          <w:rFonts w:eastAsia="方正仿宋_GBK"/>
          <w:kern w:val="0"/>
          <w:sz w:val="32"/>
          <w:szCs w:val="32"/>
        </w:rPr>
      </w:pPr>
    </w:p>
    <w:p>
      <w:pPr>
        <w:adjustRightInd w:val="0"/>
        <w:snapToGrid w:val="0"/>
        <w:rPr>
          <w:rFonts w:eastAsia="方正黑体_GBK"/>
          <w:kern w:val="0"/>
          <w:sz w:val="32"/>
          <w:szCs w:val="32"/>
        </w:rPr>
      </w:pPr>
      <w:r>
        <w:rPr>
          <w:rFonts w:eastAsia="方正黑体_GBK"/>
          <w:kern w:val="0"/>
          <w:sz w:val="32"/>
          <w:szCs w:val="32"/>
        </w:rPr>
        <w:t>附件7</w:t>
      </w:r>
    </w:p>
    <w:tbl>
      <w:tblPr>
        <w:tblStyle w:val="17"/>
        <w:tblW w:w="0" w:type="auto"/>
        <w:tblInd w:w="0" w:type="dxa"/>
        <w:tblLayout w:type="autofit"/>
        <w:tblCellMar>
          <w:top w:w="0" w:type="dxa"/>
          <w:left w:w="0" w:type="dxa"/>
          <w:bottom w:w="0" w:type="dxa"/>
          <w:right w:w="0" w:type="dxa"/>
        </w:tblCellMar>
      </w:tblPr>
      <w:tblGrid>
        <w:gridCol w:w="672"/>
        <w:gridCol w:w="724"/>
        <w:gridCol w:w="826"/>
        <w:gridCol w:w="1595"/>
        <w:gridCol w:w="1121"/>
        <w:gridCol w:w="617"/>
        <w:gridCol w:w="502"/>
        <w:gridCol w:w="667"/>
        <w:gridCol w:w="567"/>
        <w:gridCol w:w="354"/>
        <w:gridCol w:w="6343"/>
      </w:tblGrid>
      <w:tr>
        <w:tblPrEx>
          <w:tblCellMar>
            <w:top w:w="0" w:type="dxa"/>
            <w:left w:w="0" w:type="dxa"/>
            <w:bottom w:w="0" w:type="dxa"/>
            <w:right w:w="0" w:type="dxa"/>
          </w:tblCellMar>
        </w:tblPrEx>
        <w:trPr>
          <w:trHeight w:val="270" w:hRule="atLeast"/>
        </w:trPr>
        <w:tc>
          <w:tcPr>
            <w:tcW w:w="0" w:type="auto"/>
            <w:gridSpan w:val="11"/>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b/>
                <w:color w:val="000000"/>
                <w:sz w:val="18"/>
                <w:szCs w:val="18"/>
              </w:rPr>
            </w:pPr>
            <w:r>
              <w:rPr>
                <w:b/>
                <w:color w:val="000000"/>
                <w:kern w:val="0"/>
                <w:sz w:val="18"/>
                <w:szCs w:val="18"/>
                <w:lang w:bidi="ar"/>
              </w:rPr>
              <w:t>部门预算项目支出绩效自评表（2025年度）</w:t>
            </w:r>
          </w:p>
        </w:tc>
      </w:tr>
      <w:tr>
        <w:tblPrEx>
          <w:tblCellMar>
            <w:top w:w="0" w:type="dxa"/>
            <w:left w:w="0" w:type="dxa"/>
            <w:bottom w:w="0" w:type="dxa"/>
            <w:right w:w="0" w:type="dxa"/>
          </w:tblCellMar>
        </w:tblPrEx>
        <w:trPr>
          <w:trHeight w:val="270" w:hRule="atLeast"/>
        </w:trPr>
        <w:tc>
          <w:tcPr>
            <w:tcW w:w="1407" w:type="dxa"/>
            <w:gridSpan w:val="2"/>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项目名称</w:t>
            </w:r>
          </w:p>
        </w:tc>
        <w:tc>
          <w:tcPr>
            <w:tcW w:w="12581" w:type="dxa"/>
            <w:gridSpan w:val="9"/>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51040024T000012057962-医疗服务与保障能力提升中央财政补助资金</w:t>
            </w:r>
          </w:p>
        </w:tc>
      </w:tr>
      <w:tr>
        <w:tblPrEx>
          <w:tblCellMar>
            <w:top w:w="0" w:type="dxa"/>
            <w:left w:w="0" w:type="dxa"/>
            <w:bottom w:w="0" w:type="dxa"/>
            <w:right w:w="0" w:type="dxa"/>
          </w:tblCellMar>
        </w:tblPrEx>
        <w:trPr>
          <w:trHeight w:val="540" w:hRule="atLeast"/>
        </w:trPr>
        <w:tc>
          <w:tcPr>
            <w:tcW w:w="1407"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主管部门</w:t>
            </w:r>
          </w:p>
        </w:tc>
        <w:tc>
          <w:tcPr>
            <w:tcW w:w="4387" w:type="dxa"/>
            <w:gridSpan w:val="5"/>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攀枝花市医疗保障事务中心部门</w:t>
            </w:r>
          </w:p>
        </w:tc>
        <w:tc>
          <w:tcPr>
            <w:tcW w:w="667" w:type="dxa"/>
            <w:tcBorders>
              <w:top w:val="nil"/>
              <w:left w:val="nil"/>
              <w:bottom w:val="nil"/>
              <w:right w:val="nil"/>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实施单位 （盖章）</w:t>
            </w:r>
          </w:p>
        </w:tc>
        <w:tc>
          <w:tcPr>
            <w:tcW w:w="7527"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攀枝花市医疗保障事务中心</w:t>
            </w:r>
          </w:p>
        </w:tc>
      </w:tr>
      <w:tr>
        <w:tblPrEx>
          <w:tblCellMar>
            <w:top w:w="0" w:type="dxa"/>
            <w:left w:w="0" w:type="dxa"/>
            <w:bottom w:w="0" w:type="dxa"/>
            <w:right w:w="0" w:type="dxa"/>
          </w:tblCellMar>
        </w:tblPrEx>
        <w:trPr>
          <w:trHeight w:val="270" w:hRule="atLeast"/>
        </w:trPr>
        <w:tc>
          <w:tcPr>
            <w:tcW w:w="0" w:type="auto"/>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项目基本情况</w:t>
            </w:r>
          </w:p>
        </w:tc>
        <w:tc>
          <w:tcPr>
            <w:tcW w:w="724"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1.项目年度目标完成情况</w:t>
            </w:r>
          </w:p>
        </w:tc>
        <w:tc>
          <w:tcPr>
            <w:tcW w:w="4387" w:type="dxa"/>
            <w:gridSpan w:val="5"/>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项目年度目标</w:t>
            </w:r>
          </w:p>
        </w:tc>
        <w:tc>
          <w:tcPr>
            <w:tcW w:w="0" w:type="auto"/>
            <w:gridSpan w:val="4"/>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年度目标完成情况</w:t>
            </w:r>
          </w:p>
        </w:tc>
      </w:tr>
      <w:tr>
        <w:tblPrEx>
          <w:tblCellMar>
            <w:top w:w="0" w:type="dxa"/>
            <w:left w:w="0" w:type="dxa"/>
            <w:bottom w:w="0" w:type="dxa"/>
            <w:right w:w="0"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color w:val="000000"/>
                <w:sz w:val="18"/>
                <w:szCs w:val="18"/>
              </w:rPr>
            </w:pPr>
          </w:p>
        </w:tc>
        <w:tc>
          <w:tcPr>
            <w:tcW w:w="72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color w:val="000000"/>
                <w:sz w:val="18"/>
                <w:szCs w:val="18"/>
              </w:rPr>
            </w:pPr>
          </w:p>
        </w:tc>
        <w:tc>
          <w:tcPr>
            <w:tcW w:w="4387" w:type="dxa"/>
            <w:gridSpan w:val="5"/>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 xml:space="preserve">加强定点医药机构基金监管，加大打击欺诈骗保工作力度，切实保障医保基金合理有效使用。:加快推进按疾病诊断相关组（DRG）付费试点工作和启动医共体医保改革工作。有效提升宣传引导、经办服务、人才队伍建设等医疗保障服务能力。加强医保网络、信息安全、基础设施等信息化建设工作，进一步夯实技术基础，切实保障医保信息系统高效、安全运行，提高数据采集质量和速度。  </w:t>
            </w:r>
          </w:p>
        </w:tc>
        <w:tc>
          <w:tcPr>
            <w:tcW w:w="0" w:type="auto"/>
            <w:gridSpan w:val="4"/>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有效提升了综合监管、宣传引导、经办服务、信息化建设、人才队伍建设等医疗保障服务能力。不断加大基金监管工作力度，严厉打击欺诈骗保行为，进一步完善医保信息平台建设，有效提升了医疗保障服务能力，如期完成了2025年度总体绩效目标。</w:t>
            </w:r>
          </w:p>
        </w:tc>
      </w:tr>
      <w:tr>
        <w:tblPrEx>
          <w:tblCellMar>
            <w:top w:w="0" w:type="dxa"/>
            <w:left w:w="0" w:type="dxa"/>
            <w:bottom w:w="0" w:type="dxa"/>
            <w:right w:w="0" w:type="dxa"/>
          </w:tblCellMar>
        </w:tblPrEx>
        <w:trPr>
          <w:trHeight w:val="540" w:hRule="atLeast"/>
        </w:trPr>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color w:val="000000"/>
                <w:sz w:val="18"/>
                <w:szCs w:val="18"/>
              </w:rPr>
            </w:pPr>
          </w:p>
        </w:tc>
        <w:tc>
          <w:tcPr>
            <w:tcW w:w="72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2.项目实施内容及过程概述</w:t>
            </w:r>
          </w:p>
        </w:tc>
        <w:tc>
          <w:tcPr>
            <w:tcW w:w="12581" w:type="dxa"/>
            <w:gridSpan w:val="9"/>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中央、省级财政安排用于地方医保信息系统升级改造、基金监管、支付方式改革、提升医疗服务与保障能力等方面的专项资金。</w:t>
            </w:r>
          </w:p>
        </w:tc>
      </w:tr>
      <w:tr>
        <w:tblPrEx>
          <w:tblCellMar>
            <w:top w:w="0" w:type="dxa"/>
            <w:left w:w="0" w:type="dxa"/>
            <w:bottom w:w="0" w:type="dxa"/>
            <w:right w:w="0" w:type="dxa"/>
          </w:tblCellMar>
        </w:tblPrEx>
        <w:trPr>
          <w:trHeight w:val="540" w:hRule="atLeast"/>
        </w:trPr>
        <w:tc>
          <w:tcPr>
            <w:tcW w:w="0" w:type="auto"/>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预算执行情况（10分）</w:t>
            </w:r>
          </w:p>
        </w:tc>
        <w:tc>
          <w:tcPr>
            <w:tcW w:w="72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年度预算数（万元）</w:t>
            </w:r>
          </w:p>
        </w:tc>
        <w:tc>
          <w:tcPr>
            <w:tcW w:w="8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年初预算</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调整后预算数</w:t>
            </w:r>
          </w:p>
        </w:tc>
        <w:tc>
          <w:tcPr>
            <w:tcW w:w="0" w:type="auto"/>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预算执行数</w:t>
            </w:r>
          </w:p>
        </w:tc>
        <w:tc>
          <w:tcPr>
            <w:tcW w:w="6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预算执行率</w:t>
            </w:r>
          </w:p>
        </w:tc>
        <w:tc>
          <w:tcPr>
            <w:tcW w:w="5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权重</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得分</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原因</w:t>
            </w:r>
          </w:p>
        </w:tc>
      </w:tr>
      <w:tr>
        <w:tblPrEx>
          <w:tblCellMar>
            <w:top w:w="0" w:type="dxa"/>
            <w:left w:w="0" w:type="dxa"/>
            <w:bottom w:w="0" w:type="dxa"/>
            <w:right w:w="0"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72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总额</w:t>
            </w:r>
          </w:p>
        </w:tc>
        <w:tc>
          <w:tcPr>
            <w:tcW w:w="8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0.00</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148.20</w:t>
            </w:r>
          </w:p>
        </w:tc>
        <w:tc>
          <w:tcPr>
            <w:tcW w:w="0" w:type="auto"/>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135.19</w:t>
            </w:r>
          </w:p>
        </w:tc>
        <w:tc>
          <w:tcPr>
            <w:tcW w:w="6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91.22%</w:t>
            </w:r>
          </w:p>
        </w:tc>
        <w:tc>
          <w:tcPr>
            <w:tcW w:w="5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10</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9.12</w:t>
            </w:r>
          </w:p>
        </w:tc>
        <w:tc>
          <w:tcPr>
            <w:tcW w:w="0" w:type="auto"/>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无。</w:t>
            </w:r>
          </w:p>
        </w:tc>
      </w:tr>
      <w:tr>
        <w:tblPrEx>
          <w:tblCellMar>
            <w:top w:w="0" w:type="dxa"/>
            <w:left w:w="0" w:type="dxa"/>
            <w:bottom w:w="0" w:type="dxa"/>
            <w:right w:w="0"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72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其中：财政资金</w:t>
            </w:r>
          </w:p>
        </w:tc>
        <w:tc>
          <w:tcPr>
            <w:tcW w:w="8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0.00</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148.20</w:t>
            </w:r>
          </w:p>
        </w:tc>
        <w:tc>
          <w:tcPr>
            <w:tcW w:w="0" w:type="auto"/>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135.19</w:t>
            </w:r>
          </w:p>
        </w:tc>
        <w:tc>
          <w:tcPr>
            <w:tcW w:w="6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91.22%</w:t>
            </w:r>
          </w:p>
        </w:tc>
        <w:tc>
          <w:tcPr>
            <w:tcW w:w="5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w:t>
            </w:r>
          </w:p>
        </w:tc>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r>
      <w:tr>
        <w:tblPrEx>
          <w:tblCellMar>
            <w:top w:w="0" w:type="dxa"/>
            <w:left w:w="0" w:type="dxa"/>
            <w:bottom w:w="0" w:type="dxa"/>
            <w:right w:w="0"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72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财政专户管理资金</w:t>
            </w:r>
          </w:p>
        </w:tc>
        <w:tc>
          <w:tcPr>
            <w:tcW w:w="8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0.00</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0.00</w:t>
            </w:r>
          </w:p>
        </w:tc>
        <w:tc>
          <w:tcPr>
            <w:tcW w:w="0" w:type="auto"/>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0.00</w:t>
            </w:r>
          </w:p>
        </w:tc>
        <w:tc>
          <w:tcPr>
            <w:tcW w:w="6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0.00%</w:t>
            </w:r>
          </w:p>
        </w:tc>
        <w:tc>
          <w:tcPr>
            <w:tcW w:w="5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w:t>
            </w:r>
          </w:p>
        </w:tc>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r>
      <w:tr>
        <w:tblPrEx>
          <w:tblCellMar>
            <w:top w:w="0" w:type="dxa"/>
            <w:left w:w="0" w:type="dxa"/>
            <w:bottom w:w="0" w:type="dxa"/>
            <w:right w:w="0"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72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单位资金</w:t>
            </w:r>
          </w:p>
        </w:tc>
        <w:tc>
          <w:tcPr>
            <w:tcW w:w="8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0.00</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0.00</w:t>
            </w:r>
          </w:p>
        </w:tc>
        <w:tc>
          <w:tcPr>
            <w:tcW w:w="0" w:type="auto"/>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0.00</w:t>
            </w:r>
          </w:p>
        </w:tc>
        <w:tc>
          <w:tcPr>
            <w:tcW w:w="6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0.00%</w:t>
            </w:r>
          </w:p>
        </w:tc>
        <w:tc>
          <w:tcPr>
            <w:tcW w:w="5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w:t>
            </w:r>
          </w:p>
        </w:tc>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r>
      <w:tr>
        <w:tblPrEx>
          <w:tblCellMar>
            <w:top w:w="0" w:type="dxa"/>
            <w:left w:w="0" w:type="dxa"/>
            <w:bottom w:w="0" w:type="dxa"/>
            <w:right w:w="0"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72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其他资金</w:t>
            </w:r>
          </w:p>
        </w:tc>
        <w:tc>
          <w:tcPr>
            <w:tcW w:w="8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i/>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i/>
                <w:color w:val="000000"/>
                <w:sz w:val="18"/>
                <w:szCs w:val="18"/>
              </w:rPr>
            </w:pPr>
          </w:p>
        </w:tc>
        <w:tc>
          <w:tcPr>
            <w:tcW w:w="0" w:type="auto"/>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i/>
                <w:color w:val="000000"/>
                <w:sz w:val="18"/>
                <w:szCs w:val="18"/>
              </w:rPr>
            </w:pPr>
          </w:p>
        </w:tc>
        <w:tc>
          <w:tcPr>
            <w:tcW w:w="6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5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w:t>
            </w:r>
          </w:p>
        </w:tc>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r>
      <w:tr>
        <w:tblPrEx>
          <w:tblCellMar>
            <w:top w:w="0" w:type="dxa"/>
            <w:left w:w="0" w:type="dxa"/>
            <w:bottom w:w="0" w:type="dxa"/>
            <w:right w:w="0" w:type="dxa"/>
          </w:tblCellMar>
        </w:tblPrEx>
        <w:trPr>
          <w:trHeight w:val="270" w:hRule="atLeast"/>
        </w:trPr>
        <w:tc>
          <w:tcPr>
            <w:tcW w:w="0" w:type="auto"/>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绩效指标（90分）</w:t>
            </w:r>
          </w:p>
        </w:tc>
        <w:tc>
          <w:tcPr>
            <w:tcW w:w="72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一级指标</w:t>
            </w:r>
          </w:p>
        </w:tc>
        <w:tc>
          <w:tcPr>
            <w:tcW w:w="8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二级指标</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三级指标</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指标性质</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指标值</w:t>
            </w:r>
          </w:p>
        </w:tc>
        <w:tc>
          <w:tcPr>
            <w:tcW w:w="50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度量单位</w:t>
            </w:r>
          </w:p>
        </w:tc>
        <w:tc>
          <w:tcPr>
            <w:tcW w:w="48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完成值</w:t>
            </w:r>
          </w:p>
        </w:tc>
        <w:tc>
          <w:tcPr>
            <w:tcW w:w="5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权重</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得分</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未完成原因分析</w:t>
            </w:r>
          </w:p>
        </w:tc>
      </w:tr>
      <w:tr>
        <w:tblPrEx>
          <w:tblCellMar>
            <w:top w:w="0" w:type="dxa"/>
            <w:left w:w="0" w:type="dxa"/>
            <w:bottom w:w="0" w:type="dxa"/>
            <w:right w:w="0" w:type="dxa"/>
          </w:tblCellMar>
        </w:tblPrEx>
        <w:trPr>
          <w:trHeight w:val="1793" w:hRule="atLeast"/>
        </w:trPr>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724" w:type="dxa"/>
            <w:vMerge w:val="restart"/>
            <w:tcBorders>
              <w:top w:val="single" w:color="000000" w:sz="4" w:space="0"/>
              <w:left w:val="single" w:color="000000" w:sz="4" w:space="0"/>
              <w:bottom w:val="nil"/>
              <w:right w:val="nil"/>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产出指标</w:t>
            </w:r>
          </w:p>
        </w:tc>
        <w:tc>
          <w:tcPr>
            <w:tcW w:w="826" w:type="dxa"/>
            <w:vMerge w:val="restart"/>
            <w:tcBorders>
              <w:top w:val="single" w:color="000000" w:sz="4" w:space="0"/>
              <w:left w:val="single" w:color="000000" w:sz="4" w:space="0"/>
              <w:bottom w:val="nil"/>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数量指标</w:t>
            </w:r>
          </w:p>
        </w:tc>
        <w:tc>
          <w:tcPr>
            <w:tcW w:w="0" w:type="auto"/>
            <w:tcBorders>
              <w:top w:val="single" w:color="000000" w:sz="4" w:space="0"/>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基本医保参保人数</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110万人</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万人</w:t>
            </w:r>
          </w:p>
        </w:tc>
        <w:tc>
          <w:tcPr>
            <w:tcW w:w="6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109.8万人</w:t>
            </w:r>
          </w:p>
        </w:tc>
        <w:tc>
          <w:tcPr>
            <w:tcW w:w="5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5</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4.98</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tcPr>
          <w:p>
            <w:pPr>
              <w:widowControl/>
              <w:jc w:val="left"/>
              <w:textAlignment w:val="top"/>
              <w:rPr>
                <w:color w:val="000000"/>
                <w:sz w:val="18"/>
                <w:szCs w:val="18"/>
              </w:rPr>
            </w:pPr>
            <w:r>
              <w:rPr>
                <w:color w:val="000000"/>
                <w:kern w:val="0"/>
                <w:sz w:val="18"/>
                <w:szCs w:val="18"/>
                <w:lang w:bidi="ar"/>
              </w:rPr>
              <w:t>受人口负增长、人口净流出、对已稳定脱贫人口执行资助参保渐退政策调整、缴费标准逐年上涨等因素影响，居民参保意愿不强，企业在有选择的前提下，选择外地参保。医保参保人数持续下降，参保扩面空间有限。另外城乡居民医保实行自愿参保原则，没有强制性，参保主要依靠医保一线工作人员、村（社区）干部、学校老师等人员宣传动员，而医保和社区等力量都较少，动员工作覆盖范围大、人数多，参保动员难度大。</w:t>
            </w:r>
          </w:p>
        </w:tc>
      </w:tr>
      <w:tr>
        <w:tblPrEx>
          <w:tblCellMar>
            <w:top w:w="0" w:type="dxa"/>
            <w:left w:w="0" w:type="dxa"/>
            <w:bottom w:w="0" w:type="dxa"/>
            <w:right w:w="0" w:type="dxa"/>
          </w:tblCellMar>
        </w:tblPrEx>
        <w:trPr>
          <w:trHeight w:val="932" w:hRule="atLeast"/>
        </w:trPr>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724" w:type="dxa"/>
            <w:vMerge w:val="continue"/>
            <w:tcBorders>
              <w:top w:val="single" w:color="000000" w:sz="4" w:space="0"/>
              <w:left w:val="single" w:color="000000" w:sz="4" w:space="0"/>
              <w:bottom w:val="nil"/>
              <w:right w:val="nil"/>
            </w:tcBorders>
            <w:tcMar>
              <w:top w:w="15" w:type="dxa"/>
              <w:left w:w="15" w:type="dxa"/>
              <w:right w:w="15" w:type="dxa"/>
            </w:tcMar>
            <w:vAlign w:val="center"/>
          </w:tcPr>
          <w:p>
            <w:pPr>
              <w:jc w:val="center"/>
              <w:rPr>
                <w:color w:val="000000"/>
                <w:sz w:val="18"/>
                <w:szCs w:val="18"/>
              </w:rPr>
            </w:pPr>
          </w:p>
        </w:tc>
        <w:tc>
          <w:tcPr>
            <w:tcW w:w="826" w:type="dxa"/>
            <w:vMerge w:val="continue"/>
            <w:tcBorders>
              <w:top w:val="single" w:color="000000" w:sz="4" w:space="0"/>
              <w:left w:val="single" w:color="000000" w:sz="4" w:space="0"/>
              <w:bottom w:val="nil"/>
              <w:right w:val="single" w:color="000000" w:sz="4" w:space="0"/>
            </w:tcBorders>
            <w:tcMar>
              <w:top w:w="15" w:type="dxa"/>
              <w:left w:w="15" w:type="dxa"/>
              <w:right w:w="15" w:type="dxa"/>
            </w:tcMar>
            <w:vAlign w:val="center"/>
          </w:tcPr>
          <w:p>
            <w:pPr>
              <w:jc w:val="center"/>
              <w:rPr>
                <w:color w:val="000000"/>
                <w:sz w:val="18"/>
                <w:szCs w:val="18"/>
              </w:rPr>
            </w:pPr>
          </w:p>
        </w:tc>
        <w:tc>
          <w:tcPr>
            <w:tcW w:w="0" w:type="auto"/>
            <w:tcBorders>
              <w:top w:val="single" w:color="000000" w:sz="4" w:space="0"/>
              <w:left w:val="nil"/>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开展村（社区）级医保服务、有网点提供帮办、代办服务的村（社区）覆盖率</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≥60%</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100%</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w:t>
            </w:r>
          </w:p>
        </w:tc>
        <w:tc>
          <w:tcPr>
            <w:tcW w:w="6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≥60%</w:t>
            </w:r>
          </w:p>
        </w:tc>
        <w:tc>
          <w:tcPr>
            <w:tcW w:w="5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5</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5</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无。</w:t>
            </w:r>
          </w:p>
        </w:tc>
      </w:tr>
      <w:tr>
        <w:tblPrEx>
          <w:tblCellMar>
            <w:top w:w="0" w:type="dxa"/>
            <w:left w:w="0" w:type="dxa"/>
            <w:bottom w:w="0" w:type="dxa"/>
            <w:right w:w="0"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724" w:type="dxa"/>
            <w:tcBorders>
              <w:top w:val="nil"/>
              <w:left w:val="single" w:color="000000" w:sz="4" w:space="0"/>
              <w:bottom w:val="nil"/>
              <w:right w:val="nil"/>
            </w:tcBorders>
            <w:tcMar>
              <w:top w:w="15" w:type="dxa"/>
              <w:left w:w="15" w:type="dxa"/>
              <w:right w:w="15" w:type="dxa"/>
            </w:tcMar>
            <w:vAlign w:val="center"/>
          </w:tcPr>
          <w:p>
            <w:pPr>
              <w:jc w:val="center"/>
              <w:rPr>
                <w:color w:val="000000"/>
                <w:sz w:val="18"/>
                <w:szCs w:val="18"/>
              </w:rPr>
            </w:pPr>
          </w:p>
        </w:tc>
        <w:tc>
          <w:tcPr>
            <w:tcW w:w="826" w:type="dxa"/>
            <w:vMerge w:val="continue"/>
            <w:tcBorders>
              <w:top w:val="single" w:color="000000" w:sz="4" w:space="0"/>
              <w:left w:val="single" w:color="000000" w:sz="4" w:space="0"/>
              <w:bottom w:val="nil"/>
              <w:right w:val="single" w:color="000000" w:sz="4" w:space="0"/>
            </w:tcBorders>
            <w:tcMar>
              <w:top w:w="15" w:type="dxa"/>
              <w:left w:w="15" w:type="dxa"/>
              <w:right w:w="15" w:type="dxa"/>
            </w:tcMar>
            <w:vAlign w:val="center"/>
          </w:tcPr>
          <w:p>
            <w:pPr>
              <w:jc w:val="center"/>
              <w:rPr>
                <w:color w:val="000000"/>
                <w:sz w:val="18"/>
                <w:szCs w:val="18"/>
              </w:rPr>
            </w:pPr>
          </w:p>
        </w:tc>
        <w:tc>
          <w:tcPr>
            <w:tcW w:w="0" w:type="auto"/>
            <w:tcBorders>
              <w:top w:val="single" w:color="000000" w:sz="4" w:space="0"/>
              <w:left w:val="nil"/>
              <w:bottom w:val="single" w:color="000000" w:sz="4" w:space="0"/>
              <w:right w:val="nil"/>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举办医保信息会</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≥1次</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1次</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次</w:t>
            </w:r>
          </w:p>
        </w:tc>
        <w:tc>
          <w:tcPr>
            <w:tcW w:w="6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2次</w:t>
            </w:r>
          </w:p>
        </w:tc>
        <w:tc>
          <w:tcPr>
            <w:tcW w:w="5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5</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5</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无。</w:t>
            </w:r>
          </w:p>
        </w:tc>
      </w:tr>
      <w:tr>
        <w:tblPrEx>
          <w:tblCellMar>
            <w:top w:w="0" w:type="dxa"/>
            <w:left w:w="0" w:type="dxa"/>
            <w:bottom w:w="0" w:type="dxa"/>
            <w:right w:w="0" w:type="dxa"/>
          </w:tblCellMar>
        </w:tblPrEx>
        <w:trPr>
          <w:trHeight w:val="540" w:hRule="atLeast"/>
        </w:trPr>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724" w:type="dxa"/>
            <w:vMerge w:val="restart"/>
            <w:tcBorders>
              <w:top w:val="nil"/>
              <w:left w:val="single" w:color="000000" w:sz="4" w:space="0"/>
              <w:bottom w:val="nil"/>
              <w:right w:val="nil"/>
            </w:tcBorders>
            <w:tcMar>
              <w:top w:w="15" w:type="dxa"/>
              <w:left w:w="15" w:type="dxa"/>
              <w:right w:w="15" w:type="dxa"/>
            </w:tcMar>
            <w:vAlign w:val="center"/>
          </w:tcPr>
          <w:p>
            <w:pPr>
              <w:jc w:val="center"/>
              <w:rPr>
                <w:color w:val="000000"/>
                <w:sz w:val="18"/>
                <w:szCs w:val="18"/>
              </w:rPr>
            </w:pPr>
          </w:p>
        </w:tc>
        <w:tc>
          <w:tcPr>
            <w:tcW w:w="826"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质量指标</w:t>
            </w:r>
          </w:p>
        </w:tc>
        <w:tc>
          <w:tcPr>
            <w:tcW w:w="0" w:type="auto"/>
            <w:tcBorders>
              <w:top w:val="single" w:color="000000" w:sz="4" w:space="0"/>
              <w:left w:val="single" w:color="000000" w:sz="4" w:space="0"/>
              <w:bottom w:val="single" w:color="000000" w:sz="4" w:space="0"/>
              <w:right w:val="nil"/>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医保信息系统正常运行率</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≥90%</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100%</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w:t>
            </w:r>
          </w:p>
        </w:tc>
        <w:tc>
          <w:tcPr>
            <w:tcW w:w="6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≥90%</w:t>
            </w:r>
          </w:p>
        </w:tc>
        <w:tc>
          <w:tcPr>
            <w:tcW w:w="5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5</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5</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无。</w:t>
            </w:r>
          </w:p>
        </w:tc>
      </w:tr>
      <w:tr>
        <w:tblPrEx>
          <w:tblCellMar>
            <w:top w:w="0" w:type="dxa"/>
            <w:left w:w="0" w:type="dxa"/>
            <w:bottom w:w="0" w:type="dxa"/>
            <w:right w:w="0"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724" w:type="dxa"/>
            <w:vMerge w:val="continue"/>
            <w:tcBorders>
              <w:top w:val="nil"/>
              <w:left w:val="single" w:color="000000" w:sz="4" w:space="0"/>
              <w:bottom w:val="nil"/>
              <w:right w:val="nil"/>
            </w:tcBorders>
            <w:tcMar>
              <w:top w:w="15" w:type="dxa"/>
              <w:left w:w="15" w:type="dxa"/>
              <w:right w:w="15" w:type="dxa"/>
            </w:tcMar>
            <w:vAlign w:val="center"/>
          </w:tcPr>
          <w:p>
            <w:pPr>
              <w:jc w:val="center"/>
              <w:rPr>
                <w:color w:val="000000"/>
                <w:sz w:val="18"/>
                <w:szCs w:val="18"/>
              </w:rPr>
            </w:pPr>
          </w:p>
        </w:tc>
        <w:tc>
          <w:tcPr>
            <w:tcW w:w="82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0" w:type="auto"/>
            <w:tcBorders>
              <w:top w:val="single" w:color="000000" w:sz="4" w:space="0"/>
              <w:left w:val="single" w:color="000000" w:sz="4" w:space="0"/>
              <w:bottom w:val="single" w:color="000000" w:sz="4" w:space="0"/>
              <w:right w:val="nil"/>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医保支付方式改革</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稳步推进</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稳步推进</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定性</w:t>
            </w:r>
          </w:p>
        </w:tc>
        <w:tc>
          <w:tcPr>
            <w:tcW w:w="6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稳步推进</w:t>
            </w:r>
          </w:p>
        </w:tc>
        <w:tc>
          <w:tcPr>
            <w:tcW w:w="5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5</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5</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无。</w:t>
            </w:r>
          </w:p>
        </w:tc>
      </w:tr>
      <w:tr>
        <w:tblPrEx>
          <w:tblCellMar>
            <w:top w:w="0" w:type="dxa"/>
            <w:left w:w="0" w:type="dxa"/>
            <w:bottom w:w="0" w:type="dxa"/>
            <w:right w:w="0" w:type="dxa"/>
          </w:tblCellMar>
        </w:tblPrEx>
        <w:trPr>
          <w:trHeight w:val="581" w:hRule="atLeast"/>
        </w:trPr>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724" w:type="dxa"/>
            <w:vMerge w:val="continue"/>
            <w:tcBorders>
              <w:top w:val="nil"/>
              <w:left w:val="single" w:color="000000" w:sz="4" w:space="0"/>
              <w:bottom w:val="nil"/>
              <w:right w:val="nil"/>
            </w:tcBorders>
            <w:tcMar>
              <w:top w:w="15" w:type="dxa"/>
              <w:left w:w="15" w:type="dxa"/>
              <w:right w:w="15" w:type="dxa"/>
            </w:tcMar>
            <w:vAlign w:val="center"/>
          </w:tcPr>
          <w:p>
            <w:pPr>
              <w:jc w:val="center"/>
              <w:rPr>
                <w:color w:val="000000"/>
                <w:sz w:val="18"/>
                <w:szCs w:val="18"/>
              </w:rPr>
            </w:pPr>
          </w:p>
        </w:tc>
        <w:tc>
          <w:tcPr>
            <w:tcW w:w="82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0" w:type="auto"/>
            <w:tcBorders>
              <w:top w:val="single" w:color="000000" w:sz="4" w:space="0"/>
              <w:left w:val="single" w:color="000000" w:sz="4" w:space="0"/>
              <w:bottom w:val="single" w:color="000000" w:sz="4" w:space="0"/>
              <w:right w:val="nil"/>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国谈药等相关药品落地数据报送及时率</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≥90%</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100%</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w:t>
            </w:r>
          </w:p>
        </w:tc>
        <w:tc>
          <w:tcPr>
            <w:tcW w:w="6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100%</w:t>
            </w:r>
          </w:p>
        </w:tc>
        <w:tc>
          <w:tcPr>
            <w:tcW w:w="5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5</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5</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无。</w:t>
            </w:r>
          </w:p>
        </w:tc>
      </w:tr>
      <w:tr>
        <w:tblPrEx>
          <w:tblCellMar>
            <w:top w:w="0" w:type="dxa"/>
            <w:left w:w="0" w:type="dxa"/>
            <w:bottom w:w="0" w:type="dxa"/>
            <w:right w:w="0" w:type="dxa"/>
          </w:tblCellMar>
        </w:tblPrEx>
        <w:trPr>
          <w:trHeight w:val="658" w:hRule="atLeast"/>
        </w:trPr>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724" w:type="dxa"/>
            <w:vMerge w:val="continue"/>
            <w:tcBorders>
              <w:top w:val="nil"/>
              <w:left w:val="single" w:color="000000" w:sz="4" w:space="0"/>
              <w:bottom w:val="nil"/>
              <w:right w:val="nil"/>
            </w:tcBorders>
            <w:tcMar>
              <w:top w:w="15" w:type="dxa"/>
              <w:left w:w="15" w:type="dxa"/>
              <w:right w:w="15" w:type="dxa"/>
            </w:tcMar>
            <w:vAlign w:val="center"/>
          </w:tcPr>
          <w:p>
            <w:pPr>
              <w:jc w:val="center"/>
              <w:rPr>
                <w:color w:val="000000"/>
                <w:sz w:val="18"/>
                <w:szCs w:val="18"/>
              </w:rPr>
            </w:pPr>
          </w:p>
        </w:tc>
        <w:tc>
          <w:tcPr>
            <w:tcW w:w="82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0" w:type="auto"/>
            <w:tcBorders>
              <w:top w:val="single" w:color="000000" w:sz="4" w:space="0"/>
              <w:left w:val="single" w:color="000000" w:sz="4" w:space="0"/>
              <w:bottom w:val="single" w:color="000000" w:sz="4" w:space="0"/>
              <w:right w:val="nil"/>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医保目录管理规范性情况</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年内未出现违反目录管理政策情况</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未出现违规情况</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定性</w:t>
            </w:r>
          </w:p>
        </w:tc>
        <w:tc>
          <w:tcPr>
            <w:tcW w:w="6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未出现违规情况</w:t>
            </w:r>
          </w:p>
        </w:tc>
        <w:tc>
          <w:tcPr>
            <w:tcW w:w="5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5</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5</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无。</w:t>
            </w:r>
          </w:p>
        </w:tc>
      </w:tr>
      <w:tr>
        <w:tblPrEx>
          <w:tblCellMar>
            <w:top w:w="0" w:type="dxa"/>
            <w:left w:w="0" w:type="dxa"/>
            <w:bottom w:w="0" w:type="dxa"/>
            <w:right w:w="0"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724" w:type="dxa"/>
            <w:vMerge w:val="continue"/>
            <w:tcBorders>
              <w:top w:val="nil"/>
              <w:left w:val="single" w:color="000000" w:sz="4" w:space="0"/>
              <w:bottom w:val="nil"/>
              <w:right w:val="nil"/>
            </w:tcBorders>
            <w:tcMar>
              <w:top w:w="15" w:type="dxa"/>
              <w:left w:w="15" w:type="dxa"/>
              <w:right w:w="15" w:type="dxa"/>
            </w:tcMar>
            <w:vAlign w:val="center"/>
          </w:tcPr>
          <w:p>
            <w:pPr>
              <w:jc w:val="center"/>
              <w:rPr>
                <w:color w:val="000000"/>
                <w:sz w:val="18"/>
                <w:szCs w:val="18"/>
              </w:rPr>
            </w:pPr>
          </w:p>
        </w:tc>
        <w:tc>
          <w:tcPr>
            <w:tcW w:w="826" w:type="dxa"/>
            <w:vMerge w:val="restart"/>
            <w:tcBorders>
              <w:top w:val="nil"/>
              <w:left w:val="single" w:color="000000" w:sz="4" w:space="0"/>
              <w:bottom w:val="nil"/>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时效指标</w:t>
            </w:r>
          </w:p>
        </w:tc>
        <w:tc>
          <w:tcPr>
            <w:tcW w:w="0" w:type="auto"/>
            <w:tcBorders>
              <w:top w:val="single" w:color="000000" w:sz="4" w:space="0"/>
              <w:left w:val="nil"/>
              <w:bottom w:val="single" w:color="000000" w:sz="4" w:space="0"/>
              <w:right w:val="nil"/>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统筹地区结算效率</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即时结算</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即时结算</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定性</w:t>
            </w:r>
          </w:p>
        </w:tc>
        <w:tc>
          <w:tcPr>
            <w:tcW w:w="6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即时结算</w:t>
            </w:r>
          </w:p>
        </w:tc>
        <w:tc>
          <w:tcPr>
            <w:tcW w:w="5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5</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5</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无。</w:t>
            </w:r>
          </w:p>
        </w:tc>
      </w:tr>
      <w:tr>
        <w:tblPrEx>
          <w:tblCellMar>
            <w:top w:w="0" w:type="dxa"/>
            <w:left w:w="0" w:type="dxa"/>
            <w:bottom w:w="0" w:type="dxa"/>
            <w:right w:w="0" w:type="dxa"/>
          </w:tblCellMar>
        </w:tblPrEx>
        <w:trPr>
          <w:trHeight w:val="540" w:hRule="atLeast"/>
        </w:trPr>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724" w:type="dxa"/>
            <w:vMerge w:val="continue"/>
            <w:tcBorders>
              <w:top w:val="nil"/>
              <w:left w:val="single" w:color="000000" w:sz="4" w:space="0"/>
              <w:bottom w:val="nil"/>
              <w:right w:val="nil"/>
            </w:tcBorders>
            <w:tcMar>
              <w:top w:w="15" w:type="dxa"/>
              <w:left w:w="15" w:type="dxa"/>
              <w:right w:w="15" w:type="dxa"/>
            </w:tcMar>
            <w:vAlign w:val="center"/>
          </w:tcPr>
          <w:p>
            <w:pPr>
              <w:jc w:val="center"/>
              <w:rPr>
                <w:color w:val="000000"/>
                <w:sz w:val="18"/>
                <w:szCs w:val="18"/>
              </w:rPr>
            </w:pPr>
          </w:p>
        </w:tc>
        <w:tc>
          <w:tcPr>
            <w:tcW w:w="826" w:type="dxa"/>
            <w:vMerge w:val="continue"/>
            <w:tcBorders>
              <w:top w:val="nil"/>
              <w:left w:val="single" w:color="000000" w:sz="4" w:space="0"/>
              <w:bottom w:val="nil"/>
              <w:right w:val="single" w:color="000000" w:sz="4" w:space="0"/>
            </w:tcBorders>
            <w:tcMar>
              <w:top w:w="15" w:type="dxa"/>
              <w:left w:w="15" w:type="dxa"/>
              <w:right w:w="15" w:type="dxa"/>
            </w:tcMar>
            <w:vAlign w:val="center"/>
          </w:tcPr>
          <w:p>
            <w:pPr>
              <w:jc w:val="center"/>
              <w:rPr>
                <w:color w:val="000000"/>
                <w:sz w:val="18"/>
                <w:szCs w:val="18"/>
              </w:rPr>
            </w:pPr>
          </w:p>
        </w:tc>
        <w:tc>
          <w:tcPr>
            <w:tcW w:w="0" w:type="auto"/>
            <w:tcBorders>
              <w:top w:val="single" w:color="000000" w:sz="4" w:space="0"/>
              <w:left w:val="nil"/>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定点医药机构监督检查和年度考核</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按时完成检查</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2025年底前</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定性</w:t>
            </w:r>
          </w:p>
        </w:tc>
        <w:tc>
          <w:tcPr>
            <w:tcW w:w="6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确保医保基金安全</w:t>
            </w:r>
          </w:p>
        </w:tc>
        <w:tc>
          <w:tcPr>
            <w:tcW w:w="5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5</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5</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无。</w:t>
            </w:r>
          </w:p>
        </w:tc>
      </w:tr>
      <w:tr>
        <w:tblPrEx>
          <w:tblCellMar>
            <w:top w:w="0" w:type="dxa"/>
            <w:left w:w="0" w:type="dxa"/>
            <w:bottom w:w="0" w:type="dxa"/>
            <w:right w:w="0" w:type="dxa"/>
          </w:tblCellMar>
        </w:tblPrEx>
        <w:trPr>
          <w:trHeight w:val="540" w:hRule="atLeast"/>
        </w:trPr>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724" w:type="dxa"/>
            <w:vMerge w:val="continue"/>
            <w:tcBorders>
              <w:top w:val="nil"/>
              <w:left w:val="single" w:color="000000" w:sz="4" w:space="0"/>
              <w:bottom w:val="nil"/>
              <w:right w:val="nil"/>
            </w:tcBorders>
            <w:tcMar>
              <w:top w:w="15" w:type="dxa"/>
              <w:left w:w="15" w:type="dxa"/>
              <w:right w:w="15" w:type="dxa"/>
            </w:tcMar>
            <w:vAlign w:val="center"/>
          </w:tcPr>
          <w:p>
            <w:pPr>
              <w:jc w:val="center"/>
              <w:rPr>
                <w:color w:val="000000"/>
                <w:sz w:val="18"/>
                <w:szCs w:val="18"/>
              </w:rPr>
            </w:pPr>
          </w:p>
        </w:tc>
        <w:tc>
          <w:tcPr>
            <w:tcW w:w="826" w:type="dxa"/>
            <w:vMerge w:val="continue"/>
            <w:tcBorders>
              <w:top w:val="nil"/>
              <w:left w:val="single" w:color="000000" w:sz="4" w:space="0"/>
              <w:bottom w:val="nil"/>
              <w:right w:val="single" w:color="000000" w:sz="4" w:space="0"/>
            </w:tcBorders>
            <w:tcMar>
              <w:top w:w="15" w:type="dxa"/>
              <w:left w:w="15" w:type="dxa"/>
              <w:right w:w="15" w:type="dxa"/>
            </w:tcMar>
            <w:vAlign w:val="center"/>
          </w:tcPr>
          <w:p>
            <w:pPr>
              <w:jc w:val="center"/>
              <w:rPr>
                <w:color w:val="000000"/>
                <w:sz w:val="18"/>
                <w:szCs w:val="18"/>
              </w:rPr>
            </w:pPr>
          </w:p>
        </w:tc>
        <w:tc>
          <w:tcPr>
            <w:tcW w:w="0" w:type="auto"/>
            <w:tcBorders>
              <w:top w:val="single" w:color="000000" w:sz="4" w:space="0"/>
              <w:left w:val="nil"/>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医保信息系统运行维护响应时间</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≤30分钟</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30分钟</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分钟</w:t>
            </w:r>
          </w:p>
        </w:tc>
        <w:tc>
          <w:tcPr>
            <w:tcW w:w="6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≤30分钟</w:t>
            </w:r>
          </w:p>
        </w:tc>
        <w:tc>
          <w:tcPr>
            <w:tcW w:w="5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5</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5</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无。</w:t>
            </w:r>
          </w:p>
        </w:tc>
      </w:tr>
      <w:tr>
        <w:tblPrEx>
          <w:tblCellMar>
            <w:top w:w="0" w:type="dxa"/>
            <w:left w:w="0" w:type="dxa"/>
            <w:bottom w:w="0" w:type="dxa"/>
            <w:right w:w="0" w:type="dxa"/>
          </w:tblCellMar>
        </w:tblPrEx>
        <w:trPr>
          <w:trHeight w:val="567" w:hRule="atLeast"/>
        </w:trPr>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724" w:type="dxa"/>
            <w:vMerge w:val="continue"/>
            <w:tcBorders>
              <w:top w:val="nil"/>
              <w:left w:val="single" w:color="000000" w:sz="4" w:space="0"/>
              <w:bottom w:val="nil"/>
              <w:right w:val="nil"/>
            </w:tcBorders>
            <w:tcMar>
              <w:top w:w="15" w:type="dxa"/>
              <w:left w:w="15" w:type="dxa"/>
              <w:right w:w="15" w:type="dxa"/>
            </w:tcMar>
            <w:vAlign w:val="center"/>
          </w:tcPr>
          <w:p>
            <w:pPr>
              <w:jc w:val="center"/>
              <w:rPr>
                <w:color w:val="000000"/>
                <w:sz w:val="18"/>
                <w:szCs w:val="18"/>
              </w:rPr>
            </w:pPr>
          </w:p>
        </w:tc>
        <w:tc>
          <w:tcPr>
            <w:tcW w:w="826" w:type="dxa"/>
            <w:vMerge w:val="continue"/>
            <w:tcBorders>
              <w:top w:val="nil"/>
              <w:left w:val="single" w:color="000000" w:sz="4" w:space="0"/>
              <w:bottom w:val="nil"/>
              <w:right w:val="single" w:color="000000" w:sz="4" w:space="0"/>
            </w:tcBorders>
            <w:tcMar>
              <w:top w:w="15" w:type="dxa"/>
              <w:left w:w="15" w:type="dxa"/>
              <w:right w:w="15" w:type="dxa"/>
            </w:tcMar>
            <w:vAlign w:val="center"/>
          </w:tcPr>
          <w:p>
            <w:pPr>
              <w:jc w:val="center"/>
              <w:rPr>
                <w:color w:val="000000"/>
                <w:sz w:val="18"/>
                <w:szCs w:val="18"/>
              </w:rPr>
            </w:pPr>
          </w:p>
        </w:tc>
        <w:tc>
          <w:tcPr>
            <w:tcW w:w="0" w:type="auto"/>
            <w:tcBorders>
              <w:top w:val="single" w:color="000000" w:sz="4" w:space="0"/>
              <w:left w:val="nil"/>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医保信息系统重大安全事件响应时间</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≤60分钟</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60分钟</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分钟</w:t>
            </w:r>
          </w:p>
        </w:tc>
        <w:tc>
          <w:tcPr>
            <w:tcW w:w="6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≤60分钟</w:t>
            </w:r>
          </w:p>
        </w:tc>
        <w:tc>
          <w:tcPr>
            <w:tcW w:w="5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5</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5</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无。</w:t>
            </w:r>
          </w:p>
        </w:tc>
      </w:tr>
      <w:tr>
        <w:tblPrEx>
          <w:tblCellMar>
            <w:top w:w="0" w:type="dxa"/>
            <w:left w:w="0" w:type="dxa"/>
            <w:bottom w:w="0" w:type="dxa"/>
            <w:right w:w="0" w:type="dxa"/>
          </w:tblCellMar>
        </w:tblPrEx>
        <w:trPr>
          <w:trHeight w:val="810" w:hRule="atLeast"/>
        </w:trPr>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724"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效益指标</w:t>
            </w:r>
          </w:p>
        </w:tc>
        <w:tc>
          <w:tcPr>
            <w:tcW w:w="826"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社会效益指标</w:t>
            </w:r>
          </w:p>
        </w:tc>
        <w:tc>
          <w:tcPr>
            <w:tcW w:w="0" w:type="auto"/>
            <w:tcBorders>
              <w:top w:val="single" w:color="000000" w:sz="4" w:space="0"/>
              <w:left w:val="single" w:color="000000" w:sz="4" w:space="0"/>
              <w:bottom w:val="single" w:color="000000" w:sz="4" w:space="0"/>
              <w:right w:val="nil"/>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提升公立医疗机构平台采购药品耗材比例</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药品网采率≥85%，高值耗材网采率75%</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≥85%</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w:t>
            </w:r>
          </w:p>
        </w:tc>
        <w:tc>
          <w:tcPr>
            <w:tcW w:w="6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药品网采率93%，高值耗材网采率86%</w:t>
            </w:r>
          </w:p>
        </w:tc>
        <w:tc>
          <w:tcPr>
            <w:tcW w:w="5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5</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5</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无。</w:t>
            </w:r>
          </w:p>
        </w:tc>
      </w:tr>
      <w:tr>
        <w:tblPrEx>
          <w:tblCellMar>
            <w:top w:w="0" w:type="dxa"/>
            <w:left w:w="0" w:type="dxa"/>
            <w:bottom w:w="0" w:type="dxa"/>
            <w:right w:w="0"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72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82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0" w:type="auto"/>
            <w:tcBorders>
              <w:top w:val="single" w:color="000000" w:sz="4" w:space="0"/>
              <w:left w:val="single" w:color="000000" w:sz="4" w:space="0"/>
              <w:bottom w:val="single" w:color="000000" w:sz="4" w:space="0"/>
              <w:right w:val="nil"/>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基金预警和风险防控能力</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有所提高</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有所提高</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定性</w:t>
            </w:r>
          </w:p>
        </w:tc>
        <w:tc>
          <w:tcPr>
            <w:tcW w:w="6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有所提高</w:t>
            </w:r>
          </w:p>
        </w:tc>
        <w:tc>
          <w:tcPr>
            <w:tcW w:w="5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5</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5</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无。</w:t>
            </w:r>
          </w:p>
        </w:tc>
      </w:tr>
      <w:tr>
        <w:tblPrEx>
          <w:tblCellMar>
            <w:top w:w="0" w:type="dxa"/>
            <w:left w:w="0" w:type="dxa"/>
            <w:bottom w:w="0" w:type="dxa"/>
            <w:right w:w="0"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72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82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0" w:type="auto"/>
            <w:tcBorders>
              <w:top w:val="single" w:color="000000" w:sz="4" w:space="0"/>
              <w:left w:val="single" w:color="000000" w:sz="4" w:space="0"/>
              <w:bottom w:val="single" w:color="000000" w:sz="4" w:space="0"/>
              <w:right w:val="nil"/>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医保基金综合监管能力</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有所提升</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有所提升</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定性</w:t>
            </w:r>
          </w:p>
        </w:tc>
        <w:tc>
          <w:tcPr>
            <w:tcW w:w="6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有所提升</w:t>
            </w:r>
          </w:p>
        </w:tc>
        <w:tc>
          <w:tcPr>
            <w:tcW w:w="5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5</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5</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无。</w:t>
            </w:r>
          </w:p>
        </w:tc>
      </w:tr>
      <w:tr>
        <w:tblPrEx>
          <w:tblCellMar>
            <w:top w:w="0" w:type="dxa"/>
            <w:left w:w="0" w:type="dxa"/>
            <w:bottom w:w="0" w:type="dxa"/>
            <w:right w:w="0"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72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82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0" w:type="auto"/>
            <w:tcBorders>
              <w:top w:val="single" w:color="000000" w:sz="4" w:space="0"/>
              <w:left w:val="single" w:color="000000" w:sz="4" w:space="0"/>
              <w:bottom w:val="single" w:color="000000" w:sz="4" w:space="0"/>
              <w:right w:val="nil"/>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医保经办服务能力</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有所提升</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有所提升</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定性</w:t>
            </w:r>
          </w:p>
        </w:tc>
        <w:tc>
          <w:tcPr>
            <w:tcW w:w="6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有所提升</w:t>
            </w:r>
          </w:p>
        </w:tc>
        <w:tc>
          <w:tcPr>
            <w:tcW w:w="5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5</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5</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无。</w:t>
            </w:r>
          </w:p>
        </w:tc>
      </w:tr>
      <w:tr>
        <w:tblPrEx>
          <w:tblCellMar>
            <w:top w:w="0" w:type="dxa"/>
            <w:left w:w="0" w:type="dxa"/>
            <w:bottom w:w="0" w:type="dxa"/>
            <w:right w:w="0"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72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82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0" w:type="auto"/>
            <w:tcBorders>
              <w:top w:val="single" w:color="000000" w:sz="4" w:space="0"/>
              <w:left w:val="single" w:color="000000" w:sz="4" w:space="0"/>
              <w:bottom w:val="single" w:color="000000" w:sz="4" w:space="0"/>
              <w:right w:val="nil"/>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异地就医人员纳入本地同质化管理情况</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有所提高</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有所提高</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定性</w:t>
            </w:r>
          </w:p>
        </w:tc>
        <w:tc>
          <w:tcPr>
            <w:tcW w:w="6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有所提高</w:t>
            </w:r>
          </w:p>
        </w:tc>
        <w:tc>
          <w:tcPr>
            <w:tcW w:w="5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5</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5</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无。</w:t>
            </w:r>
          </w:p>
        </w:tc>
      </w:tr>
      <w:tr>
        <w:tblPrEx>
          <w:tblCellMar>
            <w:top w:w="0" w:type="dxa"/>
            <w:left w:w="0" w:type="dxa"/>
            <w:bottom w:w="0" w:type="dxa"/>
            <w:right w:w="0"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72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82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0" w:type="auto"/>
            <w:tcBorders>
              <w:top w:val="single" w:color="000000" w:sz="4" w:space="0"/>
              <w:left w:val="single" w:color="000000" w:sz="4" w:space="0"/>
              <w:bottom w:val="single" w:color="000000" w:sz="4" w:space="0"/>
              <w:right w:val="nil"/>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医保标准化水平</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显著提升</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显著提升</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定性</w:t>
            </w:r>
          </w:p>
        </w:tc>
        <w:tc>
          <w:tcPr>
            <w:tcW w:w="6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显著提升</w:t>
            </w:r>
          </w:p>
        </w:tc>
        <w:tc>
          <w:tcPr>
            <w:tcW w:w="5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5</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5</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无。</w:t>
            </w:r>
          </w:p>
        </w:tc>
      </w:tr>
      <w:tr>
        <w:tblPrEx>
          <w:tblCellMar>
            <w:top w:w="0" w:type="dxa"/>
            <w:left w:w="0" w:type="dxa"/>
            <w:bottom w:w="0" w:type="dxa"/>
            <w:right w:w="0" w:type="dxa"/>
          </w:tblCellMar>
        </w:tblPrEx>
        <w:trPr>
          <w:trHeight w:val="540" w:hRule="atLeast"/>
        </w:trPr>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72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满意度指标</w:t>
            </w:r>
          </w:p>
        </w:tc>
        <w:tc>
          <w:tcPr>
            <w:tcW w:w="82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服务对象满意度指标</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参保人员对医保服务的满意度</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85</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w:t>
            </w:r>
          </w:p>
        </w:tc>
        <w:tc>
          <w:tcPr>
            <w:tcW w:w="6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85</w:t>
            </w:r>
          </w:p>
        </w:tc>
        <w:tc>
          <w:tcPr>
            <w:tcW w:w="5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5</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5</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无。</w:t>
            </w:r>
          </w:p>
        </w:tc>
      </w:tr>
      <w:tr>
        <w:tblPrEx>
          <w:tblCellMar>
            <w:top w:w="0" w:type="dxa"/>
            <w:left w:w="0" w:type="dxa"/>
            <w:bottom w:w="0" w:type="dxa"/>
            <w:right w:w="0" w:type="dxa"/>
          </w:tblCellMar>
        </w:tblPrEx>
        <w:trPr>
          <w:trHeight w:val="270" w:hRule="atLeast"/>
        </w:trPr>
        <w:tc>
          <w:tcPr>
            <w:tcW w:w="6461" w:type="dxa"/>
            <w:gridSpan w:val="8"/>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合计</w:t>
            </w:r>
          </w:p>
        </w:tc>
        <w:tc>
          <w:tcPr>
            <w:tcW w:w="5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100</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99.1</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无。</w:t>
            </w: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评价结论</w:t>
            </w:r>
          </w:p>
        </w:tc>
        <w:tc>
          <w:tcPr>
            <w:tcW w:w="0" w:type="auto"/>
            <w:gridSpan w:val="10"/>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自评得分98.62分，较好完成了年度目标，有效提升了医保信息化标准化、基金监管、经办管理、目录监管水平，推进了医保支付方式、药品和医用耗材集中带量采购、医疗服务价格等改革任务。</w:t>
            </w: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存在问题</w:t>
            </w:r>
          </w:p>
        </w:tc>
        <w:tc>
          <w:tcPr>
            <w:tcW w:w="0" w:type="auto"/>
            <w:gridSpan w:val="10"/>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2025年该项目预算资金综合执行率为91.22%。执行进度未达到100%。</w:t>
            </w:r>
          </w:p>
        </w:tc>
      </w:tr>
      <w:tr>
        <w:tblPrEx>
          <w:tblCellMar>
            <w:top w:w="0" w:type="dxa"/>
            <w:left w:w="0" w:type="dxa"/>
            <w:bottom w:w="0" w:type="dxa"/>
            <w:right w:w="0" w:type="dxa"/>
          </w:tblCellMar>
        </w:tblPrEx>
        <w:trPr>
          <w:trHeight w:val="121" w:hRule="atLeast"/>
        </w:trPr>
        <w:tc>
          <w:tcPr>
            <w:tcW w:w="0" w:type="auto"/>
            <w:tcBorders>
              <w:top w:val="single" w:color="000000" w:sz="4" w:space="0"/>
              <w:left w:val="single" w:color="000000" w:sz="4" w:space="0"/>
              <w:bottom w:val="nil"/>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改进措施</w:t>
            </w:r>
          </w:p>
        </w:tc>
        <w:tc>
          <w:tcPr>
            <w:tcW w:w="0" w:type="auto"/>
            <w:gridSpan w:val="10"/>
            <w:tcBorders>
              <w:top w:val="single" w:color="000000" w:sz="4" w:space="0"/>
              <w:left w:val="single" w:color="000000" w:sz="4" w:space="0"/>
              <w:bottom w:val="nil"/>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一是加强与财政部门的沟通协调，2026年待该项目结余资金下达后及时进行拨付。                                                                                                           二是待项目资金分配财政下达预算后，提前谋划资金安排，加大预算执行力度，提高资金使用效率。</w:t>
            </w:r>
          </w:p>
        </w:tc>
      </w:tr>
      <w:tr>
        <w:tblPrEx>
          <w:tblCellMar>
            <w:top w:w="0" w:type="dxa"/>
            <w:left w:w="0" w:type="dxa"/>
            <w:bottom w:w="0" w:type="dxa"/>
            <w:right w:w="0" w:type="dxa"/>
          </w:tblCellMar>
        </w:tblPrEx>
        <w:trPr>
          <w:trHeight w:val="270" w:hRule="atLeast"/>
        </w:trPr>
        <w:tc>
          <w:tcPr>
            <w:tcW w:w="0" w:type="auto"/>
            <w:gridSpan w:val="5"/>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项目负责人：申聂</w:t>
            </w:r>
          </w:p>
        </w:tc>
        <w:tc>
          <w:tcPr>
            <w:tcW w:w="0" w:type="auto"/>
            <w:gridSpan w:val="6"/>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财务负责人：张峻源</w:t>
            </w:r>
          </w:p>
        </w:tc>
      </w:tr>
    </w:tbl>
    <w:p>
      <w:pPr>
        <w:adjustRightInd w:val="0"/>
        <w:snapToGrid w:val="0"/>
        <w:rPr>
          <w:rFonts w:eastAsia="方正黑体_GBK"/>
          <w:kern w:val="0"/>
          <w:sz w:val="32"/>
          <w:szCs w:val="32"/>
        </w:rPr>
      </w:pPr>
    </w:p>
    <w:p>
      <w:pPr>
        <w:adjustRightInd w:val="0"/>
        <w:snapToGrid w:val="0"/>
        <w:rPr>
          <w:rFonts w:eastAsia="方正仿宋_GBK"/>
          <w:kern w:val="0"/>
          <w:sz w:val="32"/>
          <w:szCs w:val="32"/>
        </w:rPr>
      </w:pPr>
    </w:p>
    <w:p>
      <w:pPr>
        <w:adjustRightInd w:val="0"/>
        <w:snapToGrid w:val="0"/>
        <w:rPr>
          <w:rFonts w:eastAsia="方正仿宋_GBK"/>
          <w:kern w:val="0"/>
          <w:sz w:val="32"/>
          <w:szCs w:val="32"/>
        </w:rPr>
      </w:pPr>
    </w:p>
    <w:p>
      <w:pPr>
        <w:adjustRightInd w:val="0"/>
        <w:snapToGrid w:val="0"/>
        <w:rPr>
          <w:rFonts w:eastAsia="方正仿宋_GBK"/>
          <w:kern w:val="0"/>
          <w:sz w:val="32"/>
          <w:szCs w:val="32"/>
        </w:rPr>
      </w:pPr>
    </w:p>
    <w:p>
      <w:pPr>
        <w:adjustRightInd w:val="0"/>
        <w:snapToGrid w:val="0"/>
        <w:rPr>
          <w:rFonts w:eastAsia="方正仿宋_GBK"/>
          <w:kern w:val="0"/>
          <w:sz w:val="32"/>
          <w:szCs w:val="32"/>
        </w:rPr>
      </w:pPr>
    </w:p>
    <w:p>
      <w:pPr>
        <w:adjustRightInd w:val="0"/>
        <w:snapToGrid w:val="0"/>
        <w:rPr>
          <w:rFonts w:eastAsia="方正仿宋_GBK"/>
          <w:kern w:val="0"/>
          <w:sz w:val="32"/>
          <w:szCs w:val="32"/>
        </w:rPr>
      </w:pPr>
    </w:p>
    <w:p>
      <w:pPr>
        <w:adjustRightInd w:val="0"/>
        <w:snapToGrid w:val="0"/>
        <w:rPr>
          <w:rFonts w:eastAsia="方正仿宋_GBK"/>
          <w:kern w:val="0"/>
          <w:sz w:val="32"/>
          <w:szCs w:val="32"/>
        </w:rPr>
      </w:pPr>
    </w:p>
    <w:p>
      <w:pPr>
        <w:adjustRightInd w:val="0"/>
        <w:snapToGrid w:val="0"/>
        <w:rPr>
          <w:rFonts w:eastAsia="方正仿宋_GBK"/>
          <w:kern w:val="0"/>
          <w:sz w:val="32"/>
          <w:szCs w:val="32"/>
        </w:rPr>
      </w:pPr>
    </w:p>
    <w:p>
      <w:pPr>
        <w:adjustRightInd w:val="0"/>
        <w:snapToGrid w:val="0"/>
        <w:rPr>
          <w:rFonts w:eastAsia="方正黑体_GBK"/>
          <w:kern w:val="0"/>
          <w:sz w:val="32"/>
          <w:szCs w:val="32"/>
        </w:rPr>
      </w:pPr>
      <w:r>
        <w:rPr>
          <w:rFonts w:eastAsia="方正黑体_GBK"/>
          <w:kern w:val="0"/>
          <w:sz w:val="32"/>
          <w:szCs w:val="32"/>
        </w:rPr>
        <w:t>附件8</w:t>
      </w:r>
    </w:p>
    <w:tbl>
      <w:tblPr>
        <w:tblStyle w:val="17"/>
        <w:tblW w:w="14058" w:type="dxa"/>
        <w:tblInd w:w="0" w:type="dxa"/>
        <w:tblLayout w:type="fixed"/>
        <w:tblCellMar>
          <w:top w:w="0" w:type="dxa"/>
          <w:left w:w="0" w:type="dxa"/>
          <w:bottom w:w="0" w:type="dxa"/>
          <w:right w:w="0" w:type="dxa"/>
        </w:tblCellMar>
      </w:tblPr>
      <w:tblGrid>
        <w:gridCol w:w="390"/>
        <w:gridCol w:w="930"/>
        <w:gridCol w:w="1362"/>
        <w:gridCol w:w="2260"/>
        <w:gridCol w:w="1023"/>
        <w:gridCol w:w="1623"/>
        <w:gridCol w:w="872"/>
        <w:gridCol w:w="1432"/>
        <w:gridCol w:w="914"/>
        <w:gridCol w:w="1186"/>
        <w:gridCol w:w="2066"/>
      </w:tblGrid>
      <w:tr>
        <w:tblPrEx>
          <w:tblCellMar>
            <w:top w:w="0" w:type="dxa"/>
            <w:left w:w="0" w:type="dxa"/>
            <w:bottom w:w="0" w:type="dxa"/>
            <w:right w:w="0" w:type="dxa"/>
          </w:tblCellMar>
        </w:tblPrEx>
        <w:trPr>
          <w:trHeight w:val="270" w:hRule="atLeast"/>
        </w:trPr>
        <w:tc>
          <w:tcPr>
            <w:tcW w:w="14058" w:type="dxa"/>
            <w:gridSpan w:val="11"/>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b/>
                <w:color w:val="000000"/>
                <w:sz w:val="18"/>
                <w:szCs w:val="18"/>
              </w:rPr>
            </w:pPr>
            <w:r>
              <w:rPr>
                <w:b/>
                <w:color w:val="000000"/>
                <w:kern w:val="0"/>
                <w:sz w:val="18"/>
                <w:szCs w:val="18"/>
                <w:lang w:bidi="ar"/>
              </w:rPr>
              <w:t>部门预算项目支出绩效自评表（2025年度）</w:t>
            </w:r>
          </w:p>
        </w:tc>
      </w:tr>
      <w:tr>
        <w:tblPrEx>
          <w:tblCellMar>
            <w:top w:w="0" w:type="dxa"/>
            <w:left w:w="0" w:type="dxa"/>
            <w:bottom w:w="0" w:type="dxa"/>
            <w:right w:w="0" w:type="dxa"/>
          </w:tblCellMar>
        </w:tblPrEx>
        <w:trPr>
          <w:trHeight w:val="270" w:hRule="atLeast"/>
        </w:trPr>
        <w:tc>
          <w:tcPr>
            <w:tcW w:w="1320" w:type="dxa"/>
            <w:gridSpan w:val="2"/>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项目名称</w:t>
            </w:r>
          </w:p>
        </w:tc>
        <w:tc>
          <w:tcPr>
            <w:tcW w:w="12738" w:type="dxa"/>
            <w:gridSpan w:val="9"/>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医保定点医药机构监管经费</w:t>
            </w:r>
          </w:p>
        </w:tc>
      </w:tr>
      <w:tr>
        <w:tblPrEx>
          <w:tblCellMar>
            <w:top w:w="0" w:type="dxa"/>
            <w:left w:w="0" w:type="dxa"/>
            <w:bottom w:w="0" w:type="dxa"/>
            <w:right w:w="0" w:type="dxa"/>
          </w:tblCellMar>
        </w:tblPrEx>
        <w:trPr>
          <w:trHeight w:val="540" w:hRule="atLeast"/>
        </w:trPr>
        <w:tc>
          <w:tcPr>
            <w:tcW w:w="1320"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主管部门</w:t>
            </w:r>
          </w:p>
        </w:tc>
        <w:tc>
          <w:tcPr>
            <w:tcW w:w="7140" w:type="dxa"/>
            <w:gridSpan w:val="5"/>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攀枝花市医疗保障事务中心部门</w:t>
            </w:r>
          </w:p>
        </w:tc>
        <w:tc>
          <w:tcPr>
            <w:tcW w:w="1432" w:type="dxa"/>
            <w:tcBorders>
              <w:top w:val="nil"/>
              <w:left w:val="nil"/>
              <w:bottom w:val="nil"/>
              <w:right w:val="nil"/>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实施单位 （盖章）</w:t>
            </w:r>
          </w:p>
        </w:tc>
        <w:tc>
          <w:tcPr>
            <w:tcW w:w="4166"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攀枝花市医疗保障事务中心</w:t>
            </w:r>
          </w:p>
        </w:tc>
      </w:tr>
      <w:tr>
        <w:tblPrEx>
          <w:tblCellMar>
            <w:top w:w="0" w:type="dxa"/>
            <w:left w:w="0" w:type="dxa"/>
            <w:bottom w:w="0" w:type="dxa"/>
            <w:right w:w="0" w:type="dxa"/>
          </w:tblCellMar>
        </w:tblPrEx>
        <w:trPr>
          <w:trHeight w:val="270" w:hRule="atLeast"/>
        </w:trPr>
        <w:tc>
          <w:tcPr>
            <w:tcW w:w="39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项目基本情况</w:t>
            </w:r>
          </w:p>
        </w:tc>
        <w:tc>
          <w:tcPr>
            <w:tcW w:w="93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1.项目年度目标完成情况</w:t>
            </w:r>
          </w:p>
        </w:tc>
        <w:tc>
          <w:tcPr>
            <w:tcW w:w="7140" w:type="dxa"/>
            <w:gridSpan w:val="5"/>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项目年度目标</w:t>
            </w:r>
          </w:p>
        </w:tc>
        <w:tc>
          <w:tcPr>
            <w:tcW w:w="5598" w:type="dxa"/>
            <w:gridSpan w:val="4"/>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年度目标完成情况</w:t>
            </w:r>
          </w:p>
        </w:tc>
      </w:tr>
      <w:tr>
        <w:tblPrEx>
          <w:tblCellMar>
            <w:top w:w="0" w:type="dxa"/>
            <w:left w:w="0" w:type="dxa"/>
            <w:bottom w:w="0" w:type="dxa"/>
            <w:right w:w="0" w:type="dxa"/>
          </w:tblCellMar>
        </w:tblPrEx>
        <w:trPr>
          <w:trHeight w:val="270" w:hRule="atLeast"/>
        </w:trPr>
        <w:tc>
          <w:tcPr>
            <w:tcW w:w="3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color w:val="000000"/>
                <w:sz w:val="18"/>
                <w:szCs w:val="18"/>
              </w:rPr>
            </w:pPr>
          </w:p>
        </w:tc>
        <w:tc>
          <w:tcPr>
            <w:tcW w:w="93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color w:val="000000"/>
                <w:sz w:val="18"/>
                <w:szCs w:val="18"/>
              </w:rPr>
            </w:pPr>
          </w:p>
        </w:tc>
        <w:tc>
          <w:tcPr>
            <w:tcW w:w="7140" w:type="dxa"/>
            <w:gridSpan w:val="5"/>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通过加大对医保基金监管经费的投入，为我市医疗保障基金挽回大量的基金损失，欺诈骗保行为得到有效的遏制，医保基金使用高效、安全，社会效应和经济效应明显。</w:t>
            </w:r>
          </w:p>
        </w:tc>
        <w:tc>
          <w:tcPr>
            <w:tcW w:w="5598" w:type="dxa"/>
            <w:gridSpan w:val="4"/>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按时发放稽核工作相关人员劳务费、五险一金，完成监管检查、协查。逐步提升医保经办机构稽核、监管水平，坚决维护医保基金安全。</w:t>
            </w:r>
          </w:p>
        </w:tc>
      </w:tr>
      <w:tr>
        <w:tblPrEx>
          <w:tblCellMar>
            <w:top w:w="0" w:type="dxa"/>
            <w:left w:w="0" w:type="dxa"/>
            <w:bottom w:w="0" w:type="dxa"/>
            <w:right w:w="0" w:type="dxa"/>
          </w:tblCellMar>
        </w:tblPrEx>
        <w:trPr>
          <w:trHeight w:val="540" w:hRule="atLeast"/>
        </w:trPr>
        <w:tc>
          <w:tcPr>
            <w:tcW w:w="3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color w:val="000000"/>
                <w:sz w:val="18"/>
                <w:szCs w:val="18"/>
              </w:rPr>
            </w:pPr>
          </w:p>
        </w:tc>
        <w:tc>
          <w:tcPr>
            <w:tcW w:w="93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2.项目实施内容及过程概述</w:t>
            </w:r>
          </w:p>
        </w:tc>
        <w:tc>
          <w:tcPr>
            <w:tcW w:w="12738" w:type="dxa"/>
            <w:gridSpan w:val="9"/>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市、县（区）两级医保经办机构聘用监管稽核人员开展基金监管稽核工作，聘请医药、财务、信息等专家开展基金飞行检查或专项检查，邀请第三方（如大数据分析、健康管理、会计师事务所等）专业公司开展基金监管检查，聘请医保行风监督员开展基金监督，参与国家、省、市医保基金交叉检查及飞行检查，购买必需的监管稽核工作设备。国家、省、市专项检查、专项治理、交叉检查、飞行检查业务费用，参与省外及省内其他市州打击欺诈骗保工作协查、核查业务。聘请医药、财务、信息等专家开展基金飞行检查或专项检查，专家劳务费。邀请第三方（如大数据分析、健康管理、会计师事务所等）专业公司开展基金监管检查，购买劳务服务费。</w:t>
            </w:r>
          </w:p>
        </w:tc>
      </w:tr>
      <w:tr>
        <w:tblPrEx>
          <w:tblCellMar>
            <w:top w:w="0" w:type="dxa"/>
            <w:left w:w="0" w:type="dxa"/>
            <w:bottom w:w="0" w:type="dxa"/>
            <w:right w:w="0" w:type="dxa"/>
          </w:tblCellMar>
        </w:tblPrEx>
        <w:trPr>
          <w:trHeight w:val="540" w:hRule="atLeast"/>
        </w:trPr>
        <w:tc>
          <w:tcPr>
            <w:tcW w:w="39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预算执行情况（10分）</w:t>
            </w:r>
          </w:p>
        </w:tc>
        <w:tc>
          <w:tcPr>
            <w:tcW w:w="93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年度预算数（万元）</w:t>
            </w:r>
          </w:p>
        </w:tc>
        <w:tc>
          <w:tcPr>
            <w:tcW w:w="136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年初预算</w:t>
            </w:r>
          </w:p>
        </w:tc>
        <w:tc>
          <w:tcPr>
            <w:tcW w:w="226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调整后预算数</w:t>
            </w:r>
          </w:p>
        </w:tc>
        <w:tc>
          <w:tcPr>
            <w:tcW w:w="351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预算执行数</w:t>
            </w:r>
          </w:p>
        </w:tc>
        <w:tc>
          <w:tcPr>
            <w:tcW w:w="143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预算执行率</w:t>
            </w:r>
          </w:p>
        </w:tc>
        <w:tc>
          <w:tcPr>
            <w:tcW w:w="9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权重</w:t>
            </w:r>
          </w:p>
        </w:tc>
        <w:tc>
          <w:tcPr>
            <w:tcW w:w="118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得分</w:t>
            </w:r>
          </w:p>
        </w:tc>
        <w:tc>
          <w:tcPr>
            <w:tcW w:w="206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原因</w:t>
            </w:r>
          </w:p>
        </w:tc>
      </w:tr>
      <w:tr>
        <w:tblPrEx>
          <w:tblCellMar>
            <w:top w:w="0" w:type="dxa"/>
            <w:left w:w="0" w:type="dxa"/>
            <w:bottom w:w="0" w:type="dxa"/>
            <w:right w:w="0" w:type="dxa"/>
          </w:tblCellMar>
        </w:tblPrEx>
        <w:trPr>
          <w:trHeight w:val="270" w:hRule="atLeast"/>
        </w:trPr>
        <w:tc>
          <w:tcPr>
            <w:tcW w:w="3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93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总额</w:t>
            </w:r>
          </w:p>
        </w:tc>
        <w:tc>
          <w:tcPr>
            <w:tcW w:w="136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0.00</w:t>
            </w:r>
          </w:p>
        </w:tc>
        <w:tc>
          <w:tcPr>
            <w:tcW w:w="226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73.00</w:t>
            </w:r>
          </w:p>
        </w:tc>
        <w:tc>
          <w:tcPr>
            <w:tcW w:w="351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73.00</w:t>
            </w:r>
          </w:p>
        </w:tc>
        <w:tc>
          <w:tcPr>
            <w:tcW w:w="143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100.00%</w:t>
            </w:r>
          </w:p>
        </w:tc>
        <w:tc>
          <w:tcPr>
            <w:tcW w:w="9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10</w:t>
            </w:r>
          </w:p>
        </w:tc>
        <w:tc>
          <w:tcPr>
            <w:tcW w:w="118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10</w:t>
            </w:r>
          </w:p>
        </w:tc>
        <w:tc>
          <w:tcPr>
            <w:tcW w:w="2066"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无。</w:t>
            </w:r>
          </w:p>
        </w:tc>
      </w:tr>
      <w:tr>
        <w:tblPrEx>
          <w:tblCellMar>
            <w:top w:w="0" w:type="dxa"/>
            <w:left w:w="0" w:type="dxa"/>
            <w:bottom w:w="0" w:type="dxa"/>
            <w:right w:w="0" w:type="dxa"/>
          </w:tblCellMar>
        </w:tblPrEx>
        <w:trPr>
          <w:trHeight w:val="270" w:hRule="atLeast"/>
        </w:trPr>
        <w:tc>
          <w:tcPr>
            <w:tcW w:w="3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93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其中：财政资金</w:t>
            </w:r>
          </w:p>
        </w:tc>
        <w:tc>
          <w:tcPr>
            <w:tcW w:w="136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0.00</w:t>
            </w:r>
          </w:p>
        </w:tc>
        <w:tc>
          <w:tcPr>
            <w:tcW w:w="226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73.00</w:t>
            </w:r>
          </w:p>
        </w:tc>
        <w:tc>
          <w:tcPr>
            <w:tcW w:w="351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73.00</w:t>
            </w:r>
          </w:p>
        </w:tc>
        <w:tc>
          <w:tcPr>
            <w:tcW w:w="143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100.00%</w:t>
            </w:r>
          </w:p>
        </w:tc>
        <w:tc>
          <w:tcPr>
            <w:tcW w:w="9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w:t>
            </w:r>
          </w:p>
        </w:tc>
        <w:tc>
          <w:tcPr>
            <w:tcW w:w="118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w:t>
            </w:r>
          </w:p>
        </w:tc>
        <w:tc>
          <w:tcPr>
            <w:tcW w:w="206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r>
      <w:tr>
        <w:tblPrEx>
          <w:tblCellMar>
            <w:top w:w="0" w:type="dxa"/>
            <w:left w:w="0" w:type="dxa"/>
            <w:bottom w:w="0" w:type="dxa"/>
            <w:right w:w="0" w:type="dxa"/>
          </w:tblCellMar>
        </w:tblPrEx>
        <w:trPr>
          <w:trHeight w:val="270" w:hRule="atLeast"/>
        </w:trPr>
        <w:tc>
          <w:tcPr>
            <w:tcW w:w="3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93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财政专户管理资金</w:t>
            </w:r>
          </w:p>
        </w:tc>
        <w:tc>
          <w:tcPr>
            <w:tcW w:w="136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0.00</w:t>
            </w:r>
          </w:p>
        </w:tc>
        <w:tc>
          <w:tcPr>
            <w:tcW w:w="226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0.00</w:t>
            </w:r>
          </w:p>
        </w:tc>
        <w:tc>
          <w:tcPr>
            <w:tcW w:w="351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0.00</w:t>
            </w:r>
          </w:p>
        </w:tc>
        <w:tc>
          <w:tcPr>
            <w:tcW w:w="143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0.00%</w:t>
            </w:r>
          </w:p>
        </w:tc>
        <w:tc>
          <w:tcPr>
            <w:tcW w:w="9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w:t>
            </w:r>
          </w:p>
        </w:tc>
        <w:tc>
          <w:tcPr>
            <w:tcW w:w="118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w:t>
            </w:r>
          </w:p>
        </w:tc>
        <w:tc>
          <w:tcPr>
            <w:tcW w:w="206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r>
      <w:tr>
        <w:tblPrEx>
          <w:tblCellMar>
            <w:top w:w="0" w:type="dxa"/>
            <w:left w:w="0" w:type="dxa"/>
            <w:bottom w:w="0" w:type="dxa"/>
            <w:right w:w="0" w:type="dxa"/>
          </w:tblCellMar>
        </w:tblPrEx>
        <w:trPr>
          <w:trHeight w:val="270" w:hRule="atLeast"/>
        </w:trPr>
        <w:tc>
          <w:tcPr>
            <w:tcW w:w="3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93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单位资金</w:t>
            </w:r>
          </w:p>
        </w:tc>
        <w:tc>
          <w:tcPr>
            <w:tcW w:w="136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0.00</w:t>
            </w:r>
          </w:p>
        </w:tc>
        <w:tc>
          <w:tcPr>
            <w:tcW w:w="226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0.00</w:t>
            </w:r>
          </w:p>
        </w:tc>
        <w:tc>
          <w:tcPr>
            <w:tcW w:w="351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0.00</w:t>
            </w:r>
          </w:p>
        </w:tc>
        <w:tc>
          <w:tcPr>
            <w:tcW w:w="143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0.00%</w:t>
            </w:r>
          </w:p>
        </w:tc>
        <w:tc>
          <w:tcPr>
            <w:tcW w:w="9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w:t>
            </w:r>
          </w:p>
        </w:tc>
        <w:tc>
          <w:tcPr>
            <w:tcW w:w="118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w:t>
            </w:r>
          </w:p>
        </w:tc>
        <w:tc>
          <w:tcPr>
            <w:tcW w:w="206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r>
      <w:tr>
        <w:tblPrEx>
          <w:tblCellMar>
            <w:top w:w="0" w:type="dxa"/>
            <w:left w:w="0" w:type="dxa"/>
            <w:bottom w:w="0" w:type="dxa"/>
            <w:right w:w="0" w:type="dxa"/>
          </w:tblCellMar>
        </w:tblPrEx>
        <w:trPr>
          <w:trHeight w:val="270" w:hRule="atLeast"/>
        </w:trPr>
        <w:tc>
          <w:tcPr>
            <w:tcW w:w="3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93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其他资金</w:t>
            </w:r>
          </w:p>
        </w:tc>
        <w:tc>
          <w:tcPr>
            <w:tcW w:w="136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i/>
                <w:color w:val="000000"/>
                <w:sz w:val="18"/>
                <w:szCs w:val="18"/>
              </w:rPr>
            </w:pPr>
          </w:p>
        </w:tc>
        <w:tc>
          <w:tcPr>
            <w:tcW w:w="226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i/>
                <w:color w:val="000000"/>
                <w:sz w:val="18"/>
                <w:szCs w:val="18"/>
              </w:rPr>
            </w:pPr>
          </w:p>
        </w:tc>
        <w:tc>
          <w:tcPr>
            <w:tcW w:w="351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i/>
                <w:color w:val="000000"/>
                <w:sz w:val="18"/>
                <w:szCs w:val="18"/>
              </w:rPr>
            </w:pPr>
          </w:p>
        </w:tc>
        <w:tc>
          <w:tcPr>
            <w:tcW w:w="143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i/>
                <w:color w:val="000000"/>
                <w:sz w:val="18"/>
                <w:szCs w:val="18"/>
              </w:rPr>
            </w:pPr>
          </w:p>
        </w:tc>
        <w:tc>
          <w:tcPr>
            <w:tcW w:w="9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w:t>
            </w:r>
          </w:p>
        </w:tc>
        <w:tc>
          <w:tcPr>
            <w:tcW w:w="118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w:t>
            </w:r>
          </w:p>
        </w:tc>
        <w:tc>
          <w:tcPr>
            <w:tcW w:w="206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r>
      <w:tr>
        <w:tblPrEx>
          <w:tblCellMar>
            <w:top w:w="0" w:type="dxa"/>
            <w:left w:w="0" w:type="dxa"/>
            <w:bottom w:w="0" w:type="dxa"/>
            <w:right w:w="0" w:type="dxa"/>
          </w:tblCellMar>
        </w:tblPrEx>
        <w:trPr>
          <w:trHeight w:val="90" w:hRule="atLeast"/>
        </w:trPr>
        <w:tc>
          <w:tcPr>
            <w:tcW w:w="39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绩效指标（90分）</w:t>
            </w:r>
          </w:p>
        </w:tc>
        <w:tc>
          <w:tcPr>
            <w:tcW w:w="93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一级指标</w:t>
            </w:r>
          </w:p>
        </w:tc>
        <w:tc>
          <w:tcPr>
            <w:tcW w:w="136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二级指标</w:t>
            </w:r>
          </w:p>
        </w:tc>
        <w:tc>
          <w:tcPr>
            <w:tcW w:w="226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三级指标</w:t>
            </w:r>
          </w:p>
        </w:tc>
        <w:tc>
          <w:tcPr>
            <w:tcW w:w="102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指标性质</w:t>
            </w:r>
          </w:p>
        </w:tc>
        <w:tc>
          <w:tcPr>
            <w:tcW w:w="162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指标值</w:t>
            </w:r>
          </w:p>
        </w:tc>
        <w:tc>
          <w:tcPr>
            <w:tcW w:w="87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度量单位</w:t>
            </w:r>
          </w:p>
        </w:tc>
        <w:tc>
          <w:tcPr>
            <w:tcW w:w="143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完成值</w:t>
            </w:r>
          </w:p>
        </w:tc>
        <w:tc>
          <w:tcPr>
            <w:tcW w:w="9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权重</w:t>
            </w:r>
          </w:p>
        </w:tc>
        <w:tc>
          <w:tcPr>
            <w:tcW w:w="118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得分</w:t>
            </w:r>
          </w:p>
        </w:tc>
        <w:tc>
          <w:tcPr>
            <w:tcW w:w="206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未完成原因分析</w:t>
            </w:r>
          </w:p>
        </w:tc>
      </w:tr>
      <w:tr>
        <w:tblPrEx>
          <w:tblCellMar>
            <w:top w:w="0" w:type="dxa"/>
            <w:left w:w="0" w:type="dxa"/>
            <w:bottom w:w="0" w:type="dxa"/>
            <w:right w:w="0" w:type="dxa"/>
          </w:tblCellMar>
        </w:tblPrEx>
        <w:trPr>
          <w:trHeight w:val="764" w:hRule="atLeast"/>
        </w:trPr>
        <w:tc>
          <w:tcPr>
            <w:tcW w:w="3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9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产出指标</w:t>
            </w:r>
          </w:p>
        </w:tc>
        <w:tc>
          <w:tcPr>
            <w:tcW w:w="136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数量指标</w:t>
            </w:r>
          </w:p>
        </w:tc>
        <w:tc>
          <w:tcPr>
            <w:tcW w:w="226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医药、财务、信息、稽核等聘用人员人数</w:t>
            </w:r>
          </w:p>
        </w:tc>
        <w:tc>
          <w:tcPr>
            <w:tcW w:w="102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w:t>
            </w:r>
          </w:p>
        </w:tc>
        <w:tc>
          <w:tcPr>
            <w:tcW w:w="162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15</w:t>
            </w:r>
          </w:p>
        </w:tc>
        <w:tc>
          <w:tcPr>
            <w:tcW w:w="87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人</w:t>
            </w:r>
          </w:p>
        </w:tc>
        <w:tc>
          <w:tcPr>
            <w:tcW w:w="143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15</w:t>
            </w:r>
          </w:p>
        </w:tc>
        <w:tc>
          <w:tcPr>
            <w:tcW w:w="9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20</w:t>
            </w:r>
          </w:p>
        </w:tc>
        <w:tc>
          <w:tcPr>
            <w:tcW w:w="118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20</w:t>
            </w:r>
          </w:p>
        </w:tc>
        <w:tc>
          <w:tcPr>
            <w:tcW w:w="206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无。</w:t>
            </w:r>
          </w:p>
        </w:tc>
      </w:tr>
      <w:tr>
        <w:tblPrEx>
          <w:tblCellMar>
            <w:top w:w="0" w:type="dxa"/>
            <w:left w:w="0" w:type="dxa"/>
            <w:bottom w:w="0" w:type="dxa"/>
            <w:right w:w="0" w:type="dxa"/>
          </w:tblCellMar>
        </w:tblPrEx>
        <w:trPr>
          <w:trHeight w:val="373" w:hRule="atLeast"/>
        </w:trPr>
        <w:tc>
          <w:tcPr>
            <w:tcW w:w="3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9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产出指标</w:t>
            </w:r>
          </w:p>
        </w:tc>
        <w:tc>
          <w:tcPr>
            <w:tcW w:w="136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质量指标</w:t>
            </w:r>
          </w:p>
        </w:tc>
        <w:tc>
          <w:tcPr>
            <w:tcW w:w="226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聘用人员劳务费及五险一金</w:t>
            </w:r>
          </w:p>
        </w:tc>
        <w:tc>
          <w:tcPr>
            <w:tcW w:w="102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定性</w:t>
            </w:r>
          </w:p>
        </w:tc>
        <w:tc>
          <w:tcPr>
            <w:tcW w:w="2495"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足额保障</w:t>
            </w:r>
          </w:p>
        </w:tc>
        <w:tc>
          <w:tcPr>
            <w:tcW w:w="143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足额保障</w:t>
            </w:r>
          </w:p>
        </w:tc>
        <w:tc>
          <w:tcPr>
            <w:tcW w:w="9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10</w:t>
            </w:r>
          </w:p>
        </w:tc>
        <w:tc>
          <w:tcPr>
            <w:tcW w:w="118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10</w:t>
            </w:r>
          </w:p>
        </w:tc>
        <w:tc>
          <w:tcPr>
            <w:tcW w:w="206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无。</w:t>
            </w:r>
          </w:p>
        </w:tc>
      </w:tr>
      <w:tr>
        <w:tblPrEx>
          <w:tblCellMar>
            <w:top w:w="0" w:type="dxa"/>
            <w:left w:w="0" w:type="dxa"/>
            <w:bottom w:w="0" w:type="dxa"/>
            <w:right w:w="0" w:type="dxa"/>
          </w:tblCellMar>
        </w:tblPrEx>
        <w:trPr>
          <w:trHeight w:val="372" w:hRule="atLeast"/>
        </w:trPr>
        <w:tc>
          <w:tcPr>
            <w:tcW w:w="3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9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产出指标</w:t>
            </w:r>
          </w:p>
        </w:tc>
        <w:tc>
          <w:tcPr>
            <w:tcW w:w="136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时效指标</w:t>
            </w:r>
          </w:p>
        </w:tc>
        <w:tc>
          <w:tcPr>
            <w:tcW w:w="226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各项工作按照时间进度完成</w:t>
            </w:r>
          </w:p>
        </w:tc>
        <w:tc>
          <w:tcPr>
            <w:tcW w:w="102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定性</w:t>
            </w:r>
          </w:p>
        </w:tc>
        <w:tc>
          <w:tcPr>
            <w:tcW w:w="2495"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按月发放</w:t>
            </w:r>
          </w:p>
        </w:tc>
        <w:tc>
          <w:tcPr>
            <w:tcW w:w="143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每月按时发放</w:t>
            </w:r>
          </w:p>
        </w:tc>
        <w:tc>
          <w:tcPr>
            <w:tcW w:w="9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10</w:t>
            </w:r>
          </w:p>
        </w:tc>
        <w:tc>
          <w:tcPr>
            <w:tcW w:w="118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10</w:t>
            </w:r>
          </w:p>
        </w:tc>
        <w:tc>
          <w:tcPr>
            <w:tcW w:w="206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无。</w:t>
            </w:r>
          </w:p>
        </w:tc>
      </w:tr>
      <w:tr>
        <w:tblPrEx>
          <w:tblCellMar>
            <w:top w:w="0" w:type="dxa"/>
            <w:left w:w="0" w:type="dxa"/>
            <w:bottom w:w="0" w:type="dxa"/>
            <w:right w:w="0" w:type="dxa"/>
          </w:tblCellMar>
        </w:tblPrEx>
        <w:trPr>
          <w:trHeight w:val="540" w:hRule="atLeast"/>
        </w:trPr>
        <w:tc>
          <w:tcPr>
            <w:tcW w:w="3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9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成本指标</w:t>
            </w:r>
          </w:p>
        </w:tc>
        <w:tc>
          <w:tcPr>
            <w:tcW w:w="136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经济成本指标</w:t>
            </w:r>
          </w:p>
        </w:tc>
        <w:tc>
          <w:tcPr>
            <w:tcW w:w="226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医药、财务、信息、稽核等15名人员经费</w:t>
            </w:r>
          </w:p>
        </w:tc>
        <w:tc>
          <w:tcPr>
            <w:tcW w:w="102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w:t>
            </w:r>
          </w:p>
        </w:tc>
        <w:tc>
          <w:tcPr>
            <w:tcW w:w="162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73</w:t>
            </w:r>
          </w:p>
        </w:tc>
        <w:tc>
          <w:tcPr>
            <w:tcW w:w="87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万元</w:t>
            </w:r>
          </w:p>
        </w:tc>
        <w:tc>
          <w:tcPr>
            <w:tcW w:w="143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73</w:t>
            </w:r>
          </w:p>
        </w:tc>
        <w:tc>
          <w:tcPr>
            <w:tcW w:w="9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20</w:t>
            </w:r>
          </w:p>
        </w:tc>
        <w:tc>
          <w:tcPr>
            <w:tcW w:w="118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20</w:t>
            </w:r>
          </w:p>
        </w:tc>
        <w:tc>
          <w:tcPr>
            <w:tcW w:w="206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无。</w:t>
            </w:r>
          </w:p>
        </w:tc>
      </w:tr>
      <w:tr>
        <w:tblPrEx>
          <w:tblCellMar>
            <w:top w:w="0" w:type="dxa"/>
            <w:left w:w="0" w:type="dxa"/>
            <w:bottom w:w="0" w:type="dxa"/>
            <w:right w:w="0" w:type="dxa"/>
          </w:tblCellMar>
        </w:tblPrEx>
        <w:trPr>
          <w:trHeight w:val="540" w:hRule="atLeast"/>
        </w:trPr>
        <w:tc>
          <w:tcPr>
            <w:tcW w:w="3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9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效益指标</w:t>
            </w:r>
          </w:p>
        </w:tc>
        <w:tc>
          <w:tcPr>
            <w:tcW w:w="136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社会效益指标</w:t>
            </w:r>
          </w:p>
        </w:tc>
        <w:tc>
          <w:tcPr>
            <w:tcW w:w="226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医药、财务、信息、稽核等聘用人员待遇</w:t>
            </w:r>
          </w:p>
        </w:tc>
        <w:tc>
          <w:tcPr>
            <w:tcW w:w="102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定性</w:t>
            </w:r>
          </w:p>
        </w:tc>
        <w:tc>
          <w:tcPr>
            <w:tcW w:w="162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稳定人员队伍</w:t>
            </w:r>
          </w:p>
        </w:tc>
        <w:tc>
          <w:tcPr>
            <w:tcW w:w="87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color w:val="000000"/>
                <w:sz w:val="18"/>
                <w:szCs w:val="18"/>
              </w:rPr>
            </w:pPr>
          </w:p>
        </w:tc>
        <w:tc>
          <w:tcPr>
            <w:tcW w:w="143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队伍稳定</w:t>
            </w:r>
          </w:p>
        </w:tc>
        <w:tc>
          <w:tcPr>
            <w:tcW w:w="9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10</w:t>
            </w:r>
          </w:p>
        </w:tc>
        <w:tc>
          <w:tcPr>
            <w:tcW w:w="118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10</w:t>
            </w:r>
          </w:p>
        </w:tc>
        <w:tc>
          <w:tcPr>
            <w:tcW w:w="206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无。</w:t>
            </w:r>
          </w:p>
        </w:tc>
      </w:tr>
      <w:tr>
        <w:tblPrEx>
          <w:tblCellMar>
            <w:top w:w="0" w:type="dxa"/>
            <w:left w:w="0" w:type="dxa"/>
            <w:bottom w:w="0" w:type="dxa"/>
            <w:right w:w="0" w:type="dxa"/>
          </w:tblCellMar>
        </w:tblPrEx>
        <w:trPr>
          <w:trHeight w:val="464" w:hRule="atLeast"/>
        </w:trPr>
        <w:tc>
          <w:tcPr>
            <w:tcW w:w="3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9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效益指标</w:t>
            </w:r>
          </w:p>
        </w:tc>
        <w:tc>
          <w:tcPr>
            <w:tcW w:w="136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经济效益指标</w:t>
            </w:r>
          </w:p>
        </w:tc>
        <w:tc>
          <w:tcPr>
            <w:tcW w:w="226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稽核、监管医保基金</w:t>
            </w:r>
          </w:p>
        </w:tc>
        <w:tc>
          <w:tcPr>
            <w:tcW w:w="102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定性</w:t>
            </w:r>
          </w:p>
        </w:tc>
        <w:tc>
          <w:tcPr>
            <w:tcW w:w="162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维护医保基金安全</w:t>
            </w:r>
          </w:p>
        </w:tc>
        <w:tc>
          <w:tcPr>
            <w:tcW w:w="87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color w:val="000000"/>
                <w:sz w:val="18"/>
                <w:szCs w:val="18"/>
              </w:rPr>
            </w:pPr>
          </w:p>
        </w:tc>
        <w:tc>
          <w:tcPr>
            <w:tcW w:w="143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基金安全</w:t>
            </w:r>
          </w:p>
        </w:tc>
        <w:tc>
          <w:tcPr>
            <w:tcW w:w="9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10</w:t>
            </w:r>
          </w:p>
        </w:tc>
        <w:tc>
          <w:tcPr>
            <w:tcW w:w="118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10</w:t>
            </w:r>
          </w:p>
        </w:tc>
        <w:tc>
          <w:tcPr>
            <w:tcW w:w="206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无。</w:t>
            </w:r>
          </w:p>
        </w:tc>
      </w:tr>
      <w:tr>
        <w:tblPrEx>
          <w:tblCellMar>
            <w:top w:w="0" w:type="dxa"/>
            <w:left w:w="0" w:type="dxa"/>
            <w:bottom w:w="0" w:type="dxa"/>
            <w:right w:w="0" w:type="dxa"/>
          </w:tblCellMar>
        </w:tblPrEx>
        <w:trPr>
          <w:trHeight w:val="540" w:hRule="atLeast"/>
        </w:trPr>
        <w:tc>
          <w:tcPr>
            <w:tcW w:w="3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9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效益指标</w:t>
            </w:r>
          </w:p>
        </w:tc>
        <w:tc>
          <w:tcPr>
            <w:tcW w:w="136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可持续影响指标</w:t>
            </w:r>
          </w:p>
        </w:tc>
        <w:tc>
          <w:tcPr>
            <w:tcW w:w="226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全面提升我市医疗保障经办能力和水平。</w:t>
            </w:r>
          </w:p>
        </w:tc>
        <w:tc>
          <w:tcPr>
            <w:tcW w:w="102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定性</w:t>
            </w:r>
          </w:p>
        </w:tc>
        <w:tc>
          <w:tcPr>
            <w:tcW w:w="162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有效提升</w:t>
            </w:r>
          </w:p>
        </w:tc>
        <w:tc>
          <w:tcPr>
            <w:tcW w:w="87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color w:val="000000"/>
                <w:sz w:val="18"/>
                <w:szCs w:val="18"/>
              </w:rPr>
            </w:pPr>
          </w:p>
        </w:tc>
        <w:tc>
          <w:tcPr>
            <w:tcW w:w="143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有效提升</w:t>
            </w:r>
          </w:p>
        </w:tc>
        <w:tc>
          <w:tcPr>
            <w:tcW w:w="9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10</w:t>
            </w:r>
          </w:p>
        </w:tc>
        <w:tc>
          <w:tcPr>
            <w:tcW w:w="118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10</w:t>
            </w:r>
          </w:p>
        </w:tc>
        <w:tc>
          <w:tcPr>
            <w:tcW w:w="206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无。</w:t>
            </w:r>
          </w:p>
        </w:tc>
      </w:tr>
      <w:tr>
        <w:tblPrEx>
          <w:tblCellMar>
            <w:top w:w="0" w:type="dxa"/>
            <w:left w:w="0" w:type="dxa"/>
            <w:bottom w:w="0" w:type="dxa"/>
            <w:right w:w="0" w:type="dxa"/>
          </w:tblCellMar>
        </w:tblPrEx>
        <w:trPr>
          <w:trHeight w:val="540" w:hRule="atLeast"/>
        </w:trPr>
        <w:tc>
          <w:tcPr>
            <w:tcW w:w="3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9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满意度指标</w:t>
            </w:r>
          </w:p>
        </w:tc>
        <w:tc>
          <w:tcPr>
            <w:tcW w:w="136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服务对象满意度指标</w:t>
            </w:r>
          </w:p>
        </w:tc>
        <w:tc>
          <w:tcPr>
            <w:tcW w:w="226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聘用人员满意度稳健提升</w:t>
            </w:r>
          </w:p>
        </w:tc>
        <w:tc>
          <w:tcPr>
            <w:tcW w:w="102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w:t>
            </w:r>
          </w:p>
        </w:tc>
        <w:tc>
          <w:tcPr>
            <w:tcW w:w="162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90</w:t>
            </w:r>
          </w:p>
        </w:tc>
        <w:tc>
          <w:tcPr>
            <w:tcW w:w="87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strike/>
                <w:color w:val="000000"/>
                <w:sz w:val="18"/>
                <w:szCs w:val="18"/>
              </w:rPr>
            </w:pPr>
            <w:r>
              <w:rPr>
                <w:strike/>
                <w:color w:val="000000"/>
                <w:sz w:val="18"/>
                <w:szCs w:val="18"/>
              </w:rPr>
              <w:t>%</w:t>
            </w:r>
          </w:p>
        </w:tc>
        <w:tc>
          <w:tcPr>
            <w:tcW w:w="143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90</w:t>
            </w:r>
          </w:p>
        </w:tc>
        <w:tc>
          <w:tcPr>
            <w:tcW w:w="9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10</w:t>
            </w:r>
          </w:p>
        </w:tc>
        <w:tc>
          <w:tcPr>
            <w:tcW w:w="118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10</w:t>
            </w:r>
          </w:p>
        </w:tc>
        <w:tc>
          <w:tcPr>
            <w:tcW w:w="206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无。</w:t>
            </w:r>
          </w:p>
        </w:tc>
      </w:tr>
      <w:tr>
        <w:tblPrEx>
          <w:tblCellMar>
            <w:top w:w="0" w:type="dxa"/>
            <w:left w:w="0" w:type="dxa"/>
            <w:bottom w:w="0" w:type="dxa"/>
            <w:right w:w="0" w:type="dxa"/>
          </w:tblCellMar>
        </w:tblPrEx>
        <w:trPr>
          <w:trHeight w:val="270" w:hRule="atLeast"/>
        </w:trPr>
        <w:tc>
          <w:tcPr>
            <w:tcW w:w="9892" w:type="dxa"/>
            <w:gridSpan w:val="8"/>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合计</w:t>
            </w:r>
          </w:p>
        </w:tc>
        <w:tc>
          <w:tcPr>
            <w:tcW w:w="9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100</w:t>
            </w:r>
          </w:p>
        </w:tc>
        <w:tc>
          <w:tcPr>
            <w:tcW w:w="118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100</w:t>
            </w:r>
          </w:p>
        </w:tc>
        <w:tc>
          <w:tcPr>
            <w:tcW w:w="206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无。</w:t>
            </w:r>
          </w:p>
        </w:tc>
      </w:tr>
      <w:tr>
        <w:tblPrEx>
          <w:tblCellMar>
            <w:top w:w="0" w:type="dxa"/>
            <w:left w:w="0" w:type="dxa"/>
            <w:bottom w:w="0" w:type="dxa"/>
            <w:right w:w="0" w:type="dxa"/>
          </w:tblCellMar>
        </w:tblPrEx>
        <w:trPr>
          <w:trHeight w:val="270" w:hRule="atLeast"/>
        </w:trPr>
        <w:tc>
          <w:tcPr>
            <w:tcW w:w="39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评价结论</w:t>
            </w:r>
          </w:p>
        </w:tc>
        <w:tc>
          <w:tcPr>
            <w:tcW w:w="13668" w:type="dxa"/>
            <w:gridSpan w:val="10"/>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该项目执行情况好，自评得分100分。对医保基金监管经费的投入，为我市医疗保障基金挽回大量的基金损失，欺诈骗保行为得到有效的遏制，医保基金使用高效、安全，社会效应和经济效应明显。</w:t>
            </w:r>
          </w:p>
        </w:tc>
      </w:tr>
      <w:tr>
        <w:tblPrEx>
          <w:tblCellMar>
            <w:top w:w="0" w:type="dxa"/>
            <w:left w:w="0" w:type="dxa"/>
            <w:bottom w:w="0" w:type="dxa"/>
            <w:right w:w="0" w:type="dxa"/>
          </w:tblCellMar>
        </w:tblPrEx>
        <w:trPr>
          <w:trHeight w:val="270" w:hRule="atLeast"/>
        </w:trPr>
        <w:tc>
          <w:tcPr>
            <w:tcW w:w="39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存在问题</w:t>
            </w:r>
          </w:p>
        </w:tc>
        <w:tc>
          <w:tcPr>
            <w:tcW w:w="13668" w:type="dxa"/>
            <w:gridSpan w:val="10"/>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1. 宣传创新不足：宣传形式虽多样，但新媒体运用不够充分，部分线上宣传内容吸引力不强，还未形成全民参与医保基金监督的形式。</w:t>
            </w:r>
            <w:r>
              <w:rPr>
                <w:color w:val="000000"/>
                <w:kern w:val="0"/>
                <w:sz w:val="18"/>
                <w:szCs w:val="18"/>
                <w:lang w:bidi="ar"/>
              </w:rPr>
              <w:br w:type="textWrapping"/>
            </w:r>
            <w:r>
              <w:rPr>
                <w:color w:val="000000"/>
                <w:kern w:val="0"/>
                <w:sz w:val="18"/>
                <w:szCs w:val="18"/>
                <w:lang w:bidi="ar"/>
              </w:rPr>
              <w:t>2. 第三方协作深度不够：与第三方专业公司合作多停留在专项任务委托，在数据共享、技术融合、联合研发监管模型等深层次协作方面探索不足，未能充分挖掘第三方潜力。</w:t>
            </w:r>
          </w:p>
        </w:tc>
      </w:tr>
      <w:tr>
        <w:tblPrEx>
          <w:tblCellMar>
            <w:top w:w="0" w:type="dxa"/>
            <w:left w:w="0" w:type="dxa"/>
            <w:bottom w:w="0" w:type="dxa"/>
            <w:right w:w="0" w:type="dxa"/>
          </w:tblCellMar>
        </w:tblPrEx>
        <w:trPr>
          <w:trHeight w:val="270" w:hRule="atLeast"/>
        </w:trPr>
        <w:tc>
          <w:tcPr>
            <w:tcW w:w="390" w:type="dxa"/>
            <w:tcBorders>
              <w:top w:val="single" w:color="000000" w:sz="4" w:space="0"/>
              <w:left w:val="single" w:color="000000" w:sz="4" w:space="0"/>
              <w:bottom w:val="nil"/>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改进措施</w:t>
            </w:r>
          </w:p>
        </w:tc>
        <w:tc>
          <w:tcPr>
            <w:tcW w:w="13668" w:type="dxa"/>
            <w:gridSpan w:val="10"/>
            <w:tcBorders>
              <w:top w:val="single" w:color="000000" w:sz="4" w:space="0"/>
              <w:left w:val="single" w:color="000000" w:sz="4" w:space="0"/>
              <w:bottom w:val="nil"/>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1. 强化宣传创新：加大新媒体投入，打造精品短视频、动漫等宣传作品，利用社交媒体精准推送；举办线上参保知识竞赛、直播解读医保政策等活动，增强互动性，提升全民打击欺诈骗保、维护基金安全意识。</w:t>
            </w:r>
            <w:r>
              <w:rPr>
                <w:color w:val="000000"/>
                <w:kern w:val="0"/>
                <w:sz w:val="18"/>
                <w:szCs w:val="18"/>
                <w:lang w:bidi="ar"/>
              </w:rPr>
              <w:br w:type="textWrapping"/>
            </w:r>
            <w:r>
              <w:rPr>
                <w:color w:val="000000"/>
                <w:kern w:val="0"/>
                <w:sz w:val="18"/>
                <w:szCs w:val="18"/>
                <w:lang w:bidi="ar"/>
              </w:rPr>
              <w:t xml:space="preserve">2. 深化第三方协作：加强大数据分析在医保基金监管工作中的运用，建立常态化沟通机制，与第三方共同组建联合研发团队，挖掘医保大数据价值，开发智能监管算法，提前分析预警，精准定位高风险疑点数据，持续提升医保基金监管智能化、科学化水平。   </w:t>
            </w:r>
          </w:p>
        </w:tc>
      </w:tr>
      <w:tr>
        <w:tblPrEx>
          <w:tblCellMar>
            <w:top w:w="0" w:type="dxa"/>
            <w:left w:w="0" w:type="dxa"/>
            <w:bottom w:w="0" w:type="dxa"/>
            <w:right w:w="0" w:type="dxa"/>
          </w:tblCellMar>
        </w:tblPrEx>
        <w:trPr>
          <w:trHeight w:val="270" w:hRule="atLeast"/>
        </w:trPr>
        <w:tc>
          <w:tcPr>
            <w:tcW w:w="5965" w:type="dxa"/>
            <w:gridSpan w:val="5"/>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项目负责人：郭兰梅</w:t>
            </w:r>
          </w:p>
        </w:tc>
        <w:tc>
          <w:tcPr>
            <w:tcW w:w="8093" w:type="dxa"/>
            <w:gridSpan w:val="6"/>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财务负责人：张峻源</w:t>
            </w:r>
          </w:p>
        </w:tc>
      </w:tr>
    </w:tbl>
    <w:p>
      <w:pPr>
        <w:adjustRightInd w:val="0"/>
        <w:snapToGrid w:val="0"/>
        <w:rPr>
          <w:rFonts w:eastAsia="方正黑体_GBK"/>
          <w:kern w:val="0"/>
          <w:sz w:val="32"/>
          <w:szCs w:val="32"/>
        </w:rPr>
      </w:pPr>
      <w:r>
        <w:rPr>
          <w:rFonts w:eastAsia="方正仿宋_GBK"/>
          <w:kern w:val="0"/>
          <w:sz w:val="32"/>
          <w:szCs w:val="32"/>
        </w:rPr>
        <w:br w:type="page"/>
      </w:r>
      <w:r>
        <w:rPr>
          <w:rFonts w:eastAsia="方正黑体_GBK"/>
          <w:kern w:val="0"/>
          <w:sz w:val="32"/>
          <w:szCs w:val="32"/>
        </w:rPr>
        <w:t>附件9</w:t>
      </w:r>
    </w:p>
    <w:p>
      <w:pPr>
        <w:adjustRightInd w:val="0"/>
        <w:snapToGrid w:val="0"/>
        <w:rPr>
          <w:rFonts w:eastAsia="方正黑体_GBK"/>
          <w:kern w:val="0"/>
          <w:sz w:val="32"/>
          <w:szCs w:val="32"/>
        </w:rPr>
      </w:pPr>
    </w:p>
    <w:tbl>
      <w:tblPr>
        <w:tblStyle w:val="17"/>
        <w:tblW w:w="0" w:type="auto"/>
        <w:tblInd w:w="0" w:type="dxa"/>
        <w:tblLayout w:type="autofit"/>
        <w:tblCellMar>
          <w:top w:w="0" w:type="dxa"/>
          <w:left w:w="0" w:type="dxa"/>
          <w:bottom w:w="0" w:type="dxa"/>
          <w:right w:w="0" w:type="dxa"/>
        </w:tblCellMar>
      </w:tblPr>
      <w:tblGrid>
        <w:gridCol w:w="1395"/>
        <w:gridCol w:w="1578"/>
        <w:gridCol w:w="1257"/>
        <w:gridCol w:w="2354"/>
        <w:gridCol w:w="576"/>
        <w:gridCol w:w="750"/>
        <w:gridCol w:w="576"/>
        <w:gridCol w:w="2305"/>
        <w:gridCol w:w="640"/>
        <w:gridCol w:w="638"/>
        <w:gridCol w:w="1919"/>
      </w:tblGrid>
      <w:tr>
        <w:tblPrEx>
          <w:tblCellMar>
            <w:top w:w="0" w:type="dxa"/>
            <w:left w:w="0" w:type="dxa"/>
            <w:bottom w:w="0" w:type="dxa"/>
            <w:right w:w="0" w:type="dxa"/>
          </w:tblCellMar>
        </w:tblPrEx>
        <w:trPr>
          <w:trHeight w:val="270" w:hRule="atLeast"/>
        </w:trPr>
        <w:tc>
          <w:tcPr>
            <w:tcW w:w="0" w:type="auto"/>
            <w:gridSpan w:val="11"/>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b/>
                <w:color w:val="000000"/>
                <w:sz w:val="18"/>
                <w:szCs w:val="18"/>
              </w:rPr>
            </w:pPr>
            <w:r>
              <w:rPr>
                <w:b/>
                <w:color w:val="000000"/>
                <w:kern w:val="0"/>
                <w:sz w:val="18"/>
                <w:szCs w:val="18"/>
                <w:lang w:bidi="ar"/>
              </w:rPr>
              <w:t>部门预算项目支出绩效自评表（2025年度）</w:t>
            </w:r>
          </w:p>
        </w:tc>
      </w:tr>
      <w:tr>
        <w:tblPrEx>
          <w:tblCellMar>
            <w:top w:w="0" w:type="dxa"/>
            <w:left w:w="0" w:type="dxa"/>
            <w:bottom w:w="0" w:type="dxa"/>
            <w:right w:w="0" w:type="dxa"/>
          </w:tblCellMar>
        </w:tblPrEx>
        <w:trPr>
          <w:trHeight w:val="270" w:hRule="atLeast"/>
        </w:trPr>
        <w:tc>
          <w:tcPr>
            <w:tcW w:w="0" w:type="auto"/>
            <w:gridSpan w:val="2"/>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项目名称</w:t>
            </w:r>
          </w:p>
        </w:tc>
        <w:tc>
          <w:tcPr>
            <w:tcW w:w="0" w:type="auto"/>
            <w:gridSpan w:val="9"/>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51040023T000008702888-入驻政务中心单位租金、物业费及水电费</w:t>
            </w:r>
          </w:p>
        </w:tc>
      </w:tr>
      <w:tr>
        <w:tblPrEx>
          <w:tblCellMar>
            <w:top w:w="0" w:type="dxa"/>
            <w:left w:w="0" w:type="dxa"/>
            <w:bottom w:w="0" w:type="dxa"/>
            <w:right w:w="0" w:type="dxa"/>
          </w:tblCellMar>
        </w:tblPrEx>
        <w:trPr>
          <w:trHeight w:val="470" w:hRule="atLeast"/>
        </w:trPr>
        <w:tc>
          <w:tcPr>
            <w:tcW w:w="0" w:type="auto"/>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主管部门</w:t>
            </w:r>
          </w:p>
        </w:tc>
        <w:tc>
          <w:tcPr>
            <w:tcW w:w="0" w:type="auto"/>
            <w:gridSpan w:val="5"/>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攀枝花市医疗保障事务中心部门</w:t>
            </w:r>
          </w:p>
        </w:tc>
        <w:tc>
          <w:tcPr>
            <w:tcW w:w="0" w:type="auto"/>
            <w:tcBorders>
              <w:top w:val="nil"/>
              <w:left w:val="nil"/>
              <w:bottom w:val="nil"/>
              <w:right w:val="nil"/>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实施单位 （盖章）</w:t>
            </w:r>
          </w:p>
        </w:tc>
        <w:tc>
          <w:tcPr>
            <w:tcW w:w="0" w:type="auto"/>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攀枝花市医疗保障事务中心</w:t>
            </w:r>
          </w:p>
        </w:tc>
      </w:tr>
      <w:tr>
        <w:tblPrEx>
          <w:tblCellMar>
            <w:top w:w="0" w:type="dxa"/>
            <w:left w:w="0" w:type="dxa"/>
            <w:bottom w:w="0" w:type="dxa"/>
            <w:right w:w="0" w:type="dxa"/>
          </w:tblCellMar>
        </w:tblPrEx>
        <w:trPr>
          <w:trHeight w:val="270" w:hRule="atLeast"/>
        </w:trPr>
        <w:tc>
          <w:tcPr>
            <w:tcW w:w="0" w:type="auto"/>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项目基本情况</w:t>
            </w:r>
          </w:p>
        </w:tc>
        <w:tc>
          <w:tcPr>
            <w:tcW w:w="0" w:type="auto"/>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1.项目年度目标完成情况</w:t>
            </w:r>
          </w:p>
        </w:tc>
        <w:tc>
          <w:tcPr>
            <w:tcW w:w="0" w:type="auto"/>
            <w:gridSpan w:val="5"/>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项目年度目标</w:t>
            </w:r>
          </w:p>
        </w:tc>
        <w:tc>
          <w:tcPr>
            <w:tcW w:w="0" w:type="auto"/>
            <w:gridSpan w:val="4"/>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年度目标完成情况</w:t>
            </w:r>
          </w:p>
        </w:tc>
      </w:tr>
      <w:tr>
        <w:tblPrEx>
          <w:tblCellMar>
            <w:top w:w="0" w:type="dxa"/>
            <w:left w:w="0" w:type="dxa"/>
            <w:bottom w:w="0" w:type="dxa"/>
            <w:right w:w="0"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color w:val="000000"/>
                <w:sz w:val="18"/>
                <w:szCs w:val="18"/>
              </w:rPr>
            </w:pPr>
          </w:p>
        </w:tc>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color w:val="000000"/>
                <w:sz w:val="18"/>
                <w:szCs w:val="18"/>
              </w:rPr>
            </w:pPr>
          </w:p>
        </w:tc>
        <w:tc>
          <w:tcPr>
            <w:tcW w:w="0" w:type="auto"/>
            <w:gridSpan w:val="5"/>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按时缴纳入驻政务中心单位租金、物业费及水电费。</w:t>
            </w:r>
          </w:p>
        </w:tc>
        <w:tc>
          <w:tcPr>
            <w:tcW w:w="0" w:type="auto"/>
            <w:gridSpan w:val="4"/>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完成支付2025年入驻政务中心单位租金、物业费及水电费75.52万元，保障单位正常运转。</w:t>
            </w:r>
          </w:p>
        </w:tc>
      </w:tr>
      <w:tr>
        <w:tblPrEx>
          <w:tblCellMar>
            <w:top w:w="0" w:type="dxa"/>
            <w:left w:w="0" w:type="dxa"/>
            <w:bottom w:w="0" w:type="dxa"/>
            <w:right w:w="0" w:type="dxa"/>
          </w:tblCellMar>
        </w:tblPrEx>
        <w:trPr>
          <w:trHeight w:val="561" w:hRule="atLeast"/>
        </w:trPr>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2.项目实施内容及过程概述</w:t>
            </w:r>
          </w:p>
        </w:tc>
        <w:tc>
          <w:tcPr>
            <w:tcW w:w="0" w:type="auto"/>
            <w:gridSpan w:val="9"/>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按规定足额缴纳入驻政务中心单位租金、物业费及水电费。</w:t>
            </w:r>
          </w:p>
        </w:tc>
      </w:tr>
      <w:tr>
        <w:tblPrEx>
          <w:tblCellMar>
            <w:top w:w="0" w:type="dxa"/>
            <w:left w:w="0" w:type="dxa"/>
            <w:bottom w:w="0" w:type="dxa"/>
            <w:right w:w="0" w:type="dxa"/>
          </w:tblCellMar>
        </w:tblPrEx>
        <w:trPr>
          <w:trHeight w:val="540" w:hRule="atLeast"/>
        </w:trPr>
        <w:tc>
          <w:tcPr>
            <w:tcW w:w="0" w:type="auto"/>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预算执行情况（10分）</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年度预算数（万元）</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年初预算</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调整后预算数</w:t>
            </w:r>
          </w:p>
        </w:tc>
        <w:tc>
          <w:tcPr>
            <w:tcW w:w="0" w:type="auto"/>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预算执行数</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预算执行率</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权重</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得分</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原因</w:t>
            </w:r>
          </w:p>
        </w:tc>
      </w:tr>
      <w:tr>
        <w:tblPrEx>
          <w:tblCellMar>
            <w:top w:w="0" w:type="dxa"/>
            <w:left w:w="0" w:type="dxa"/>
            <w:bottom w:w="0" w:type="dxa"/>
            <w:right w:w="0"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总额</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75.52</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75.52</w:t>
            </w:r>
          </w:p>
        </w:tc>
        <w:tc>
          <w:tcPr>
            <w:tcW w:w="0" w:type="auto"/>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75.52</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100.00%</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10</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10</w:t>
            </w:r>
          </w:p>
        </w:tc>
        <w:tc>
          <w:tcPr>
            <w:tcW w:w="0" w:type="auto"/>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无。</w:t>
            </w:r>
          </w:p>
        </w:tc>
      </w:tr>
      <w:tr>
        <w:tblPrEx>
          <w:tblCellMar>
            <w:top w:w="0" w:type="dxa"/>
            <w:left w:w="0" w:type="dxa"/>
            <w:bottom w:w="0" w:type="dxa"/>
            <w:right w:w="0"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其中：财政资金</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75.52</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75.52</w:t>
            </w:r>
          </w:p>
        </w:tc>
        <w:tc>
          <w:tcPr>
            <w:tcW w:w="0" w:type="auto"/>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75.52</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100.00%</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w:t>
            </w:r>
          </w:p>
        </w:tc>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r>
      <w:tr>
        <w:tblPrEx>
          <w:tblCellMar>
            <w:top w:w="0" w:type="dxa"/>
            <w:left w:w="0" w:type="dxa"/>
            <w:bottom w:w="0" w:type="dxa"/>
            <w:right w:w="0"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财政专户管理资金</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0.00</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0.00</w:t>
            </w:r>
          </w:p>
        </w:tc>
        <w:tc>
          <w:tcPr>
            <w:tcW w:w="0" w:type="auto"/>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0.00</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0.00%</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w:t>
            </w:r>
          </w:p>
        </w:tc>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r>
      <w:tr>
        <w:tblPrEx>
          <w:tblCellMar>
            <w:top w:w="0" w:type="dxa"/>
            <w:left w:w="0" w:type="dxa"/>
            <w:bottom w:w="0" w:type="dxa"/>
            <w:right w:w="0"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单位资金</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0.00</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0.00</w:t>
            </w:r>
          </w:p>
        </w:tc>
        <w:tc>
          <w:tcPr>
            <w:tcW w:w="0" w:type="auto"/>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0.00</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0.00%</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w:t>
            </w:r>
          </w:p>
        </w:tc>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r>
      <w:tr>
        <w:tblPrEx>
          <w:tblCellMar>
            <w:top w:w="0" w:type="dxa"/>
            <w:left w:w="0" w:type="dxa"/>
            <w:bottom w:w="0" w:type="dxa"/>
            <w:right w:w="0"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其他资金</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i/>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i/>
                <w:color w:val="000000"/>
                <w:sz w:val="18"/>
                <w:szCs w:val="18"/>
              </w:rPr>
            </w:pPr>
          </w:p>
        </w:tc>
        <w:tc>
          <w:tcPr>
            <w:tcW w:w="0" w:type="auto"/>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i/>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w:t>
            </w:r>
          </w:p>
        </w:tc>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r>
      <w:tr>
        <w:tblPrEx>
          <w:tblCellMar>
            <w:top w:w="0" w:type="dxa"/>
            <w:left w:w="0" w:type="dxa"/>
            <w:bottom w:w="0" w:type="dxa"/>
            <w:right w:w="0" w:type="dxa"/>
          </w:tblCellMar>
        </w:tblPrEx>
        <w:trPr>
          <w:trHeight w:val="270" w:hRule="atLeast"/>
        </w:trPr>
        <w:tc>
          <w:tcPr>
            <w:tcW w:w="0" w:type="auto"/>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绩效指标（90分）</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一级指标</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二级指标</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三级指标</w:t>
            </w:r>
          </w:p>
        </w:tc>
        <w:tc>
          <w:tcPr>
            <w:tcW w:w="5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指标性质</w:t>
            </w:r>
          </w:p>
        </w:tc>
        <w:tc>
          <w:tcPr>
            <w:tcW w:w="7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指标值</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度量单位</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完成值</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权重</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得分</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未完成原因分析</w:t>
            </w:r>
          </w:p>
        </w:tc>
      </w:tr>
      <w:tr>
        <w:tblPrEx>
          <w:tblCellMar>
            <w:top w:w="0" w:type="dxa"/>
            <w:left w:w="0" w:type="dxa"/>
            <w:bottom w:w="0" w:type="dxa"/>
            <w:right w:w="0" w:type="dxa"/>
          </w:tblCellMar>
        </w:tblPrEx>
        <w:trPr>
          <w:trHeight w:val="540" w:hRule="atLeast"/>
        </w:trPr>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0" w:type="auto"/>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产出指标</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数量指标</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rFonts w:hint="eastAsia"/>
                <w:color w:val="000000"/>
                <w:kern w:val="0"/>
                <w:sz w:val="18"/>
                <w:szCs w:val="18"/>
                <w:lang w:bidi="ar"/>
              </w:rPr>
              <w:t>按季缴纳</w:t>
            </w:r>
            <w:r>
              <w:rPr>
                <w:color w:val="000000"/>
                <w:kern w:val="0"/>
                <w:sz w:val="18"/>
                <w:szCs w:val="18"/>
                <w:lang w:bidi="ar"/>
              </w:rPr>
              <w:t>租金、物业费及水电费</w:t>
            </w:r>
          </w:p>
        </w:tc>
        <w:tc>
          <w:tcPr>
            <w:tcW w:w="5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highlight w:val="none"/>
              </w:rPr>
            </w:pPr>
            <w:r>
              <w:rPr>
                <w:rFonts w:hint="eastAsia" w:ascii="宋体" w:hAnsi="宋体"/>
                <w:color w:val="000000"/>
                <w:kern w:val="0"/>
                <w:sz w:val="18"/>
                <w:szCs w:val="18"/>
                <w:highlight w:val="none"/>
                <w:lang w:bidi="ar"/>
              </w:rPr>
              <w:t>≥</w:t>
            </w:r>
          </w:p>
        </w:tc>
        <w:tc>
          <w:tcPr>
            <w:tcW w:w="7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highlight w:val="none"/>
              </w:rPr>
            </w:pPr>
            <w:r>
              <w:rPr>
                <w:rFonts w:hint="eastAsia"/>
                <w:color w:val="000000"/>
                <w:kern w:val="0"/>
                <w:sz w:val="18"/>
                <w:szCs w:val="18"/>
                <w:highlight w:val="none"/>
                <w:lang w:bidi="ar"/>
              </w:rPr>
              <w:t>4</w:t>
            </w:r>
          </w:p>
        </w:tc>
        <w:tc>
          <w:tcPr>
            <w:tcW w:w="5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highlight w:val="none"/>
              </w:rPr>
            </w:pPr>
            <w:r>
              <w:rPr>
                <w:rFonts w:hint="eastAsia"/>
                <w:color w:val="000000"/>
                <w:kern w:val="0"/>
                <w:sz w:val="18"/>
                <w:szCs w:val="18"/>
                <w:highlight w:val="none"/>
                <w:lang w:bidi="ar"/>
              </w:rPr>
              <w:t>次</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highlight w:val="none"/>
              </w:rPr>
            </w:pPr>
            <w:r>
              <w:rPr>
                <w:rFonts w:hint="eastAsia"/>
                <w:color w:val="000000"/>
                <w:kern w:val="0"/>
                <w:sz w:val="18"/>
                <w:szCs w:val="18"/>
                <w:highlight w:val="none"/>
                <w:lang w:bidi="ar"/>
              </w:rPr>
              <w:t>4</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10</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10</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无。</w:t>
            </w:r>
          </w:p>
        </w:tc>
      </w:tr>
      <w:tr>
        <w:tblPrEx>
          <w:tblCellMar>
            <w:top w:w="0" w:type="dxa"/>
            <w:left w:w="0" w:type="dxa"/>
            <w:bottom w:w="0" w:type="dxa"/>
            <w:right w:w="0"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质量指标</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按时缴纳</w:t>
            </w:r>
          </w:p>
        </w:tc>
        <w:tc>
          <w:tcPr>
            <w:tcW w:w="5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定性</w:t>
            </w:r>
          </w:p>
        </w:tc>
        <w:tc>
          <w:tcPr>
            <w:tcW w:w="7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全额缴纳</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全额缴纳</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15</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15</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无。</w:t>
            </w:r>
          </w:p>
        </w:tc>
      </w:tr>
      <w:tr>
        <w:tblPrEx>
          <w:tblCellMar>
            <w:top w:w="0" w:type="dxa"/>
            <w:left w:w="0" w:type="dxa"/>
            <w:bottom w:w="0" w:type="dxa"/>
            <w:right w:w="0"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时效指标</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完成时间</w:t>
            </w:r>
          </w:p>
        </w:tc>
        <w:tc>
          <w:tcPr>
            <w:tcW w:w="5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w:t>
            </w:r>
          </w:p>
        </w:tc>
        <w:tc>
          <w:tcPr>
            <w:tcW w:w="7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年</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2025年</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15</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15</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无。</w:t>
            </w:r>
          </w:p>
        </w:tc>
      </w:tr>
      <w:tr>
        <w:tblPrEx>
          <w:tblCellMar>
            <w:top w:w="0" w:type="dxa"/>
            <w:left w:w="0" w:type="dxa"/>
            <w:bottom w:w="0" w:type="dxa"/>
            <w:right w:w="0"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效益指标</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社会效益指标</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保障单位正常运行</w:t>
            </w:r>
          </w:p>
        </w:tc>
        <w:tc>
          <w:tcPr>
            <w:tcW w:w="5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定性</w:t>
            </w:r>
          </w:p>
        </w:tc>
        <w:tc>
          <w:tcPr>
            <w:tcW w:w="7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良好</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良好</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20</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20</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无。</w:t>
            </w:r>
          </w:p>
        </w:tc>
      </w:tr>
      <w:tr>
        <w:tblPrEx>
          <w:tblCellMar>
            <w:top w:w="0" w:type="dxa"/>
            <w:left w:w="0" w:type="dxa"/>
            <w:bottom w:w="0" w:type="dxa"/>
            <w:right w:w="0" w:type="dxa"/>
          </w:tblCellMar>
        </w:tblPrEx>
        <w:trPr>
          <w:trHeight w:val="540" w:hRule="atLeast"/>
        </w:trPr>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满意度指标</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服务对象满意度指标</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物业公司</w:t>
            </w:r>
          </w:p>
        </w:tc>
        <w:tc>
          <w:tcPr>
            <w:tcW w:w="5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定性</w:t>
            </w:r>
          </w:p>
        </w:tc>
        <w:tc>
          <w:tcPr>
            <w:tcW w:w="7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满意</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满意</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10</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10</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无。</w:t>
            </w:r>
          </w:p>
        </w:tc>
      </w:tr>
      <w:tr>
        <w:tblPrEx>
          <w:tblCellMar>
            <w:top w:w="0" w:type="dxa"/>
            <w:left w:w="0" w:type="dxa"/>
            <w:bottom w:w="0" w:type="dxa"/>
            <w:right w:w="0" w:type="dxa"/>
          </w:tblCellMar>
        </w:tblPrEx>
        <w:trPr>
          <w:trHeight w:val="540" w:hRule="atLeast"/>
        </w:trPr>
        <w:tc>
          <w:tcPr>
            <w:tcW w:w="0" w:type="auto"/>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成本指标</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经济成本指标</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入驻政务中心单位租金、物业费及水电费</w:t>
            </w:r>
          </w:p>
        </w:tc>
        <w:tc>
          <w:tcPr>
            <w:tcW w:w="5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w:t>
            </w:r>
          </w:p>
        </w:tc>
        <w:tc>
          <w:tcPr>
            <w:tcW w:w="7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755200.4</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元/年</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755200.40元</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20</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20</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无。</w:t>
            </w:r>
          </w:p>
        </w:tc>
      </w:tr>
      <w:tr>
        <w:tblPrEx>
          <w:tblCellMar>
            <w:top w:w="0" w:type="dxa"/>
            <w:left w:w="0" w:type="dxa"/>
            <w:bottom w:w="0" w:type="dxa"/>
            <w:right w:w="0" w:type="dxa"/>
          </w:tblCellMar>
        </w:tblPrEx>
        <w:trPr>
          <w:trHeight w:val="270" w:hRule="atLeast"/>
        </w:trPr>
        <w:tc>
          <w:tcPr>
            <w:tcW w:w="0" w:type="auto"/>
            <w:gridSpan w:val="8"/>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合计</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100</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100</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color w:val="000000"/>
                <w:sz w:val="18"/>
                <w:szCs w:val="18"/>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评价结论</w:t>
            </w:r>
          </w:p>
        </w:tc>
        <w:tc>
          <w:tcPr>
            <w:tcW w:w="0" w:type="auto"/>
            <w:gridSpan w:val="10"/>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项目自评总分100分，按规定足额缴纳入驻政务中心单位租金、物业费及水电费，保障单位正常运转。</w:t>
            </w: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存在问题</w:t>
            </w:r>
          </w:p>
        </w:tc>
        <w:tc>
          <w:tcPr>
            <w:tcW w:w="0" w:type="auto"/>
            <w:gridSpan w:val="10"/>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无。</w:t>
            </w: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color w:val="000000"/>
                <w:sz w:val="18"/>
                <w:szCs w:val="18"/>
              </w:rPr>
            </w:pPr>
            <w:r>
              <w:rPr>
                <w:color w:val="000000"/>
                <w:kern w:val="0"/>
                <w:sz w:val="18"/>
                <w:szCs w:val="18"/>
                <w:lang w:bidi="ar"/>
              </w:rPr>
              <w:t>改进措施</w:t>
            </w:r>
          </w:p>
        </w:tc>
        <w:tc>
          <w:tcPr>
            <w:tcW w:w="0" w:type="auto"/>
            <w:gridSpan w:val="10"/>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无。</w:t>
            </w:r>
          </w:p>
        </w:tc>
      </w:tr>
      <w:tr>
        <w:tblPrEx>
          <w:tblCellMar>
            <w:top w:w="0" w:type="dxa"/>
            <w:left w:w="0" w:type="dxa"/>
            <w:bottom w:w="0" w:type="dxa"/>
            <w:right w:w="0" w:type="dxa"/>
          </w:tblCellMar>
        </w:tblPrEx>
        <w:trPr>
          <w:trHeight w:val="270" w:hRule="atLeast"/>
        </w:trPr>
        <w:tc>
          <w:tcPr>
            <w:tcW w:w="7160" w:type="dxa"/>
            <w:gridSpan w:val="5"/>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项目负责人：范孝强</w:t>
            </w:r>
          </w:p>
        </w:tc>
        <w:tc>
          <w:tcPr>
            <w:tcW w:w="6828" w:type="dxa"/>
            <w:gridSpan w:val="6"/>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color w:val="000000"/>
                <w:sz w:val="18"/>
                <w:szCs w:val="18"/>
              </w:rPr>
            </w:pPr>
            <w:r>
              <w:rPr>
                <w:color w:val="000000"/>
                <w:kern w:val="0"/>
                <w:sz w:val="18"/>
                <w:szCs w:val="18"/>
                <w:lang w:bidi="ar"/>
              </w:rPr>
              <w:t>财务负责人：张峻源</w:t>
            </w:r>
          </w:p>
        </w:tc>
      </w:tr>
    </w:tbl>
    <w:p>
      <w:pPr>
        <w:widowControl/>
        <w:rPr>
          <w:rFonts w:eastAsia="黑体"/>
          <w:sz w:val="44"/>
          <w:szCs w:val="44"/>
        </w:rPr>
        <w:sectPr>
          <w:pgSz w:w="16838" w:h="11906" w:orient="landscape"/>
          <w:pgMar w:top="1803" w:right="1440" w:bottom="1803" w:left="1440" w:header="851" w:footer="992" w:gutter="0"/>
          <w:pgNumType w:fmt="numberInDash"/>
          <w:cols w:space="425" w:num="1"/>
          <w:titlePg/>
          <w:docGrid w:type="lines" w:linePitch="312" w:charSpace="0"/>
        </w:sectPr>
      </w:pPr>
    </w:p>
    <w:p>
      <w:pPr>
        <w:widowControl/>
        <w:adjustRightInd w:val="0"/>
        <w:snapToGrid w:val="0"/>
        <w:spacing w:line="0" w:lineRule="atLeast"/>
        <w:jc w:val="center"/>
        <w:rPr>
          <w:rFonts w:eastAsia="方正小标宋_GBK"/>
          <w:sz w:val="44"/>
          <w:szCs w:val="44"/>
        </w:rPr>
      </w:pPr>
      <w:r>
        <w:rPr>
          <w:rFonts w:eastAsia="方正小标宋_GBK"/>
          <w:sz w:val="44"/>
          <w:szCs w:val="44"/>
        </w:rPr>
        <w:t>第</w:t>
      </w:r>
      <w:r>
        <w:rPr>
          <w:rStyle w:val="31"/>
          <w:rFonts w:eastAsia="方正小标宋_GBK"/>
          <w:b w:val="0"/>
        </w:rPr>
        <w:t>五部分  附表</w:t>
      </w:r>
      <w:bookmarkEnd w:id="55"/>
      <w:bookmarkEnd w:id="62"/>
      <w:bookmarkStart w:id="67" w:name="_Toc15396619"/>
    </w:p>
    <w:p>
      <w:pPr>
        <w:pStyle w:val="16"/>
        <w:adjustRightInd w:val="0"/>
        <w:snapToGrid w:val="0"/>
        <w:ind w:left="0" w:leftChars="0" w:firstLine="640" w:firstLineChars="200"/>
        <w:jc w:val="left"/>
        <w:rPr>
          <w:rFonts w:eastAsia="仿宋_GB2312"/>
          <w:sz w:val="32"/>
          <w:szCs w:val="32"/>
        </w:rPr>
      </w:pPr>
    </w:p>
    <w:p>
      <w:pPr>
        <w:pStyle w:val="16"/>
        <w:adjustRightInd w:val="0"/>
        <w:snapToGrid w:val="0"/>
        <w:ind w:left="0" w:leftChars="0" w:firstLine="640" w:firstLineChars="200"/>
        <w:jc w:val="left"/>
        <w:rPr>
          <w:rFonts w:eastAsia="方正仿宋_GBK"/>
          <w:sz w:val="32"/>
          <w:szCs w:val="32"/>
        </w:rPr>
      </w:pPr>
      <w:r>
        <w:rPr>
          <w:rFonts w:eastAsia="方正仿宋_GBK"/>
          <w:sz w:val="32"/>
          <w:szCs w:val="32"/>
        </w:rPr>
        <w:t>一、收入支出决算总表</w:t>
      </w:r>
      <w:bookmarkEnd w:id="67"/>
    </w:p>
    <w:p>
      <w:pPr>
        <w:pStyle w:val="16"/>
        <w:adjustRightInd w:val="0"/>
        <w:snapToGrid w:val="0"/>
        <w:ind w:left="0" w:leftChars="0" w:firstLine="640" w:firstLineChars="200"/>
        <w:jc w:val="left"/>
        <w:rPr>
          <w:rFonts w:eastAsia="方正仿宋_GBK"/>
          <w:sz w:val="32"/>
          <w:szCs w:val="32"/>
        </w:rPr>
      </w:pPr>
      <w:bookmarkStart w:id="68" w:name="_Toc15396620"/>
      <w:r>
        <w:rPr>
          <w:rFonts w:eastAsia="方正仿宋_GBK"/>
          <w:sz w:val="32"/>
          <w:szCs w:val="32"/>
        </w:rPr>
        <w:t>二、收入决算表</w:t>
      </w:r>
      <w:bookmarkEnd w:id="68"/>
    </w:p>
    <w:p>
      <w:pPr>
        <w:pStyle w:val="16"/>
        <w:adjustRightInd w:val="0"/>
        <w:snapToGrid w:val="0"/>
        <w:ind w:left="0" w:leftChars="0" w:firstLine="640" w:firstLineChars="200"/>
        <w:jc w:val="left"/>
        <w:rPr>
          <w:rFonts w:eastAsia="方正仿宋_GBK"/>
          <w:sz w:val="32"/>
          <w:szCs w:val="32"/>
        </w:rPr>
      </w:pPr>
      <w:bookmarkStart w:id="69" w:name="_Toc15396621"/>
      <w:r>
        <w:rPr>
          <w:rFonts w:eastAsia="方正仿宋_GBK"/>
          <w:sz w:val="32"/>
          <w:szCs w:val="32"/>
        </w:rPr>
        <w:t>三、支出决算表</w:t>
      </w:r>
      <w:bookmarkEnd w:id="69"/>
    </w:p>
    <w:p>
      <w:pPr>
        <w:pStyle w:val="16"/>
        <w:adjustRightInd w:val="0"/>
        <w:snapToGrid w:val="0"/>
        <w:ind w:left="0" w:leftChars="0" w:firstLine="640" w:firstLineChars="200"/>
        <w:jc w:val="left"/>
        <w:rPr>
          <w:rFonts w:eastAsia="方正仿宋_GBK"/>
          <w:sz w:val="32"/>
          <w:szCs w:val="32"/>
        </w:rPr>
      </w:pPr>
      <w:bookmarkStart w:id="70" w:name="_Toc15396622"/>
      <w:r>
        <w:rPr>
          <w:rFonts w:eastAsia="方正仿宋_GBK"/>
          <w:sz w:val="32"/>
          <w:szCs w:val="32"/>
        </w:rPr>
        <w:t>四、财政拨款收入支出决算总表</w:t>
      </w:r>
      <w:bookmarkEnd w:id="70"/>
    </w:p>
    <w:p>
      <w:pPr>
        <w:pStyle w:val="16"/>
        <w:adjustRightInd w:val="0"/>
        <w:snapToGrid w:val="0"/>
        <w:ind w:left="0" w:leftChars="0" w:firstLine="640" w:firstLineChars="200"/>
        <w:jc w:val="left"/>
        <w:rPr>
          <w:rFonts w:eastAsia="方正仿宋_GBK"/>
          <w:sz w:val="32"/>
          <w:szCs w:val="32"/>
        </w:rPr>
      </w:pPr>
      <w:bookmarkStart w:id="71" w:name="_Toc15396623"/>
      <w:r>
        <w:rPr>
          <w:rFonts w:eastAsia="方正仿宋_GBK"/>
          <w:sz w:val="32"/>
          <w:szCs w:val="32"/>
        </w:rPr>
        <w:t>五、财政拨款支出决算明细表</w:t>
      </w:r>
      <w:bookmarkEnd w:id="71"/>
      <w:bookmarkStart w:id="72" w:name="_Toc15396624"/>
    </w:p>
    <w:p>
      <w:pPr>
        <w:pStyle w:val="16"/>
        <w:adjustRightInd w:val="0"/>
        <w:snapToGrid w:val="0"/>
        <w:ind w:left="0" w:leftChars="0" w:firstLine="640" w:firstLineChars="200"/>
        <w:jc w:val="left"/>
        <w:rPr>
          <w:rFonts w:eastAsia="方正仿宋_GBK"/>
          <w:sz w:val="32"/>
          <w:szCs w:val="32"/>
        </w:rPr>
      </w:pPr>
      <w:r>
        <w:rPr>
          <w:rFonts w:eastAsia="方正仿宋_GBK"/>
          <w:sz w:val="32"/>
          <w:szCs w:val="32"/>
        </w:rPr>
        <w:t>六、一般公共预算财政拨款支出决算表</w:t>
      </w:r>
      <w:bookmarkEnd w:id="72"/>
    </w:p>
    <w:p>
      <w:pPr>
        <w:pStyle w:val="16"/>
        <w:adjustRightInd w:val="0"/>
        <w:snapToGrid w:val="0"/>
        <w:ind w:left="0" w:leftChars="0" w:firstLine="640" w:firstLineChars="200"/>
        <w:jc w:val="left"/>
        <w:rPr>
          <w:rFonts w:eastAsia="方正仿宋_GBK"/>
          <w:sz w:val="32"/>
          <w:szCs w:val="32"/>
        </w:rPr>
      </w:pPr>
      <w:bookmarkStart w:id="73" w:name="_Toc15396625"/>
      <w:r>
        <w:rPr>
          <w:rFonts w:eastAsia="方正仿宋_GBK"/>
          <w:sz w:val="32"/>
          <w:szCs w:val="32"/>
        </w:rPr>
        <w:t>七、一般公共预算财政拨款支出决算明细表</w:t>
      </w:r>
      <w:bookmarkEnd w:id="73"/>
    </w:p>
    <w:p>
      <w:pPr>
        <w:pStyle w:val="16"/>
        <w:adjustRightInd w:val="0"/>
        <w:snapToGrid w:val="0"/>
        <w:ind w:left="0" w:leftChars="0" w:firstLine="640" w:firstLineChars="200"/>
        <w:jc w:val="left"/>
        <w:rPr>
          <w:rFonts w:eastAsia="方正仿宋_GBK"/>
          <w:sz w:val="32"/>
          <w:szCs w:val="32"/>
        </w:rPr>
      </w:pPr>
      <w:bookmarkStart w:id="74" w:name="_Toc15396626"/>
      <w:r>
        <w:rPr>
          <w:rFonts w:eastAsia="方正仿宋_GBK"/>
          <w:sz w:val="32"/>
          <w:szCs w:val="32"/>
        </w:rPr>
        <w:t>八、一般公共预算财政拨款基本支出决算表</w:t>
      </w:r>
      <w:bookmarkEnd w:id="74"/>
    </w:p>
    <w:p>
      <w:pPr>
        <w:pStyle w:val="16"/>
        <w:adjustRightInd w:val="0"/>
        <w:snapToGrid w:val="0"/>
        <w:ind w:left="0" w:leftChars="0" w:firstLine="640" w:firstLineChars="200"/>
        <w:jc w:val="left"/>
        <w:rPr>
          <w:rFonts w:eastAsia="方正仿宋_GBK"/>
          <w:sz w:val="32"/>
          <w:szCs w:val="32"/>
        </w:rPr>
      </w:pPr>
      <w:bookmarkStart w:id="75" w:name="_Toc15396627"/>
      <w:r>
        <w:rPr>
          <w:rFonts w:eastAsia="方正仿宋_GBK"/>
          <w:sz w:val="32"/>
          <w:szCs w:val="32"/>
        </w:rPr>
        <w:t>九、一般公共预算财政拨款项目支出决算表</w:t>
      </w:r>
      <w:bookmarkEnd w:id="75"/>
    </w:p>
    <w:p>
      <w:pPr>
        <w:pStyle w:val="16"/>
        <w:adjustRightInd w:val="0"/>
        <w:snapToGrid w:val="0"/>
        <w:ind w:left="0" w:leftChars="0" w:firstLine="640" w:firstLineChars="200"/>
        <w:jc w:val="left"/>
        <w:rPr>
          <w:rFonts w:eastAsia="方正仿宋_GBK"/>
          <w:sz w:val="32"/>
          <w:szCs w:val="32"/>
        </w:rPr>
      </w:pPr>
      <w:bookmarkStart w:id="76" w:name="_Toc15396628"/>
      <w:r>
        <w:rPr>
          <w:rFonts w:eastAsia="方正仿宋_GBK"/>
          <w:sz w:val="32"/>
          <w:szCs w:val="32"/>
        </w:rPr>
        <w:t>十、</w:t>
      </w:r>
      <w:bookmarkEnd w:id="76"/>
      <w:r>
        <w:rPr>
          <w:rFonts w:eastAsia="方正仿宋_GBK"/>
          <w:sz w:val="32"/>
          <w:szCs w:val="32"/>
        </w:rPr>
        <w:t>政府性基金预算财政拨款收入支出决算表</w:t>
      </w:r>
    </w:p>
    <w:p>
      <w:pPr>
        <w:pStyle w:val="16"/>
        <w:adjustRightInd w:val="0"/>
        <w:snapToGrid w:val="0"/>
        <w:ind w:left="0" w:leftChars="0" w:firstLine="640" w:firstLineChars="200"/>
        <w:jc w:val="left"/>
        <w:rPr>
          <w:rFonts w:eastAsia="方正仿宋_GBK"/>
          <w:sz w:val="32"/>
          <w:szCs w:val="32"/>
        </w:rPr>
      </w:pPr>
      <w:bookmarkStart w:id="77" w:name="_Toc15396629"/>
      <w:r>
        <w:rPr>
          <w:rFonts w:eastAsia="方正仿宋_GBK"/>
          <w:sz w:val="32"/>
          <w:szCs w:val="32"/>
        </w:rPr>
        <w:t>十一、</w:t>
      </w:r>
      <w:bookmarkEnd w:id="77"/>
      <w:r>
        <w:rPr>
          <w:rFonts w:eastAsia="方正仿宋_GBK"/>
          <w:sz w:val="32"/>
          <w:szCs w:val="32"/>
        </w:rPr>
        <w:t>国有资本经营预算财政拨款收入支出决算表</w:t>
      </w:r>
    </w:p>
    <w:p>
      <w:pPr>
        <w:pStyle w:val="16"/>
        <w:adjustRightInd w:val="0"/>
        <w:snapToGrid w:val="0"/>
        <w:ind w:left="0" w:leftChars="0" w:firstLine="640" w:firstLineChars="200"/>
        <w:jc w:val="left"/>
        <w:rPr>
          <w:rFonts w:eastAsia="仿宋_GB2312"/>
          <w:sz w:val="32"/>
          <w:szCs w:val="32"/>
        </w:rPr>
      </w:pPr>
      <w:bookmarkStart w:id="78" w:name="_Toc15396630"/>
      <w:r>
        <w:rPr>
          <w:rFonts w:eastAsia="方正仿宋_GBK"/>
          <w:sz w:val="32"/>
          <w:szCs w:val="32"/>
        </w:rPr>
        <w:t>十二、</w:t>
      </w:r>
      <w:bookmarkEnd w:id="78"/>
      <w:r>
        <w:rPr>
          <w:rFonts w:eastAsia="方正仿宋_GBK"/>
          <w:sz w:val="32"/>
          <w:szCs w:val="32"/>
        </w:rPr>
        <w:t>国有资本经营预算财政拨款支出</w:t>
      </w:r>
      <w:r>
        <w:rPr>
          <w:rFonts w:eastAsia="仿宋_GB2312"/>
          <w:sz w:val="32"/>
          <w:szCs w:val="32"/>
        </w:rPr>
        <w:t>决算表</w:t>
      </w:r>
    </w:p>
    <w:p>
      <w:pPr>
        <w:pStyle w:val="16"/>
        <w:adjustRightInd w:val="0"/>
        <w:snapToGrid w:val="0"/>
        <w:ind w:left="0" w:leftChars="0" w:firstLine="640" w:firstLineChars="200"/>
        <w:jc w:val="left"/>
        <w:rPr>
          <w:rFonts w:eastAsia="仿宋_GB2312"/>
          <w:sz w:val="32"/>
          <w:szCs w:val="32"/>
        </w:rPr>
      </w:pPr>
      <w:bookmarkStart w:id="79" w:name="_Toc15396631"/>
      <w:r>
        <w:rPr>
          <w:rFonts w:eastAsia="仿宋_GB2312"/>
          <w:sz w:val="32"/>
          <w:szCs w:val="32"/>
        </w:rPr>
        <w:t>十三、</w:t>
      </w:r>
      <w:bookmarkEnd w:id="79"/>
      <w:r>
        <w:rPr>
          <w:rFonts w:eastAsia="仿宋_GB2312"/>
          <w:sz w:val="32"/>
          <w:szCs w:val="32"/>
        </w:rPr>
        <w:t>财政拨款“三公”经费支出决算表</w:t>
      </w:r>
    </w:p>
    <w:p>
      <w:pPr>
        <w:ind w:firstLine="420" w:firstLineChars="200"/>
        <w:rPr>
          <w:rFonts w:eastAsia="仿宋_GB2312"/>
        </w:rPr>
      </w:pPr>
    </w:p>
    <w:sectPr>
      <w:pgSz w:w="11906" w:h="16838"/>
      <w:pgMar w:top="1440" w:right="1803" w:bottom="1440" w:left="1803"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Times New Roman"/>
    <w:panose1 w:val="00000000000000000000"/>
    <w:charset w:val="00"/>
    <w:family w:val="roman"/>
    <w:pitch w:val="default"/>
    <w:sig w:usb0="00000000" w:usb1="00000000" w:usb2="00000000" w:usb3="00000000" w:csb0="00040001" w:csb1="00000000"/>
  </w:font>
  <w:font w:name="方正小标宋简体">
    <w:altName w:val="Arial Unicode MS"/>
    <w:panose1 w:val="03000509000000000000"/>
    <w:charset w:val="86"/>
    <w:family w:val="script"/>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方正小标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微软雅黑">
    <w:panose1 w:val="020B0503020204020204"/>
    <w:charset w:val="86"/>
    <w:family w:val="swiss"/>
    <w:pitch w:val="variable"/>
    <w:sig w:usb0="80000287" w:usb1="2ACF3C50" w:usb2="00000016" w:usb3="00000000" w:csb0="0004001F" w:csb1="00000000"/>
  </w:font>
  <w:font w:name="方正楷体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729288764"/>
                          </w:sdtPr>
                          <w:sdtContent>
                            <w:p>
                              <w:pPr>
                                <w:pStyle w:val="13"/>
                                <w:jc w:val="center"/>
                              </w:pPr>
                              <w:r>
                                <w:fldChar w:fldCharType="begin"/>
                              </w:r>
                              <w:r>
                                <w:instrText xml:space="preserve">PAGE   \* MERGEFORMAT</w:instrText>
                              </w:r>
                              <w:r>
                                <w:fldChar w:fldCharType="separate"/>
                              </w:r>
                              <w:r>
                                <w:rPr>
                                  <w:lang w:val="zh-CN"/>
                                </w:rPr>
                                <w:t>-</w:t>
                              </w:r>
                              <w:r>
                                <w:t xml:space="preserve"> 3 -</w:t>
                              </w:r>
                              <w:r>
                                <w:fldChar w:fldCharType="end"/>
                              </w:r>
                            </w:p>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sdt>
                    <w:sdtPr>
                      <w:id w:val="-1729288764"/>
                    </w:sdtPr>
                    <w:sdtContent>
                      <w:p>
                        <w:pPr>
                          <w:pStyle w:val="13"/>
                          <w:jc w:val="center"/>
                        </w:pPr>
                        <w:r>
                          <w:fldChar w:fldCharType="begin"/>
                        </w:r>
                        <w:r>
                          <w:instrText xml:space="preserve">PAGE   \* MERGEFORMAT</w:instrText>
                        </w:r>
                        <w:r>
                          <w:fldChar w:fldCharType="separate"/>
                        </w:r>
                        <w:r>
                          <w:rPr>
                            <w:lang w:val="zh-CN"/>
                          </w:rPr>
                          <w:t>-</w:t>
                        </w:r>
                        <w:r>
                          <w:t xml:space="preserve"> 3 -</w:t>
                        </w:r>
                        <w:r>
                          <w:fldChar w:fldCharType="end"/>
                        </w:r>
                      </w:p>
                    </w:sdtContent>
                  </w:sdt>
                  <w:p/>
                </w:txbxContent>
              </v:textbox>
            </v:shape>
          </w:pict>
        </mc:Fallback>
      </mc:AlternateContent>
    </w:r>
  </w:p>
  <w:p>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pPr>
                      <w:pStyle w:val="13"/>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0DDFB0"/>
    <w:multiLevelType w:val="singleLevel"/>
    <w:tmpl w:val="8D0DDFB0"/>
    <w:lvl w:ilvl="0" w:tentative="0">
      <w:start w:val="3"/>
      <w:numFmt w:val="chineseCounting"/>
      <w:suff w:val="space"/>
      <w:lvlText w:val="第%1部分"/>
      <w:lvlJc w:val="left"/>
      <w:rPr>
        <w:rFonts w:hint="eastAsia"/>
      </w:rPr>
    </w:lvl>
  </w:abstractNum>
  <w:abstractNum w:abstractNumId="1">
    <w:nsid w:val="C60B3958"/>
    <w:multiLevelType w:val="singleLevel"/>
    <w:tmpl w:val="C60B3958"/>
    <w:lvl w:ilvl="0" w:tentative="0">
      <w:start w:val="2"/>
      <w:numFmt w:val="chineseCounting"/>
      <w:suff w:val="space"/>
      <w:lvlText w:val="第%1部分"/>
      <w:lvlJc w:val="left"/>
      <w:rPr>
        <w:rFonts w:hint="eastAsia"/>
      </w:rPr>
    </w:lvl>
  </w:abstractNum>
  <w:abstractNum w:abstractNumId="2">
    <w:nsid w:val="E2C20814"/>
    <w:multiLevelType w:val="singleLevel"/>
    <w:tmpl w:val="E2C20814"/>
    <w:lvl w:ilvl="0" w:tentative="0">
      <w:start w:val="2"/>
      <w:numFmt w:val="chineseCounting"/>
      <w:suff w:val="nothing"/>
      <w:lvlText w:val="（%1）"/>
      <w:lvlJc w:val="left"/>
      <w:rPr>
        <w:rFonts w:hint="eastAsia"/>
        <w:highlight w:val="none"/>
      </w:rPr>
    </w:lvl>
  </w:abstractNum>
  <w:abstractNum w:abstractNumId="3">
    <w:nsid w:val="33E78DB6"/>
    <w:multiLevelType w:val="singleLevel"/>
    <w:tmpl w:val="33E78DB6"/>
    <w:lvl w:ilvl="0" w:tentative="0">
      <w:start w:val="2"/>
      <w:numFmt w:val="decimal"/>
      <w:suff w:val="nothing"/>
      <w:lvlText w:val="%1．"/>
      <w:lvlJc w:val="left"/>
      <w:pPr>
        <w:ind w:left="0" w:firstLine="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trackRevisions w:val="1"/>
  <w:documentProtection w:enforcement="0"/>
  <w:defaultTabStop w:val="420"/>
  <w:drawingGridHorizontalSpacing w:val="21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3681B"/>
    <w:rsid w:val="000468DB"/>
    <w:rsid w:val="0006487A"/>
    <w:rsid w:val="00065F8F"/>
    <w:rsid w:val="00070A43"/>
    <w:rsid w:val="000768F2"/>
    <w:rsid w:val="0009184B"/>
    <w:rsid w:val="00094236"/>
    <w:rsid w:val="0009593C"/>
    <w:rsid w:val="00097322"/>
    <w:rsid w:val="000A6A92"/>
    <w:rsid w:val="000B047F"/>
    <w:rsid w:val="000B3E4C"/>
    <w:rsid w:val="000B5923"/>
    <w:rsid w:val="000B5A48"/>
    <w:rsid w:val="000B6FF3"/>
    <w:rsid w:val="000C3467"/>
    <w:rsid w:val="000C3CA6"/>
    <w:rsid w:val="000D1267"/>
    <w:rsid w:val="000D1D50"/>
    <w:rsid w:val="000D5782"/>
    <w:rsid w:val="000E6613"/>
    <w:rsid w:val="000E7119"/>
    <w:rsid w:val="000F1603"/>
    <w:rsid w:val="001113A5"/>
    <w:rsid w:val="00114E9B"/>
    <w:rsid w:val="00116091"/>
    <w:rsid w:val="00142216"/>
    <w:rsid w:val="00144D6A"/>
    <w:rsid w:val="0014729F"/>
    <w:rsid w:val="00157BAB"/>
    <w:rsid w:val="001654D1"/>
    <w:rsid w:val="00174518"/>
    <w:rsid w:val="0018106D"/>
    <w:rsid w:val="001877A7"/>
    <w:rsid w:val="00191536"/>
    <w:rsid w:val="00196687"/>
    <w:rsid w:val="001C0962"/>
    <w:rsid w:val="001D7531"/>
    <w:rsid w:val="001D7C07"/>
    <w:rsid w:val="001E737D"/>
    <w:rsid w:val="001F0592"/>
    <w:rsid w:val="001F2A64"/>
    <w:rsid w:val="001F7506"/>
    <w:rsid w:val="002006CD"/>
    <w:rsid w:val="00202B36"/>
    <w:rsid w:val="00204B7A"/>
    <w:rsid w:val="00204CDE"/>
    <w:rsid w:val="0021101A"/>
    <w:rsid w:val="00220536"/>
    <w:rsid w:val="00235629"/>
    <w:rsid w:val="00260C38"/>
    <w:rsid w:val="002616C0"/>
    <w:rsid w:val="00265372"/>
    <w:rsid w:val="002662AA"/>
    <w:rsid w:val="00280496"/>
    <w:rsid w:val="002839BA"/>
    <w:rsid w:val="00294DC9"/>
    <w:rsid w:val="00295495"/>
    <w:rsid w:val="002A31DE"/>
    <w:rsid w:val="002B2613"/>
    <w:rsid w:val="002D6D05"/>
    <w:rsid w:val="002F1818"/>
    <w:rsid w:val="002F567B"/>
    <w:rsid w:val="00301794"/>
    <w:rsid w:val="003216A9"/>
    <w:rsid w:val="00326E38"/>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B59FF"/>
    <w:rsid w:val="004E0A2D"/>
    <w:rsid w:val="004E206B"/>
    <w:rsid w:val="004E6DF7"/>
    <w:rsid w:val="004F0FBD"/>
    <w:rsid w:val="00505A47"/>
    <w:rsid w:val="00512FDA"/>
    <w:rsid w:val="00520DA0"/>
    <w:rsid w:val="005664BB"/>
    <w:rsid w:val="00566FFA"/>
    <w:rsid w:val="0057481D"/>
    <w:rsid w:val="0058486E"/>
    <w:rsid w:val="00585B33"/>
    <w:rsid w:val="0059014D"/>
    <w:rsid w:val="005A5BD0"/>
    <w:rsid w:val="005B5C64"/>
    <w:rsid w:val="005C5337"/>
    <w:rsid w:val="005C6BD0"/>
    <w:rsid w:val="005D1C8B"/>
    <w:rsid w:val="005D468D"/>
    <w:rsid w:val="005D5CED"/>
    <w:rsid w:val="005E2796"/>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76263"/>
    <w:rsid w:val="00681A31"/>
    <w:rsid w:val="00683E73"/>
    <w:rsid w:val="006A3141"/>
    <w:rsid w:val="006A5E34"/>
    <w:rsid w:val="006B2422"/>
    <w:rsid w:val="006B2B9A"/>
    <w:rsid w:val="006C1937"/>
    <w:rsid w:val="006F020C"/>
    <w:rsid w:val="0070338E"/>
    <w:rsid w:val="007127B7"/>
    <w:rsid w:val="0071798E"/>
    <w:rsid w:val="007416B6"/>
    <w:rsid w:val="00742B7A"/>
    <w:rsid w:val="00746F48"/>
    <w:rsid w:val="0075404D"/>
    <w:rsid w:val="0076182A"/>
    <w:rsid w:val="00767B7E"/>
    <w:rsid w:val="007770C3"/>
    <w:rsid w:val="00784D24"/>
    <w:rsid w:val="00785FBA"/>
    <w:rsid w:val="00786E4A"/>
    <w:rsid w:val="007875EB"/>
    <w:rsid w:val="0079426B"/>
    <w:rsid w:val="007D1682"/>
    <w:rsid w:val="007D312A"/>
    <w:rsid w:val="007D3F19"/>
    <w:rsid w:val="007D4C36"/>
    <w:rsid w:val="007E23B0"/>
    <w:rsid w:val="007E23E5"/>
    <w:rsid w:val="007E2FA8"/>
    <w:rsid w:val="007F1991"/>
    <w:rsid w:val="007F2C2F"/>
    <w:rsid w:val="007F55FC"/>
    <w:rsid w:val="007F5665"/>
    <w:rsid w:val="00800112"/>
    <w:rsid w:val="0080361F"/>
    <w:rsid w:val="00813348"/>
    <w:rsid w:val="008253BB"/>
    <w:rsid w:val="0083561A"/>
    <w:rsid w:val="0083706E"/>
    <w:rsid w:val="008408F6"/>
    <w:rsid w:val="008423A5"/>
    <w:rsid w:val="00850625"/>
    <w:rsid w:val="00853718"/>
    <w:rsid w:val="00855221"/>
    <w:rsid w:val="00860645"/>
    <w:rsid w:val="00871F71"/>
    <w:rsid w:val="00872FD8"/>
    <w:rsid w:val="00885AF4"/>
    <w:rsid w:val="008939CD"/>
    <w:rsid w:val="008A7521"/>
    <w:rsid w:val="008B768C"/>
    <w:rsid w:val="008C4DB1"/>
    <w:rsid w:val="008C4EAF"/>
    <w:rsid w:val="008C5176"/>
    <w:rsid w:val="008C7FD0"/>
    <w:rsid w:val="008E1DE7"/>
    <w:rsid w:val="008E4F0F"/>
    <w:rsid w:val="008E707C"/>
    <w:rsid w:val="00900B08"/>
    <w:rsid w:val="00902155"/>
    <w:rsid w:val="00902FA3"/>
    <w:rsid w:val="00911541"/>
    <w:rsid w:val="00923564"/>
    <w:rsid w:val="0092392E"/>
    <w:rsid w:val="009315F9"/>
    <w:rsid w:val="00933499"/>
    <w:rsid w:val="00935C98"/>
    <w:rsid w:val="00946945"/>
    <w:rsid w:val="00951248"/>
    <w:rsid w:val="0095152F"/>
    <w:rsid w:val="00954C49"/>
    <w:rsid w:val="00955E37"/>
    <w:rsid w:val="00963F32"/>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35BA9"/>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AE2A21"/>
    <w:rsid w:val="00B03C9D"/>
    <w:rsid w:val="00B060AE"/>
    <w:rsid w:val="00B10517"/>
    <w:rsid w:val="00B125B9"/>
    <w:rsid w:val="00B14E76"/>
    <w:rsid w:val="00B161B8"/>
    <w:rsid w:val="00B2048C"/>
    <w:rsid w:val="00B310B9"/>
    <w:rsid w:val="00B35F3F"/>
    <w:rsid w:val="00B36CBB"/>
    <w:rsid w:val="00B425E0"/>
    <w:rsid w:val="00B440AA"/>
    <w:rsid w:val="00B44B70"/>
    <w:rsid w:val="00B53C56"/>
    <w:rsid w:val="00B57DAF"/>
    <w:rsid w:val="00B77EA6"/>
    <w:rsid w:val="00B81598"/>
    <w:rsid w:val="00B82941"/>
    <w:rsid w:val="00B841F1"/>
    <w:rsid w:val="00B944D6"/>
    <w:rsid w:val="00BB4DF0"/>
    <w:rsid w:val="00BC289F"/>
    <w:rsid w:val="00BC2D50"/>
    <w:rsid w:val="00BC5361"/>
    <w:rsid w:val="00BC5460"/>
    <w:rsid w:val="00BC6B50"/>
    <w:rsid w:val="00BD0E25"/>
    <w:rsid w:val="00BF5BD6"/>
    <w:rsid w:val="00C03E31"/>
    <w:rsid w:val="00C30F86"/>
    <w:rsid w:val="00C33E72"/>
    <w:rsid w:val="00C354B2"/>
    <w:rsid w:val="00C35554"/>
    <w:rsid w:val="00C42709"/>
    <w:rsid w:val="00C533CC"/>
    <w:rsid w:val="00C5751C"/>
    <w:rsid w:val="00C61BFC"/>
    <w:rsid w:val="00C62B85"/>
    <w:rsid w:val="00C65438"/>
    <w:rsid w:val="00C668FC"/>
    <w:rsid w:val="00C87FD8"/>
    <w:rsid w:val="00C91381"/>
    <w:rsid w:val="00C91CBB"/>
    <w:rsid w:val="00CA76A3"/>
    <w:rsid w:val="00CB41ED"/>
    <w:rsid w:val="00CB4E70"/>
    <w:rsid w:val="00CC09B6"/>
    <w:rsid w:val="00CC666F"/>
    <w:rsid w:val="00CD1E3F"/>
    <w:rsid w:val="00CE44F6"/>
    <w:rsid w:val="00CE49DA"/>
    <w:rsid w:val="00CE7B61"/>
    <w:rsid w:val="00D00095"/>
    <w:rsid w:val="00D114F0"/>
    <w:rsid w:val="00D20620"/>
    <w:rsid w:val="00D229F8"/>
    <w:rsid w:val="00D254F7"/>
    <w:rsid w:val="00D26091"/>
    <w:rsid w:val="00D2685C"/>
    <w:rsid w:val="00D34E7C"/>
    <w:rsid w:val="00D35489"/>
    <w:rsid w:val="00D36AFE"/>
    <w:rsid w:val="00D51276"/>
    <w:rsid w:val="00D623BC"/>
    <w:rsid w:val="00D7035F"/>
    <w:rsid w:val="00D86E88"/>
    <w:rsid w:val="00D917FE"/>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E72CE"/>
    <w:rsid w:val="00EF4C34"/>
    <w:rsid w:val="00EF77C6"/>
    <w:rsid w:val="00F05438"/>
    <w:rsid w:val="00F13257"/>
    <w:rsid w:val="00F1361C"/>
    <w:rsid w:val="00F156F0"/>
    <w:rsid w:val="00F160C7"/>
    <w:rsid w:val="00F2408F"/>
    <w:rsid w:val="00F240E9"/>
    <w:rsid w:val="00F36D8F"/>
    <w:rsid w:val="00F417B1"/>
    <w:rsid w:val="00F45853"/>
    <w:rsid w:val="00F602DF"/>
    <w:rsid w:val="00F754A1"/>
    <w:rsid w:val="00F81FD9"/>
    <w:rsid w:val="00F841AA"/>
    <w:rsid w:val="00F84A94"/>
    <w:rsid w:val="00F86489"/>
    <w:rsid w:val="00F87E96"/>
    <w:rsid w:val="00FA23E8"/>
    <w:rsid w:val="00FD3CC1"/>
    <w:rsid w:val="00FE74D9"/>
    <w:rsid w:val="00FF1E02"/>
    <w:rsid w:val="00FF30B4"/>
    <w:rsid w:val="012A5EC2"/>
    <w:rsid w:val="015975B8"/>
    <w:rsid w:val="021F4265"/>
    <w:rsid w:val="02FEBE30"/>
    <w:rsid w:val="03595555"/>
    <w:rsid w:val="04916F1E"/>
    <w:rsid w:val="04BC1F2C"/>
    <w:rsid w:val="0580310E"/>
    <w:rsid w:val="05A827C4"/>
    <w:rsid w:val="061E35DE"/>
    <w:rsid w:val="066E0107"/>
    <w:rsid w:val="06A60A21"/>
    <w:rsid w:val="06D33102"/>
    <w:rsid w:val="072C5B65"/>
    <w:rsid w:val="076D798E"/>
    <w:rsid w:val="07996F6E"/>
    <w:rsid w:val="07AC6975"/>
    <w:rsid w:val="07BC2556"/>
    <w:rsid w:val="07DFD8BA"/>
    <w:rsid w:val="08692CA8"/>
    <w:rsid w:val="087504AA"/>
    <w:rsid w:val="08F55D20"/>
    <w:rsid w:val="09867E8F"/>
    <w:rsid w:val="0A0B48E7"/>
    <w:rsid w:val="0A2032A3"/>
    <w:rsid w:val="0A6F1B02"/>
    <w:rsid w:val="0AA07C08"/>
    <w:rsid w:val="0B2504FE"/>
    <w:rsid w:val="0B6F2944"/>
    <w:rsid w:val="0BDB68B3"/>
    <w:rsid w:val="0CA710DF"/>
    <w:rsid w:val="0CA8290A"/>
    <w:rsid w:val="0CB750A9"/>
    <w:rsid w:val="0CF266DD"/>
    <w:rsid w:val="0D35B1ED"/>
    <w:rsid w:val="0DF3713E"/>
    <w:rsid w:val="0E254B6B"/>
    <w:rsid w:val="0E8A0CB9"/>
    <w:rsid w:val="0ED45B4E"/>
    <w:rsid w:val="0F164EBB"/>
    <w:rsid w:val="0F1770AA"/>
    <w:rsid w:val="0F57188E"/>
    <w:rsid w:val="0F98263C"/>
    <w:rsid w:val="0FE84643"/>
    <w:rsid w:val="101860EC"/>
    <w:rsid w:val="101F47CC"/>
    <w:rsid w:val="10C055FF"/>
    <w:rsid w:val="11694EBD"/>
    <w:rsid w:val="11753092"/>
    <w:rsid w:val="11772AA4"/>
    <w:rsid w:val="118107EC"/>
    <w:rsid w:val="11E63359"/>
    <w:rsid w:val="12E24EE2"/>
    <w:rsid w:val="13570A18"/>
    <w:rsid w:val="13C8206C"/>
    <w:rsid w:val="13D50BC4"/>
    <w:rsid w:val="148D5EDE"/>
    <w:rsid w:val="14B17F78"/>
    <w:rsid w:val="14E804E7"/>
    <w:rsid w:val="14F60956"/>
    <w:rsid w:val="15FF564C"/>
    <w:rsid w:val="16351E52"/>
    <w:rsid w:val="165E0673"/>
    <w:rsid w:val="16B831D5"/>
    <w:rsid w:val="16BB723D"/>
    <w:rsid w:val="177D585E"/>
    <w:rsid w:val="17B2302E"/>
    <w:rsid w:val="17C3523B"/>
    <w:rsid w:val="17C4283C"/>
    <w:rsid w:val="17E50567"/>
    <w:rsid w:val="18240824"/>
    <w:rsid w:val="186504BB"/>
    <w:rsid w:val="187E790D"/>
    <w:rsid w:val="18D55B61"/>
    <w:rsid w:val="19A445FC"/>
    <w:rsid w:val="1A204BC7"/>
    <w:rsid w:val="1A206975"/>
    <w:rsid w:val="1A9C1C7A"/>
    <w:rsid w:val="1ABC669E"/>
    <w:rsid w:val="1B121B7E"/>
    <w:rsid w:val="1BC51582"/>
    <w:rsid w:val="1BCF7C55"/>
    <w:rsid w:val="1BE8440E"/>
    <w:rsid w:val="1D155CEE"/>
    <w:rsid w:val="1D1638FE"/>
    <w:rsid w:val="1D32378B"/>
    <w:rsid w:val="1D3C273B"/>
    <w:rsid w:val="1D7846D6"/>
    <w:rsid w:val="1E312DEB"/>
    <w:rsid w:val="1E740ACF"/>
    <w:rsid w:val="1F3E2C4E"/>
    <w:rsid w:val="1F78629E"/>
    <w:rsid w:val="1FAF67D1"/>
    <w:rsid w:val="1FF35744"/>
    <w:rsid w:val="1FF6BC77"/>
    <w:rsid w:val="215770DC"/>
    <w:rsid w:val="2186353C"/>
    <w:rsid w:val="21B54947"/>
    <w:rsid w:val="2347380B"/>
    <w:rsid w:val="23734433"/>
    <w:rsid w:val="23860B96"/>
    <w:rsid w:val="23A57B21"/>
    <w:rsid w:val="240371BF"/>
    <w:rsid w:val="244F3473"/>
    <w:rsid w:val="24661428"/>
    <w:rsid w:val="24707289"/>
    <w:rsid w:val="247D4C67"/>
    <w:rsid w:val="24C97D99"/>
    <w:rsid w:val="24E25AE6"/>
    <w:rsid w:val="25A718F0"/>
    <w:rsid w:val="25BB59F6"/>
    <w:rsid w:val="260F557C"/>
    <w:rsid w:val="263C1D74"/>
    <w:rsid w:val="26970054"/>
    <w:rsid w:val="281408E2"/>
    <w:rsid w:val="29B54486"/>
    <w:rsid w:val="29FD04D3"/>
    <w:rsid w:val="2A4C32F6"/>
    <w:rsid w:val="2A7801AF"/>
    <w:rsid w:val="2B9347FB"/>
    <w:rsid w:val="2BFF7BC6"/>
    <w:rsid w:val="2C032038"/>
    <w:rsid w:val="2C8A61B5"/>
    <w:rsid w:val="2DF04E50"/>
    <w:rsid w:val="2E586DFA"/>
    <w:rsid w:val="2F040D46"/>
    <w:rsid w:val="2F612377"/>
    <w:rsid w:val="2F6B035B"/>
    <w:rsid w:val="2FAE5751"/>
    <w:rsid w:val="2FB1A395"/>
    <w:rsid w:val="2FD9A7D8"/>
    <w:rsid w:val="2FDBF714"/>
    <w:rsid w:val="2FE13988"/>
    <w:rsid w:val="2FEE1D26"/>
    <w:rsid w:val="304B43B7"/>
    <w:rsid w:val="30517B8D"/>
    <w:rsid w:val="30AB6865"/>
    <w:rsid w:val="310E5582"/>
    <w:rsid w:val="319F7F4E"/>
    <w:rsid w:val="32067B88"/>
    <w:rsid w:val="322A01B9"/>
    <w:rsid w:val="323A5FF8"/>
    <w:rsid w:val="32985998"/>
    <w:rsid w:val="32A11B0C"/>
    <w:rsid w:val="32BD1EF1"/>
    <w:rsid w:val="3304709D"/>
    <w:rsid w:val="33A773CB"/>
    <w:rsid w:val="34534304"/>
    <w:rsid w:val="34772CBB"/>
    <w:rsid w:val="349D6851"/>
    <w:rsid w:val="34E17834"/>
    <w:rsid w:val="369959A4"/>
    <w:rsid w:val="36AA5135"/>
    <w:rsid w:val="36BE0DA7"/>
    <w:rsid w:val="371511B8"/>
    <w:rsid w:val="373747F7"/>
    <w:rsid w:val="376B6AA6"/>
    <w:rsid w:val="376D39B2"/>
    <w:rsid w:val="37E16F03"/>
    <w:rsid w:val="37F05781"/>
    <w:rsid w:val="37F53A3B"/>
    <w:rsid w:val="383517D5"/>
    <w:rsid w:val="389B6C89"/>
    <w:rsid w:val="38D469F0"/>
    <w:rsid w:val="39627CCD"/>
    <w:rsid w:val="397BAF1F"/>
    <w:rsid w:val="3A1B066A"/>
    <w:rsid w:val="3AB79AF3"/>
    <w:rsid w:val="3AE834C0"/>
    <w:rsid w:val="3AFB35E4"/>
    <w:rsid w:val="3B4C7172"/>
    <w:rsid w:val="3B7EF35A"/>
    <w:rsid w:val="3B8B75BC"/>
    <w:rsid w:val="3B941376"/>
    <w:rsid w:val="3B9FDB6C"/>
    <w:rsid w:val="3BAD21C4"/>
    <w:rsid w:val="3BF5BC2F"/>
    <w:rsid w:val="3C4B2C56"/>
    <w:rsid w:val="3CEBA265"/>
    <w:rsid w:val="3D98207C"/>
    <w:rsid w:val="3DEE7CF3"/>
    <w:rsid w:val="3E740A63"/>
    <w:rsid w:val="3E78745D"/>
    <w:rsid w:val="3E8C19E0"/>
    <w:rsid w:val="3EB33657"/>
    <w:rsid w:val="3EE17838"/>
    <w:rsid w:val="3F55381A"/>
    <w:rsid w:val="3F632CDC"/>
    <w:rsid w:val="3F6E3E6C"/>
    <w:rsid w:val="3F7F7599"/>
    <w:rsid w:val="3FF4CAE0"/>
    <w:rsid w:val="3FF70C55"/>
    <w:rsid w:val="3FF7B227"/>
    <w:rsid w:val="40005F83"/>
    <w:rsid w:val="40573CA7"/>
    <w:rsid w:val="41B3775A"/>
    <w:rsid w:val="420013A4"/>
    <w:rsid w:val="42892A5A"/>
    <w:rsid w:val="43284021"/>
    <w:rsid w:val="432F27F1"/>
    <w:rsid w:val="43A93A6B"/>
    <w:rsid w:val="43AA4CDC"/>
    <w:rsid w:val="43CD78EA"/>
    <w:rsid w:val="442F3242"/>
    <w:rsid w:val="445C2CC8"/>
    <w:rsid w:val="44E268DA"/>
    <w:rsid w:val="450D13D7"/>
    <w:rsid w:val="45506656"/>
    <w:rsid w:val="45804417"/>
    <w:rsid w:val="462F5B02"/>
    <w:rsid w:val="463F7FFF"/>
    <w:rsid w:val="46943C0F"/>
    <w:rsid w:val="46CB1893"/>
    <w:rsid w:val="4717350F"/>
    <w:rsid w:val="479C6D8B"/>
    <w:rsid w:val="47CA0097"/>
    <w:rsid w:val="48621D83"/>
    <w:rsid w:val="486A6C7A"/>
    <w:rsid w:val="48BB3E5F"/>
    <w:rsid w:val="494C55A6"/>
    <w:rsid w:val="49C06EA3"/>
    <w:rsid w:val="49C55F0B"/>
    <w:rsid w:val="4A0B7EDF"/>
    <w:rsid w:val="4A140A65"/>
    <w:rsid w:val="4A627F82"/>
    <w:rsid w:val="4AB639E3"/>
    <w:rsid w:val="4B0E749A"/>
    <w:rsid w:val="4B2477C4"/>
    <w:rsid w:val="4B4F25DA"/>
    <w:rsid w:val="4B6E65FA"/>
    <w:rsid w:val="4BE068DB"/>
    <w:rsid w:val="4BF50184"/>
    <w:rsid w:val="4CAA1C51"/>
    <w:rsid w:val="4D577224"/>
    <w:rsid w:val="4DBF1CEB"/>
    <w:rsid w:val="4DDD4522"/>
    <w:rsid w:val="4DF0007C"/>
    <w:rsid w:val="4DF07E31"/>
    <w:rsid w:val="4E1E499E"/>
    <w:rsid w:val="4E301E86"/>
    <w:rsid w:val="4EAB630A"/>
    <w:rsid w:val="4EC74768"/>
    <w:rsid w:val="4ECE2238"/>
    <w:rsid w:val="4F0B3D51"/>
    <w:rsid w:val="4F833267"/>
    <w:rsid w:val="4F876B81"/>
    <w:rsid w:val="4F933404"/>
    <w:rsid w:val="4FDB67D5"/>
    <w:rsid w:val="4FE9BD67"/>
    <w:rsid w:val="4FFB052F"/>
    <w:rsid w:val="50312E12"/>
    <w:rsid w:val="5086682B"/>
    <w:rsid w:val="51165E00"/>
    <w:rsid w:val="5196484B"/>
    <w:rsid w:val="51A75F41"/>
    <w:rsid w:val="51E02675"/>
    <w:rsid w:val="537E6D0A"/>
    <w:rsid w:val="53B13BBE"/>
    <w:rsid w:val="53F74C96"/>
    <w:rsid w:val="54A95C5C"/>
    <w:rsid w:val="54DE3F21"/>
    <w:rsid w:val="55170BA8"/>
    <w:rsid w:val="553218C9"/>
    <w:rsid w:val="55545E1A"/>
    <w:rsid w:val="55B61960"/>
    <w:rsid w:val="55FF467B"/>
    <w:rsid w:val="567E1AA5"/>
    <w:rsid w:val="569C7F51"/>
    <w:rsid w:val="56E47B74"/>
    <w:rsid w:val="56F20776"/>
    <w:rsid w:val="57175D52"/>
    <w:rsid w:val="57407733"/>
    <w:rsid w:val="578E4942"/>
    <w:rsid w:val="57A37F1E"/>
    <w:rsid w:val="57B679F5"/>
    <w:rsid w:val="57BD3DD4"/>
    <w:rsid w:val="58175C0A"/>
    <w:rsid w:val="58331046"/>
    <w:rsid w:val="58786409"/>
    <w:rsid w:val="59A74345"/>
    <w:rsid w:val="5ABF7AD5"/>
    <w:rsid w:val="5AF92295"/>
    <w:rsid w:val="5B006028"/>
    <w:rsid w:val="5B250254"/>
    <w:rsid w:val="5BDD79E6"/>
    <w:rsid w:val="5BF561CA"/>
    <w:rsid w:val="5BFF5DFC"/>
    <w:rsid w:val="5C416102"/>
    <w:rsid w:val="5CD71FC4"/>
    <w:rsid w:val="5D1F11B5"/>
    <w:rsid w:val="5D695134"/>
    <w:rsid w:val="5DAE1B18"/>
    <w:rsid w:val="5DE7D9E5"/>
    <w:rsid w:val="5E370635"/>
    <w:rsid w:val="5E434F8A"/>
    <w:rsid w:val="5E9D190F"/>
    <w:rsid w:val="5ECEC941"/>
    <w:rsid w:val="5F610B8F"/>
    <w:rsid w:val="5F81571C"/>
    <w:rsid w:val="5F827E14"/>
    <w:rsid w:val="5FBF9FF3"/>
    <w:rsid w:val="5FCD4E2C"/>
    <w:rsid w:val="5FD62369"/>
    <w:rsid w:val="5FEF394A"/>
    <w:rsid w:val="5FF67715"/>
    <w:rsid w:val="612639AA"/>
    <w:rsid w:val="61D14B0F"/>
    <w:rsid w:val="62520510"/>
    <w:rsid w:val="62BF3928"/>
    <w:rsid w:val="63894210"/>
    <w:rsid w:val="63927568"/>
    <w:rsid w:val="639E6557"/>
    <w:rsid w:val="63B3701E"/>
    <w:rsid w:val="647F5392"/>
    <w:rsid w:val="64CC2936"/>
    <w:rsid w:val="65912E9E"/>
    <w:rsid w:val="65E66580"/>
    <w:rsid w:val="664B1D71"/>
    <w:rsid w:val="664B4E8E"/>
    <w:rsid w:val="66B4203A"/>
    <w:rsid w:val="66B75538"/>
    <w:rsid w:val="67277B67"/>
    <w:rsid w:val="67AA3209"/>
    <w:rsid w:val="67BC5690"/>
    <w:rsid w:val="68206E5E"/>
    <w:rsid w:val="682865C6"/>
    <w:rsid w:val="698D0931"/>
    <w:rsid w:val="69C510D5"/>
    <w:rsid w:val="6A63784C"/>
    <w:rsid w:val="6A6B1D0C"/>
    <w:rsid w:val="6A7FE5F3"/>
    <w:rsid w:val="6B053271"/>
    <w:rsid w:val="6BDD78B3"/>
    <w:rsid w:val="6BE61923"/>
    <w:rsid w:val="6BF07522"/>
    <w:rsid w:val="6C1A34BE"/>
    <w:rsid w:val="6C4A05C8"/>
    <w:rsid w:val="6C8742B8"/>
    <w:rsid w:val="6DBF5E93"/>
    <w:rsid w:val="6DFF077E"/>
    <w:rsid w:val="6E714EF0"/>
    <w:rsid w:val="6E7E3605"/>
    <w:rsid w:val="6E7FDCC7"/>
    <w:rsid w:val="6EBB5C2A"/>
    <w:rsid w:val="6ED6A62E"/>
    <w:rsid w:val="6EE00B15"/>
    <w:rsid w:val="6F6FB3EB"/>
    <w:rsid w:val="6F8731EA"/>
    <w:rsid w:val="6FCE6052"/>
    <w:rsid w:val="6FD57C00"/>
    <w:rsid w:val="6FEFFFD8"/>
    <w:rsid w:val="6FF5CC65"/>
    <w:rsid w:val="6FFB47EC"/>
    <w:rsid w:val="6FFF034A"/>
    <w:rsid w:val="70151EDF"/>
    <w:rsid w:val="701557A9"/>
    <w:rsid w:val="70484440"/>
    <w:rsid w:val="706978A3"/>
    <w:rsid w:val="70BA1EAD"/>
    <w:rsid w:val="712A28F1"/>
    <w:rsid w:val="715A6F4B"/>
    <w:rsid w:val="715C0E4B"/>
    <w:rsid w:val="71662242"/>
    <w:rsid w:val="71914D18"/>
    <w:rsid w:val="71992E7C"/>
    <w:rsid w:val="71A61A5E"/>
    <w:rsid w:val="71F169AC"/>
    <w:rsid w:val="72233669"/>
    <w:rsid w:val="72734D90"/>
    <w:rsid w:val="7273779A"/>
    <w:rsid w:val="728D4CFD"/>
    <w:rsid w:val="73160E6D"/>
    <w:rsid w:val="7332FE48"/>
    <w:rsid w:val="734D76B5"/>
    <w:rsid w:val="73AB61DA"/>
    <w:rsid w:val="73AD73D5"/>
    <w:rsid w:val="73B6EB34"/>
    <w:rsid w:val="73FA497D"/>
    <w:rsid w:val="7413040F"/>
    <w:rsid w:val="744731E5"/>
    <w:rsid w:val="74BBD01D"/>
    <w:rsid w:val="74ED5379"/>
    <w:rsid w:val="75182470"/>
    <w:rsid w:val="755D72AA"/>
    <w:rsid w:val="75970793"/>
    <w:rsid w:val="75D661B8"/>
    <w:rsid w:val="75DEEEC2"/>
    <w:rsid w:val="75E32345"/>
    <w:rsid w:val="760F0AC6"/>
    <w:rsid w:val="76612DCA"/>
    <w:rsid w:val="76E3355F"/>
    <w:rsid w:val="76FF5125"/>
    <w:rsid w:val="776F6FFA"/>
    <w:rsid w:val="778769C8"/>
    <w:rsid w:val="77A75DCA"/>
    <w:rsid w:val="77D3028F"/>
    <w:rsid w:val="77DC22F5"/>
    <w:rsid w:val="77E007D1"/>
    <w:rsid w:val="783E271A"/>
    <w:rsid w:val="78616DE9"/>
    <w:rsid w:val="78915BE9"/>
    <w:rsid w:val="78971508"/>
    <w:rsid w:val="78E875D7"/>
    <w:rsid w:val="79086DAD"/>
    <w:rsid w:val="7911574F"/>
    <w:rsid w:val="79B56EF3"/>
    <w:rsid w:val="79D7FD79"/>
    <w:rsid w:val="79EE5BA4"/>
    <w:rsid w:val="7A5A28E2"/>
    <w:rsid w:val="7A894339"/>
    <w:rsid w:val="7AD284E8"/>
    <w:rsid w:val="7AFF7572"/>
    <w:rsid w:val="7B6C7DFB"/>
    <w:rsid w:val="7BBFBED0"/>
    <w:rsid w:val="7BC3E394"/>
    <w:rsid w:val="7C1F3737"/>
    <w:rsid w:val="7C8415C1"/>
    <w:rsid w:val="7CBFC87B"/>
    <w:rsid w:val="7CFE0F48"/>
    <w:rsid w:val="7D272ABC"/>
    <w:rsid w:val="7D7635FF"/>
    <w:rsid w:val="7D7EC23E"/>
    <w:rsid w:val="7DFC58C5"/>
    <w:rsid w:val="7E2A5CC5"/>
    <w:rsid w:val="7E7E13E6"/>
    <w:rsid w:val="7E8ADEBF"/>
    <w:rsid w:val="7EE84089"/>
    <w:rsid w:val="7EEF11D3"/>
    <w:rsid w:val="7EFE4840"/>
    <w:rsid w:val="7F0971A6"/>
    <w:rsid w:val="7F1D62E7"/>
    <w:rsid w:val="7F3F679B"/>
    <w:rsid w:val="7F4FC4EF"/>
    <w:rsid w:val="7F5E4D54"/>
    <w:rsid w:val="7F6E0135"/>
    <w:rsid w:val="7F79F205"/>
    <w:rsid w:val="7FA30C79"/>
    <w:rsid w:val="7FA79C44"/>
    <w:rsid w:val="7FAF8ABF"/>
    <w:rsid w:val="7FB7269E"/>
    <w:rsid w:val="7FC96657"/>
    <w:rsid w:val="7FDA9588"/>
    <w:rsid w:val="7FDF220F"/>
    <w:rsid w:val="7FEDC5F7"/>
    <w:rsid w:val="7FEDD9DE"/>
    <w:rsid w:val="7FF5890D"/>
    <w:rsid w:val="7FF93490"/>
    <w:rsid w:val="99FF2014"/>
    <w:rsid w:val="A6DD0D7F"/>
    <w:rsid w:val="ACFF4FBB"/>
    <w:rsid w:val="ADC6F725"/>
    <w:rsid w:val="B7CF06AB"/>
    <w:rsid w:val="B7CFA926"/>
    <w:rsid w:val="B7F8786B"/>
    <w:rsid w:val="BABB6AA1"/>
    <w:rsid w:val="BB2F4199"/>
    <w:rsid w:val="BCFFB442"/>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E9BE81"/>
    <w:rsid w:val="DFFFA9E8"/>
    <w:rsid w:val="E5F4E9DC"/>
    <w:rsid w:val="E70FE695"/>
    <w:rsid w:val="EB2E368B"/>
    <w:rsid w:val="ECFED1BC"/>
    <w:rsid w:val="ED1D69BB"/>
    <w:rsid w:val="ED7FD312"/>
    <w:rsid w:val="EF2E1AC6"/>
    <w:rsid w:val="EF53993F"/>
    <w:rsid w:val="EF6FD633"/>
    <w:rsid w:val="EFBFB2F4"/>
    <w:rsid w:val="EFBFFA21"/>
    <w:rsid w:val="F2BEBCB8"/>
    <w:rsid w:val="F36FB518"/>
    <w:rsid w:val="F3DE1A04"/>
    <w:rsid w:val="F3F722E5"/>
    <w:rsid w:val="F4FBCD07"/>
    <w:rsid w:val="FA5F1E70"/>
    <w:rsid w:val="FA5FDB97"/>
    <w:rsid w:val="FB7F486A"/>
    <w:rsid w:val="FBFF5B2E"/>
    <w:rsid w:val="FD7FFE2B"/>
    <w:rsid w:val="FDEE196B"/>
    <w:rsid w:val="FDFE6575"/>
    <w:rsid w:val="FEDFDDC2"/>
    <w:rsid w:val="FEED32F6"/>
    <w:rsid w:val="FEF781DD"/>
    <w:rsid w:val="FF3F7E3F"/>
    <w:rsid w:val="FFBA12D7"/>
    <w:rsid w:val="FFCBD314"/>
    <w:rsid w:val="FFDFF91C"/>
    <w:rsid w:val="FFDFFAEE"/>
    <w:rsid w:val="FFEF6777"/>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1"/>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2"/>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5"/>
    <w:unhideWhenUsed/>
    <w:qFormat/>
    <w:uiPriority w:val="9"/>
    <w:pPr>
      <w:keepNext/>
      <w:keepLines/>
      <w:spacing w:before="260" w:after="260" w:line="416" w:lineRule="auto"/>
      <w:outlineLvl w:val="2"/>
    </w:pPr>
    <w:rPr>
      <w:b/>
      <w:bCs/>
      <w:sz w:val="32"/>
      <w:szCs w:val="32"/>
    </w:rPr>
  </w:style>
  <w:style w:type="character" w:default="1" w:styleId="18">
    <w:name w:val="Default Paragraph Font"/>
    <w:semiHidden/>
    <w:unhideWhenUsed/>
    <w:qFormat/>
    <w:uiPriority w:val="1"/>
  </w:style>
  <w:style w:type="table" w:default="1" w:styleId="17">
    <w:name w:val="Normal Table"/>
    <w:semiHidden/>
    <w:unhideWhenUsed/>
    <w:uiPriority w:val="99"/>
    <w:tblPr>
      <w:tblCellMar>
        <w:top w:w="0" w:type="dxa"/>
        <w:left w:w="108" w:type="dxa"/>
        <w:bottom w:w="0" w:type="dxa"/>
        <w:right w:w="108" w:type="dxa"/>
      </w:tblCellMar>
    </w:tblPr>
  </w:style>
  <w:style w:type="paragraph" w:styleId="5">
    <w:name w:val="annotation text"/>
    <w:basedOn w:val="1"/>
    <w:semiHidden/>
    <w:unhideWhenUsed/>
    <w:uiPriority w:val="99"/>
    <w:pPr>
      <w:jc w:val="left"/>
    </w:pPr>
  </w:style>
  <w:style w:type="paragraph" w:styleId="6">
    <w:name w:val="Body Text"/>
    <w:basedOn w:val="1"/>
    <w:link w:val="28"/>
    <w:qFormat/>
    <w:uiPriority w:val="99"/>
    <w:pPr>
      <w:spacing w:beforeLines="30"/>
    </w:pPr>
    <w:rPr>
      <w:rFonts w:ascii="仿宋_GB2312" w:eastAsia="仿宋_GB2312"/>
      <w:kern w:val="0"/>
      <w:sz w:val="30"/>
    </w:rPr>
  </w:style>
  <w:style w:type="paragraph" w:styleId="7">
    <w:name w:val="Body Text Indent"/>
    <w:basedOn w:val="1"/>
    <w:next w:val="8"/>
    <w:qFormat/>
    <w:uiPriority w:val="0"/>
    <w:pPr>
      <w:spacing w:after="120"/>
      <w:ind w:left="200" w:leftChars="200"/>
    </w:pPr>
    <w:rPr>
      <w:rFonts w:ascii="仿宋_GB2312"/>
      <w:szCs w:val="32"/>
    </w:rPr>
  </w:style>
  <w:style w:type="paragraph" w:styleId="8">
    <w:name w:val="Body Text First Indent 2"/>
    <w:basedOn w:val="7"/>
    <w:unhideWhenUsed/>
    <w:qFormat/>
    <w:uiPriority w:val="99"/>
    <w:pPr>
      <w:ind w:firstLine="420" w:firstLineChars="200"/>
    </w:pPr>
  </w:style>
  <w:style w:type="paragraph" w:styleId="9">
    <w:name w:val="toc 3"/>
    <w:basedOn w:val="1"/>
    <w:next w:val="1"/>
    <w:unhideWhenUsed/>
    <w:qFormat/>
    <w:uiPriority w:val="39"/>
    <w:pPr>
      <w:tabs>
        <w:tab w:val="right" w:leader="dot" w:pos="8296"/>
      </w:tabs>
      <w:ind w:left="840" w:leftChars="400"/>
    </w:pPr>
  </w:style>
  <w:style w:type="paragraph" w:styleId="10">
    <w:name w:val="Plain Text"/>
    <w:next w:val="11"/>
    <w:qFormat/>
    <w:uiPriority w:val="0"/>
    <w:pPr>
      <w:widowControl w:val="0"/>
      <w:jc w:val="both"/>
    </w:pPr>
    <w:rPr>
      <w:rFonts w:ascii="宋体" w:hAnsi="宋体" w:eastAsia="仿宋_GB2312" w:cs="Times New Roman"/>
      <w:kern w:val="2"/>
      <w:sz w:val="32"/>
      <w:szCs w:val="24"/>
      <w:lang w:val="en-US" w:eastAsia="zh-CN" w:bidi="ar-SA"/>
    </w:rPr>
  </w:style>
  <w:style w:type="paragraph" w:styleId="11">
    <w:name w:val="header"/>
    <w:basedOn w:val="1"/>
    <w:link w:val="24"/>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Balloon Text"/>
    <w:basedOn w:val="1"/>
    <w:link w:val="34"/>
    <w:semiHidden/>
    <w:unhideWhenUsed/>
    <w:qFormat/>
    <w:uiPriority w:val="99"/>
    <w:rPr>
      <w:sz w:val="18"/>
      <w:szCs w:val="18"/>
    </w:rPr>
  </w:style>
  <w:style w:type="paragraph" w:styleId="13">
    <w:name w:val="footer"/>
    <w:basedOn w:val="1"/>
    <w:link w:val="26"/>
    <w:qFormat/>
    <w:uiPriority w:val="99"/>
    <w:pPr>
      <w:tabs>
        <w:tab w:val="center" w:pos="4153"/>
        <w:tab w:val="right" w:pos="8306"/>
      </w:tabs>
      <w:snapToGrid w:val="0"/>
      <w:jc w:val="left"/>
    </w:pPr>
    <w:rPr>
      <w:rFonts w:ascii="Calibri" w:hAnsi="Calibri"/>
      <w:kern w:val="0"/>
      <w:sz w:val="18"/>
      <w:szCs w:val="18"/>
    </w:rPr>
  </w:style>
  <w:style w:type="paragraph" w:styleId="14">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5">
    <w:name w:val="footnote text"/>
    <w:basedOn w:val="1"/>
    <w:next w:val="8"/>
    <w:semiHidden/>
    <w:qFormat/>
    <w:uiPriority w:val="0"/>
    <w:pPr>
      <w:snapToGrid w:val="0"/>
      <w:jc w:val="left"/>
    </w:pPr>
    <w:rPr>
      <w:sz w:val="18"/>
      <w:szCs w:val="18"/>
    </w:rPr>
  </w:style>
  <w:style w:type="paragraph" w:styleId="16">
    <w:name w:val="toc 2"/>
    <w:basedOn w:val="1"/>
    <w:next w:val="1"/>
    <w:unhideWhenUsed/>
    <w:qFormat/>
    <w:uiPriority w:val="39"/>
    <w:pPr>
      <w:tabs>
        <w:tab w:val="right" w:leader="dot" w:pos="8296"/>
      </w:tabs>
      <w:ind w:left="420" w:leftChars="200"/>
    </w:pPr>
  </w:style>
  <w:style w:type="character" w:styleId="19">
    <w:name w:val="Strong"/>
    <w:basedOn w:val="18"/>
    <w:qFormat/>
    <w:uiPriority w:val="99"/>
    <w:rPr>
      <w:b/>
    </w:rPr>
  </w:style>
  <w:style w:type="character" w:styleId="20">
    <w:name w:val="Hyperlink"/>
    <w:basedOn w:val="18"/>
    <w:unhideWhenUsed/>
    <w:qFormat/>
    <w:uiPriority w:val="99"/>
    <w:rPr>
      <w:color w:val="0000FF" w:themeColor="hyperlink"/>
      <w:u w:val="single"/>
      <w14:textFill>
        <w14:solidFill>
          <w14:schemeClr w14:val="hlink"/>
        </w14:solidFill>
      </w14:textFill>
    </w:rPr>
  </w:style>
  <w:style w:type="character" w:styleId="21">
    <w:name w:val="annotation reference"/>
    <w:basedOn w:val="18"/>
    <w:semiHidden/>
    <w:unhideWhenUsed/>
    <w:qFormat/>
    <w:uiPriority w:val="99"/>
    <w:rPr>
      <w:sz w:val="21"/>
      <w:szCs w:val="21"/>
    </w:rPr>
  </w:style>
  <w:style w:type="paragraph" w:customStyle="1" w:styleId="22">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3">
    <w:name w:val="Header Char"/>
    <w:basedOn w:val="18"/>
    <w:semiHidden/>
    <w:qFormat/>
    <w:uiPriority w:val="99"/>
    <w:rPr>
      <w:rFonts w:ascii="Times New Roman" w:hAnsi="Times New Roman"/>
      <w:sz w:val="18"/>
      <w:szCs w:val="18"/>
    </w:rPr>
  </w:style>
  <w:style w:type="character" w:customStyle="1" w:styleId="24">
    <w:name w:val="页眉 字符"/>
    <w:link w:val="11"/>
    <w:semiHidden/>
    <w:qFormat/>
    <w:locked/>
    <w:uiPriority w:val="99"/>
    <w:rPr>
      <w:sz w:val="18"/>
    </w:rPr>
  </w:style>
  <w:style w:type="character" w:customStyle="1" w:styleId="25">
    <w:name w:val="Footer Char"/>
    <w:basedOn w:val="18"/>
    <w:semiHidden/>
    <w:qFormat/>
    <w:uiPriority w:val="99"/>
    <w:rPr>
      <w:rFonts w:ascii="Times New Roman" w:hAnsi="Times New Roman"/>
      <w:sz w:val="18"/>
      <w:szCs w:val="18"/>
    </w:rPr>
  </w:style>
  <w:style w:type="character" w:customStyle="1" w:styleId="26">
    <w:name w:val="页脚 字符"/>
    <w:link w:val="13"/>
    <w:qFormat/>
    <w:locked/>
    <w:uiPriority w:val="99"/>
    <w:rPr>
      <w:sz w:val="18"/>
    </w:rPr>
  </w:style>
  <w:style w:type="character" w:customStyle="1" w:styleId="27">
    <w:name w:val="Body Text Char"/>
    <w:basedOn w:val="18"/>
    <w:semiHidden/>
    <w:qFormat/>
    <w:uiPriority w:val="99"/>
    <w:rPr>
      <w:rFonts w:ascii="Times New Roman" w:hAnsi="Times New Roman"/>
      <w:szCs w:val="24"/>
    </w:rPr>
  </w:style>
  <w:style w:type="character" w:customStyle="1" w:styleId="28">
    <w:name w:val="正文文本 字符"/>
    <w:link w:val="6"/>
    <w:qFormat/>
    <w:locked/>
    <w:uiPriority w:val="99"/>
    <w:rPr>
      <w:rFonts w:ascii="仿宋_GB2312" w:hAnsi="Times New Roman" w:eastAsia="仿宋_GB2312"/>
      <w:sz w:val="24"/>
    </w:rPr>
  </w:style>
  <w:style w:type="paragraph" w:customStyle="1" w:styleId="29">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30">
    <w:name w:val="List Paragraph"/>
    <w:basedOn w:val="1"/>
    <w:qFormat/>
    <w:uiPriority w:val="34"/>
    <w:pPr>
      <w:ind w:firstLine="420" w:firstLineChars="200"/>
    </w:pPr>
  </w:style>
  <w:style w:type="character" w:customStyle="1" w:styleId="31">
    <w:name w:val="标题 1 字符"/>
    <w:basedOn w:val="18"/>
    <w:link w:val="2"/>
    <w:qFormat/>
    <w:uiPriority w:val="9"/>
    <w:rPr>
      <w:rFonts w:ascii="Times New Roman" w:hAnsi="Times New Roman"/>
      <w:b/>
      <w:bCs/>
      <w:kern w:val="44"/>
      <w:sz w:val="44"/>
      <w:szCs w:val="44"/>
    </w:rPr>
  </w:style>
  <w:style w:type="character" w:customStyle="1" w:styleId="32">
    <w:name w:val="标题 2 字符"/>
    <w:basedOn w:val="18"/>
    <w:link w:val="3"/>
    <w:qFormat/>
    <w:uiPriority w:val="9"/>
    <w:rPr>
      <w:rFonts w:asciiTheme="majorHAnsi" w:hAnsiTheme="majorHAnsi" w:eastAsiaTheme="majorEastAsia" w:cstheme="majorBidi"/>
      <w:b/>
      <w:bCs/>
      <w:kern w:val="2"/>
      <w:sz w:val="32"/>
      <w:szCs w:val="32"/>
    </w:rPr>
  </w:style>
  <w:style w:type="paragraph" w:customStyle="1" w:styleId="33">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4">
    <w:name w:val="批注框文本 字符"/>
    <w:basedOn w:val="18"/>
    <w:link w:val="12"/>
    <w:semiHidden/>
    <w:qFormat/>
    <w:uiPriority w:val="99"/>
    <w:rPr>
      <w:rFonts w:ascii="Times New Roman" w:hAnsi="Times New Roman"/>
      <w:kern w:val="2"/>
      <w:sz w:val="18"/>
      <w:szCs w:val="18"/>
    </w:rPr>
  </w:style>
  <w:style w:type="character" w:customStyle="1" w:styleId="35">
    <w:name w:val="标题 3 字符"/>
    <w:basedOn w:val="18"/>
    <w:link w:val="4"/>
    <w:qFormat/>
    <w:uiPriority w:val="9"/>
    <w:rPr>
      <w:rFonts w:ascii="Times New Roman" w:hAnsi="Times New Roman"/>
      <w:b/>
      <w:bCs/>
      <w:kern w:val="2"/>
      <w:sz w:val="32"/>
      <w:szCs w:val="32"/>
    </w:rPr>
  </w:style>
  <w:style w:type="paragraph" w:customStyle="1" w:styleId="36">
    <w:name w:val="TOC 标题2"/>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7">
    <w:name w:val="四号正文"/>
    <w:basedOn w:val="1"/>
    <w:qFormat/>
    <w:uiPriority w:val="0"/>
    <w:pPr>
      <w:spacing w:line="360" w:lineRule="auto"/>
    </w:pPr>
    <w:rPr>
      <w:rFonts w:ascii="??" w:hAnsi="??"/>
      <w:color w:val="000000"/>
      <w:kern w:val="0"/>
      <w:sz w:val="28"/>
      <w:szCs w:val="21"/>
      <w:lang w:val="zh-CN"/>
    </w:rPr>
  </w:style>
  <w:style w:type="paragraph" w:customStyle="1" w:styleId="38">
    <w:name w:val="Revision"/>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2.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chart" Target="charts/chart7.xml"/><Relationship Id="rId13" Type="http://schemas.openxmlformats.org/officeDocument/2006/relationships/chart" Target="charts/chart6.xml"/><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4" Type="http://schemas.microsoft.com/office/2011/relationships/chartColorStyle" Target="colors1.xml"/><Relationship Id="rId3" Type="http://schemas.microsoft.com/office/2011/relationships/chartStyle" Target="style1.xml"/><Relationship Id="rId2" Type="http://schemas.openxmlformats.org/officeDocument/2006/relationships/themeOverride" Target="../theme/themeOverrid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4" Type="http://schemas.microsoft.com/office/2011/relationships/chartColorStyle" Target="colors4.xml"/><Relationship Id="rId3" Type="http://schemas.microsoft.com/office/2011/relationships/chartStyle" Target="style4.xml"/><Relationship Id="rId2" Type="http://schemas.openxmlformats.org/officeDocument/2006/relationships/themeOverride" Target="../theme/themeOverride4.xml"/><Relationship Id="rId1" Type="http://schemas.openxmlformats.org/officeDocument/2006/relationships/package" Target="../embeddings/Workbook6.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5.xlsx"/></Relationships>
</file>

<file path=word/charts/_rels/chart4.xml.rels><?xml version="1.0" encoding="UTF-8" standalone="yes"?>
<Relationships xmlns="http://schemas.openxmlformats.org/package/2006/relationships"><Relationship Id="rId4" Type="http://schemas.microsoft.com/office/2011/relationships/chartColorStyle" Target="colors2.xml"/><Relationship Id="rId3" Type="http://schemas.microsoft.com/office/2011/relationships/chartStyle" Target="style2.xml"/><Relationship Id="rId2" Type="http://schemas.openxmlformats.org/officeDocument/2006/relationships/themeOverride" Target="../theme/themeOverride3.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2" Type="http://schemas.openxmlformats.org/officeDocument/2006/relationships/themeOverride" Target="../theme/themeOverride2.xml"/><Relationship Id="rId1" Type="http://schemas.openxmlformats.org/officeDocument/2006/relationships/package" Target="../embeddings/Workbook3.xlsx"/></Relationships>
</file>

<file path=word/charts/_rels/chart6.xml.rels><?xml version="1.0" encoding="UTF-8" standalone="yes"?>
<Relationships xmlns="http://schemas.openxmlformats.org/package/2006/relationships"><Relationship Id="rId1" Type="http://schemas.openxmlformats.org/officeDocument/2006/relationships/package" Target="../embeddings/Workbook7.xlsx"/></Relationships>
</file>

<file path=word/charts/_rels/chart7.xml.rels><?xml version="1.0" encoding="UTF-8" standalone="yes"?>
<Relationships xmlns="http://schemas.openxmlformats.org/package/2006/relationships"><Relationship Id="rId1" Type="http://schemas.openxmlformats.org/officeDocument/2006/relationships/package" Target="../embeddings/Workbook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defTabSz="914400">
              <a:defRPr lang="zh-CN" sz="1400" b="0" i="0" u="none" strike="noStrike" kern="1200" spc="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r>
              <a:rPr lang="zh-CN" altLang="en-US"/>
              <a:t>收入、支出决算总计变动情况图（单位：万元）</a:t>
            </a:r>
            <a:endParaRPr lang="zh-CN" altLang="en-US"/>
          </a:p>
        </c:rich>
      </c:tx>
      <c:layout/>
      <c:overlay val="0"/>
      <c:spPr>
        <a:noFill/>
        <a:ln>
          <a:noFill/>
        </a:ln>
        <a:effectLst/>
      </c:spPr>
    </c:title>
    <c:autoTitleDeleted val="0"/>
    <c:plotArea>
      <c:layout>
        <c:manualLayout>
          <c:layoutTarget val="inner"/>
          <c:xMode val="edge"/>
          <c:yMode val="edge"/>
          <c:x val="0.0748489973423532"/>
          <c:y val="0.323914181057038"/>
          <c:w val="0.890118386083595"/>
          <c:h val="0.542229199372056"/>
        </c:manualLayout>
      </c:layout>
      <c:barChart>
        <c:barDir val="col"/>
        <c:grouping val="clustered"/>
        <c:varyColors val="0"/>
        <c:ser>
          <c:idx val="0"/>
          <c:order val="0"/>
          <c:tx>
            <c:strRef>
              <c:f>Sheet1!$B$1</c:f>
              <c:strCache>
                <c:ptCount val="1"/>
                <c:pt idx="0">
                  <c:v>收入</c:v>
                </c:pt>
              </c:strCache>
            </c:strRef>
          </c:tx>
          <c:spPr>
            <a:solidFill>
              <a:srgbClr val="1F497D">
                <a:lumMod val="60000"/>
                <a:lumOff val="40000"/>
              </a:srgbClr>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Sheet1!$A$2:$A$3</c:f>
              <c:numCache>
                <c:formatCode>General</c:formatCode>
                <c:ptCount val="2"/>
                <c:pt idx="0">
                  <c:v>2024</c:v>
                </c:pt>
                <c:pt idx="1">
                  <c:v>2025</c:v>
                </c:pt>
              </c:numCache>
            </c:numRef>
          </c:cat>
          <c:val>
            <c:numRef>
              <c:f>Sheet1!$B$2:$B$3</c:f>
              <c:numCache>
                <c:formatCode>General</c:formatCode>
                <c:ptCount val="2"/>
                <c:pt idx="0">
                  <c:v>1268.31</c:v>
                </c:pt>
                <c:pt idx="1">
                  <c:v>1407.72</c:v>
                </c:pt>
              </c:numCache>
            </c:numRef>
          </c:val>
        </c:ser>
        <c:ser>
          <c:idx val="1"/>
          <c:order val="1"/>
          <c:tx>
            <c:strRef>
              <c:f>Sheet1!$C$1</c:f>
              <c:strCache>
                <c:ptCount val="1"/>
                <c:pt idx="0">
                  <c:v>支出</c:v>
                </c:pt>
              </c:strCache>
            </c:strRef>
          </c:tx>
          <c:spPr>
            <a:solidFill>
              <a:srgbClr val="F79646">
                <a:lumMod val="60000"/>
                <a:lumOff val="40000"/>
              </a:srgbClr>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Sheet1!$A$2:$A$3</c:f>
              <c:numCache>
                <c:formatCode>General</c:formatCode>
                <c:ptCount val="2"/>
                <c:pt idx="0">
                  <c:v>2024</c:v>
                </c:pt>
                <c:pt idx="1">
                  <c:v>2025</c:v>
                </c:pt>
              </c:numCache>
            </c:numRef>
          </c:cat>
          <c:val>
            <c:numRef>
              <c:f>Sheet1!$C$2:$C$3</c:f>
              <c:numCache>
                <c:formatCode>General</c:formatCode>
                <c:ptCount val="2"/>
                <c:pt idx="0">
                  <c:v>1268.31</c:v>
                </c:pt>
                <c:pt idx="1">
                  <c:v>1407.72</c:v>
                </c:pt>
              </c:numCache>
            </c:numRef>
          </c:val>
        </c:ser>
        <c:ser>
          <c:idx val="2"/>
          <c:order val="2"/>
          <c:tx>
            <c:strRef>
              <c:f>Sheet1!#REF!</c:f>
              <c:strCache>
                <c:ptCount val="1"/>
                <c:pt idx="0">
                  <c:v/>
                </c:pt>
              </c:strCache>
            </c:strRef>
          </c:tx>
          <c:spPr>
            <a:gradFill>
              <a:gsLst>
                <a:gs pos="0">
                  <a:schemeClr val="accent5"/>
                </a:gs>
                <a:gs pos="100000">
                  <a:schemeClr val="accent6"/>
                </a:gs>
              </a:gsLst>
              <a:lin ang="5400000" scaled="0"/>
            </a:gra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Sheet1!$A$2:$A$3</c:f>
              <c:numCache>
                <c:formatCode>General</c:formatCode>
                <c:ptCount val="2"/>
                <c:pt idx="0">
                  <c:v>2024</c:v>
                </c:pt>
                <c:pt idx="1">
                  <c:v>2025</c:v>
                </c:pt>
              </c:numCache>
            </c:numRef>
          </c:cat>
          <c:val>
            <c:numRef>
              <c:f>Sheet1!#REF!</c:f>
              <c:numCache>
                <c:formatCode>General</c:formatCode>
                <c:ptCount val="1"/>
                <c:pt idx="0">
                  <c:v>1</c:v>
                </c:pt>
              </c:numCache>
            </c:numRef>
          </c:val>
        </c:ser>
        <c:dLbls>
          <c:showLegendKey val="0"/>
          <c:showVal val="1"/>
          <c:showCatName val="0"/>
          <c:showSerName val="0"/>
          <c:showPercent val="0"/>
          <c:showBubbleSize val="0"/>
        </c:dLbls>
        <c:gapWidth val="150"/>
        <c:axId val="259705472"/>
        <c:axId val="259707264"/>
      </c:barChart>
      <c:catAx>
        <c:axId val="259705472"/>
        <c:scaling>
          <c:orientation val="minMax"/>
        </c:scaling>
        <c:delete val="0"/>
        <c:axPos val="b"/>
        <c:majorGridlines>
          <c:spPr>
            <a:ln w="6350" cap="flat" cmpd="sng" algn="ctr">
              <a:solidFill>
                <a:schemeClr val="tx1">
                  <a:lumMod val="50000"/>
                  <a:lumOff val="50000"/>
                  <a:alpha val="25000"/>
                </a:schemeClr>
              </a:solidFill>
              <a:round/>
            </a:ln>
            <a:effectLst/>
          </c:spPr>
        </c:majorGridlines>
        <c:numFmt formatCode="General" sourceLinked="1"/>
        <c:majorTickMark val="none"/>
        <c:minorTickMark val="none"/>
        <c:tickLblPos val="nextTo"/>
        <c:spPr>
          <a:noFill/>
          <a:ln w="6350" cap="flat" cmpd="sng" algn="ctr">
            <a:solidFill>
              <a:schemeClr val="tx1">
                <a:lumMod val="50000"/>
                <a:lumOff val="50000"/>
                <a:alpha val="25000"/>
              </a:schemeClr>
            </a:solidFill>
            <a:round/>
          </a:ln>
          <a:effectLst/>
        </c:spPr>
        <c:txPr>
          <a:bodyPr rot="-6000000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crossAx val="259707264"/>
        <c:crosses val="autoZero"/>
        <c:auto val="1"/>
        <c:lblAlgn val="ctr"/>
        <c:lblOffset val="100"/>
        <c:noMultiLvlLbl val="0"/>
      </c:catAx>
      <c:valAx>
        <c:axId val="259707264"/>
        <c:scaling>
          <c:orientation val="minMax"/>
        </c:scaling>
        <c:delete val="0"/>
        <c:axPos val="l"/>
        <c:numFmt formatCode="General" sourceLinked="1"/>
        <c:majorTickMark val="none"/>
        <c:minorTickMark val="none"/>
        <c:tickLblPos val="nextTo"/>
        <c:spPr>
          <a:noFill/>
          <a:ln>
            <a:noFill/>
          </a:ln>
          <a:effectLst/>
        </c:spPr>
        <c:txPr>
          <a:bodyPr rot="-6000000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crossAx val="259705472"/>
        <c:crosses val="autoZero"/>
        <c:crossBetween val="between"/>
      </c:valAx>
      <c:spPr>
        <a:noFill/>
        <a:ln w="6350">
          <a:solidFill>
            <a:schemeClr val="tx1">
              <a:lumMod val="50000"/>
              <a:lumOff val="50000"/>
              <a:alpha val="25000"/>
            </a:schemeClr>
          </a:solidFill>
        </a:ln>
        <a:effectLst/>
      </c:spPr>
    </c:plotArea>
    <c:legend>
      <c:legendPos val="t"/>
      <c:legendEntry>
        <c:idx val="2"/>
        <c:delete val="1"/>
      </c:legendEntry>
      <c:layou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legend>
    <c:plotVisOnly val="1"/>
    <c:dispBlanksAs val="gap"/>
    <c:showDLblsOverMax val="0"/>
  </c:chart>
  <c:spPr>
    <a:solidFill>
      <a:schemeClr val="bg1"/>
    </a:solidFill>
    <a:ln w="6350" cap="flat" cmpd="sng" algn="ctr">
      <a:solidFill>
        <a:schemeClr val="tx1">
          <a:lumMod val="50000"/>
          <a:lumOff val="50000"/>
          <a:alpha val="25000"/>
        </a:schemeClr>
      </a:solidFill>
      <a:round/>
    </a:ln>
    <a:effectLst>
      <a:outerShdw blurRad="63500" dist="37357" dir="2700000" sx="0" sy="0" rotWithShape="0">
        <a:scrgbClr r="0" g="0" b="0"/>
      </a:outerShdw>
    </a:effectLst>
  </c:spPr>
  <c:txPr>
    <a:bodyPr/>
    <a:lstStyle/>
    <a:p>
      <a:pPr>
        <a:defRPr lang="zh-CN">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defTabSz="914400">
              <a:defRPr lang="zh-CN" sz="14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r>
              <a:rPr lang="zh-CN" altLang="en-US"/>
              <a:t>收入决算总表（单位：万元）</a:t>
            </a:r>
            <a:endParaRPr lang="zh-CN" altLang="en-US"/>
          </a:p>
        </c:rich>
      </c:tx>
      <c:layout/>
      <c:overlay val="0"/>
      <c:spPr>
        <a:noFill/>
        <a:ln>
          <a:noFill/>
        </a:ln>
        <a:effectLst/>
      </c:spPr>
    </c:title>
    <c:autoTitleDeleted val="0"/>
    <c:plotArea>
      <c:layout/>
      <c:pieChart>
        <c:varyColors val="1"/>
        <c:ser>
          <c:idx val="1"/>
          <c:order val="0"/>
          <c:tx>
            <c:strRef>
              <c:f>Sheet1!$B$1</c:f>
              <c:strCache>
                <c:ptCount val="1"/>
                <c:pt idx="0">
                  <c:v>收入</c:v>
                </c:pt>
              </c:strCache>
            </c:strRef>
          </c:tx>
          <c:spPr/>
          <c:explosion val="0"/>
          <c:dPt>
            <c:idx val="0"/>
            <c:bubble3D val="0"/>
            <c:spPr>
              <a:solidFill>
                <a:srgbClr val="4BACC6">
                  <a:lumMod val="60000"/>
                  <a:lumOff val="40000"/>
                </a:srgbClr>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Pt>
            <c:idx val="6"/>
            <c:bubble3D val="0"/>
            <c:spPr>
              <a:solidFill>
                <a:schemeClr val="accent1">
                  <a:lumMod val="60000"/>
                </a:schemeClr>
              </a:solidFill>
              <a:ln>
                <a:solidFill>
                  <a:schemeClr val="bg1"/>
                </a:solidFill>
              </a:ln>
              <a:effectLst/>
            </c:spPr>
          </c:dPt>
          <c:dPt>
            <c:idx val="7"/>
            <c:bubble3D val="0"/>
            <c:spPr>
              <a:solidFill>
                <a:schemeClr val="accent2">
                  <a:lumMod val="60000"/>
                </a:schemeClr>
              </a:solidFill>
              <a:ln>
                <a:solidFill>
                  <a:schemeClr val="bg1"/>
                </a:solidFill>
              </a:ln>
              <a:effectLst/>
            </c:spPr>
          </c:dPt>
          <c:dLbls>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dLblPos val="inEnd"/>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一般公共预算财政拨款收入</c:v>
                </c:pt>
                <c:pt idx="1">
                  <c:v>政府性基金预算财政拨款收入</c:v>
                </c:pt>
                <c:pt idx="2">
                  <c:v>国有资本经营预算财政拨款收入</c:v>
                </c:pt>
                <c:pt idx="3">
                  <c:v>上级补助收入</c:v>
                </c:pt>
                <c:pt idx="4">
                  <c:v>事业收入</c:v>
                </c:pt>
                <c:pt idx="5">
                  <c:v>经营收入</c:v>
                </c:pt>
                <c:pt idx="6">
                  <c:v>附属单位上缴收入</c:v>
                </c:pt>
                <c:pt idx="7">
                  <c:v>其他收入</c:v>
                </c:pt>
              </c:strCache>
            </c:strRef>
          </c:cat>
          <c:val>
            <c:numRef>
              <c:f>Sheet1!$B$2:$B$9</c:f>
              <c:numCache>
                <c:formatCode>General</c:formatCode>
                <c:ptCount val="8"/>
                <c:pt idx="0">
                  <c:v>1407.72</c:v>
                </c:pt>
                <c:pt idx="1">
                  <c:v>0</c:v>
                </c:pt>
                <c:pt idx="2">
                  <c:v>0</c:v>
                </c:pt>
                <c:pt idx="3">
                  <c:v>0</c:v>
                </c:pt>
                <c:pt idx="4">
                  <c:v>0</c:v>
                </c:pt>
                <c:pt idx="5">
                  <c:v>0</c:v>
                </c:pt>
                <c:pt idx="6">
                  <c:v>0</c:v>
                </c:pt>
                <c:pt idx="7">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legend>
    <c:plotVisOnly val="1"/>
    <c:dispBlanksAs val="gap"/>
    <c:showDLblsOverMax val="0"/>
  </c:chart>
  <c:spPr>
    <a:solidFill>
      <a:schemeClr val="bg1"/>
    </a:solidFill>
    <a:ln w="9525" cap="flat" cmpd="sng" algn="ctr">
      <a:solidFill>
        <a:schemeClr val="tx1">
          <a:lumMod val="50000"/>
          <a:lumOff val="50000"/>
          <a:alpha val="25000"/>
        </a:schemeClr>
      </a:solidFill>
      <a:round/>
    </a:ln>
    <a:effectLst/>
  </c:spPr>
  <c:txPr>
    <a:bodyPr/>
    <a:lstStyle/>
    <a:p>
      <a:pPr>
        <a:defRPr lang="zh-CN">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支出决算总表（单位：万元）</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支出</c:v>
                </c:pt>
              </c:strCache>
            </c:strRef>
          </c:tx>
          <c:spPr>
            <a:solidFill>
              <a:schemeClr val="accent6">
                <a:lumMod val="60000"/>
                <a:lumOff val="40000"/>
              </a:schemeClr>
            </a:solidFill>
          </c:spPr>
          <c:explosion val="0"/>
          <c:dPt>
            <c:idx val="0"/>
            <c:bubble3D val="0"/>
            <c:spPr>
              <a:solidFill>
                <a:schemeClr val="accent1">
                  <a:lumMod val="60000"/>
                  <a:lumOff val="40000"/>
                </a:schemeClr>
              </a:solidFill>
              <a:ln w="19050">
                <a:solidFill>
                  <a:schemeClr val="lt1"/>
                </a:solidFill>
              </a:ln>
              <a:effectLst/>
            </c:spPr>
          </c:dPt>
          <c:dPt>
            <c:idx val="1"/>
            <c:bubble3D val="0"/>
            <c:spPr>
              <a:solidFill>
                <a:schemeClr val="accent6">
                  <a:lumMod val="60000"/>
                  <a:lumOff val="40000"/>
                </a:schemeClr>
              </a:solidFill>
              <a:ln w="19050">
                <a:solidFill>
                  <a:schemeClr val="lt1"/>
                </a:solidFill>
              </a:ln>
              <a:effectLst/>
            </c:spPr>
          </c:dPt>
          <c:dPt>
            <c:idx val="2"/>
            <c:bubble3D val="0"/>
            <c:spPr>
              <a:solidFill>
                <a:schemeClr val="accent6">
                  <a:lumMod val="60000"/>
                  <a:lumOff val="40000"/>
                </a:schemeClr>
              </a:solidFill>
              <a:ln w="19050">
                <a:solidFill>
                  <a:schemeClr val="lt1"/>
                </a:solidFill>
              </a:ln>
              <a:effectLst/>
            </c:spPr>
          </c:dPt>
          <c:dPt>
            <c:idx val="3"/>
            <c:bubble3D val="0"/>
            <c:spPr>
              <a:solidFill>
                <a:schemeClr val="accent6">
                  <a:lumMod val="60000"/>
                  <a:lumOff val="40000"/>
                </a:schemeClr>
              </a:solidFill>
              <a:ln w="19050">
                <a:solidFill>
                  <a:schemeClr val="lt1"/>
                </a:solidFill>
              </a:ln>
              <a:effectLst/>
            </c:spPr>
          </c:dPt>
          <c:dPt>
            <c:idx val="4"/>
            <c:bubble3D val="0"/>
            <c:spPr>
              <a:solidFill>
                <a:schemeClr val="accent6">
                  <a:lumMod val="60000"/>
                  <a:lumOff val="40000"/>
                </a:schemeClr>
              </a:solidFill>
              <a:ln w="19050">
                <a:solidFill>
                  <a:schemeClr val="lt1"/>
                </a:solidFill>
              </a:ln>
              <a:effectLst/>
            </c:spPr>
          </c:dPt>
          <c:dLbls>
            <c:dLbl>
              <c:idx val="0"/>
              <c:layout>
                <c:manualLayout>
                  <c:x val="-0.173998580724578"/>
                  <c:y val="-0.160237274900514"/>
                </c:manualLayout>
              </c:layout>
              <c:tx>
                <c:rich>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r>
                      <a:rPr lang="zh-CN" altLang="en-US"/>
                      <a:t>基本支出</a:t>
                    </a:r>
                    <a:endParaRPr lang="zh-CN" altLang="en-US"/>
                  </a:p>
                  <a:p>
                    <a:pPr>
                      <a:defRPr lang="zh-CN" sz="900" b="0" i="0" u="none" strike="noStrike" kern="1200" baseline="0">
                        <a:solidFill>
                          <a:schemeClr val="tx1">
                            <a:lumMod val="75000"/>
                            <a:lumOff val="25000"/>
                          </a:schemeClr>
                        </a:solidFill>
                        <a:latin typeface="+mn-lt"/>
                        <a:ea typeface="+mn-ea"/>
                        <a:cs typeface="+mn-cs"/>
                      </a:defRPr>
                    </a:pPr>
                    <a:r>
                      <a:rPr lang="en-US" altLang="zh-CN"/>
                      <a:t>1021.47  72.56%</a:t>
                    </a:r>
                    <a:endParaRPr lang="en-US" altLang="zh-CN"/>
                  </a:p>
                </c:rich>
              </c:tx>
              <c:dLblPos val="bestFit"/>
              <c:showLegendKey val="0"/>
              <c:showVal val="1"/>
              <c:showCatName val="1"/>
              <c:showSerName val="0"/>
              <c:showPercent val="0"/>
              <c:showBubbleSize val="0"/>
              <c:separator>
</c:separator>
              <c:extLst>
                <c:ext xmlns:c15="http://schemas.microsoft.com/office/drawing/2012/chart" uri="{CE6537A1-D6FC-4f65-9D91-7224C49458BB}">
                  <c15:layout>
                    <c:manualLayout>
                      <c:w val="0.1095675283885"/>
                      <c:h val="0.194645133871653"/>
                    </c:manualLayout>
                  </c15:layout>
                </c:ext>
              </c:extLst>
            </c:dLbl>
            <c:dLbl>
              <c:idx val="1"/>
              <c:layout>
                <c:manualLayout>
                  <c:x val="0.114201523093425"/>
                  <c:y val="0.163424702112392"/>
                </c:manualLayout>
              </c:layout>
              <c:tx>
                <c:rich>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r>
                      <a:rPr lang="zh-CN" altLang="en-US"/>
                      <a:t>项目支出</a:t>
                    </a:r>
                    <a:endParaRPr lang="zh-CN" altLang="en-US"/>
                  </a:p>
                  <a:p>
                    <a:pPr>
                      <a:defRPr lang="zh-CN" sz="900" b="0" i="0" u="none" strike="noStrike" kern="1200" baseline="0">
                        <a:solidFill>
                          <a:schemeClr val="tx1">
                            <a:lumMod val="75000"/>
                            <a:lumOff val="25000"/>
                          </a:schemeClr>
                        </a:solidFill>
                        <a:latin typeface="+mn-lt"/>
                        <a:ea typeface="+mn-ea"/>
                        <a:cs typeface="+mn-cs"/>
                      </a:defRPr>
                    </a:pPr>
                    <a:r>
                      <a:rPr lang="en-US" altLang="zh-CN"/>
                      <a:t>386.25  27.44%</a:t>
                    </a:r>
                    <a:endParaRPr lang="en-US" altLang="zh-CN"/>
                  </a:p>
                </c:rich>
              </c:tx>
              <c:dLblPos val="bestFit"/>
              <c:showLegendKey val="0"/>
              <c:showVal val="1"/>
              <c:showCatName val="1"/>
              <c:showSerName val="0"/>
              <c:showPercent val="0"/>
              <c:showBubbleSize val="0"/>
              <c:separator>
</c:separator>
              <c:extLst>
                <c:ext xmlns:c15="http://schemas.microsoft.com/office/drawing/2012/chart" uri="{CE6537A1-D6FC-4f65-9D91-7224C49458BB}">
                  <c15:layout>
                    <c:manualLayout>
                      <c:w val="0.112225175163083"/>
                      <c:h val="0.192307692307692"/>
                    </c:manualLayout>
                  </c15:layout>
                </c:ext>
              </c:extLst>
            </c:dLbl>
            <c:dLbl>
              <c:idx val="2"/>
              <c:delete val="1"/>
            </c:dLbl>
            <c:dLbl>
              <c:idx val="3"/>
              <c:delete val="1"/>
            </c:dLbl>
            <c:dLbl>
              <c:idx val="4"/>
              <c:delete val="1"/>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1"/>
            <c:showCatName val="1"/>
            <c:showSerName val="0"/>
            <c:showPercent val="0"/>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对附属单位补助支出</c:v>
                </c:pt>
                <c:pt idx="4">
                  <c:v>经营支出</c:v>
                </c:pt>
              </c:strCache>
            </c:strRef>
          </c:cat>
          <c:val>
            <c:numRef>
              <c:f>Sheet1!$B$2:$B$6</c:f>
              <c:numCache>
                <c:formatCode>General</c:formatCode>
                <c:ptCount val="5"/>
                <c:pt idx="0">
                  <c:v>1021.47</c:v>
                </c:pt>
                <c:pt idx="1">
                  <c:v>386.25</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defTabSz="914400">
              <a:defRPr lang="zh-CN" sz="1400" b="0" i="0" u="none" strike="noStrike" kern="1200" spc="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r>
              <a:rPr lang="zh-CN" altLang="en-US"/>
              <a:t>收入、支出决算总计变动情况图（单位：万元）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收入</c:v>
                </c:pt>
              </c:strCache>
            </c:strRef>
          </c:tx>
          <c:spPr>
            <a:solidFill>
              <a:srgbClr val="1F497D">
                <a:lumMod val="60000"/>
                <a:lumOff val="40000"/>
              </a:srgbClr>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Sheet1!$A$2:$A$3</c:f>
              <c:numCache>
                <c:formatCode>General</c:formatCode>
                <c:ptCount val="2"/>
                <c:pt idx="0">
                  <c:v>2024</c:v>
                </c:pt>
                <c:pt idx="1">
                  <c:v>2025</c:v>
                </c:pt>
              </c:numCache>
            </c:numRef>
          </c:cat>
          <c:val>
            <c:numRef>
              <c:f>Sheet1!$B$2:$B$3</c:f>
              <c:numCache>
                <c:formatCode>General</c:formatCode>
                <c:ptCount val="2"/>
                <c:pt idx="0">
                  <c:v>1268.31</c:v>
                </c:pt>
                <c:pt idx="1">
                  <c:v>1407.72</c:v>
                </c:pt>
              </c:numCache>
            </c:numRef>
          </c:val>
        </c:ser>
        <c:ser>
          <c:idx val="1"/>
          <c:order val="1"/>
          <c:tx>
            <c:strRef>
              <c:f>Sheet1!$C$1</c:f>
              <c:strCache>
                <c:ptCount val="1"/>
                <c:pt idx="0">
                  <c:v>支出</c:v>
                </c:pt>
              </c:strCache>
            </c:strRef>
          </c:tx>
          <c:spPr>
            <a:solidFill>
              <a:srgbClr val="F79646">
                <a:lumMod val="60000"/>
                <a:lumOff val="40000"/>
              </a:srgbClr>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Sheet1!$A$2:$A$3</c:f>
              <c:numCache>
                <c:formatCode>General</c:formatCode>
                <c:ptCount val="2"/>
                <c:pt idx="0">
                  <c:v>2024</c:v>
                </c:pt>
                <c:pt idx="1">
                  <c:v>2025</c:v>
                </c:pt>
              </c:numCache>
            </c:numRef>
          </c:cat>
          <c:val>
            <c:numRef>
              <c:f>Sheet1!$C$2:$C$3</c:f>
              <c:numCache>
                <c:formatCode>General</c:formatCode>
                <c:ptCount val="2"/>
                <c:pt idx="0">
                  <c:v>1268.31</c:v>
                </c:pt>
                <c:pt idx="1">
                  <c:v>1407.72</c:v>
                </c:pt>
              </c:numCache>
            </c:numRef>
          </c:val>
        </c:ser>
        <c:ser>
          <c:idx val="2"/>
          <c:order val="2"/>
          <c:tx>
            <c:strRef>
              <c:f>Sheet1!#REF!</c:f>
              <c:strCache>
                <c:ptCount val="1"/>
                <c:pt idx="0">
                  <c:v/>
                </c:pt>
              </c:strCache>
            </c:strRef>
          </c:tx>
          <c:spPr>
            <a:gradFill>
              <a:gsLst>
                <a:gs pos="0">
                  <a:schemeClr val="accent5"/>
                </a:gs>
                <a:gs pos="100000">
                  <a:schemeClr val="accent6"/>
                </a:gs>
              </a:gsLst>
              <a:lin ang="5400000" scaled="0"/>
            </a:gra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Sheet1!$A$2:$A$3</c:f>
              <c:numCache>
                <c:formatCode>General</c:formatCode>
                <c:ptCount val="2"/>
                <c:pt idx="0">
                  <c:v>2024</c:v>
                </c:pt>
                <c:pt idx="1">
                  <c:v>2025</c:v>
                </c:pt>
              </c:numCache>
            </c:numRef>
          </c:cat>
          <c:val>
            <c:numRef>
              <c:f>Sheet1!#REF!</c:f>
              <c:numCache>
                <c:formatCode>General</c:formatCode>
                <c:ptCount val="1"/>
                <c:pt idx="0">
                  <c:v>1</c:v>
                </c:pt>
              </c:numCache>
            </c:numRef>
          </c:val>
        </c:ser>
        <c:dLbls>
          <c:showLegendKey val="0"/>
          <c:showVal val="1"/>
          <c:showCatName val="0"/>
          <c:showSerName val="0"/>
          <c:showPercent val="0"/>
          <c:showBubbleSize val="0"/>
        </c:dLbls>
        <c:gapWidth val="150"/>
        <c:axId val="279354752"/>
        <c:axId val="279372928"/>
      </c:barChart>
      <c:catAx>
        <c:axId val="279354752"/>
        <c:scaling>
          <c:orientation val="minMax"/>
        </c:scaling>
        <c:delete val="0"/>
        <c:axPos val="b"/>
        <c:majorGridlines>
          <c:spPr>
            <a:ln w="6350" cap="flat" cmpd="sng" algn="ctr">
              <a:solidFill>
                <a:schemeClr val="tx1">
                  <a:lumMod val="50000"/>
                  <a:lumOff val="50000"/>
                  <a:alpha val="25000"/>
                </a:schemeClr>
              </a:solidFill>
              <a:round/>
            </a:ln>
            <a:effectLst/>
          </c:spPr>
        </c:majorGridlines>
        <c:numFmt formatCode="General" sourceLinked="1"/>
        <c:majorTickMark val="none"/>
        <c:minorTickMark val="none"/>
        <c:tickLblPos val="nextTo"/>
        <c:spPr>
          <a:noFill/>
          <a:ln w="6350" cap="flat" cmpd="sng" algn="ctr">
            <a:solidFill>
              <a:schemeClr val="tx1">
                <a:lumMod val="50000"/>
                <a:lumOff val="50000"/>
                <a:alpha val="25000"/>
              </a:schemeClr>
            </a:solidFill>
            <a:round/>
          </a:ln>
          <a:effectLst/>
        </c:spPr>
        <c:txPr>
          <a:bodyPr rot="-6000000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crossAx val="279372928"/>
        <c:crosses val="autoZero"/>
        <c:auto val="1"/>
        <c:lblAlgn val="ctr"/>
        <c:lblOffset val="100"/>
        <c:noMultiLvlLbl val="0"/>
      </c:catAx>
      <c:valAx>
        <c:axId val="279372928"/>
        <c:scaling>
          <c:orientation val="minMax"/>
        </c:scaling>
        <c:delete val="0"/>
        <c:axPos val="l"/>
        <c:numFmt formatCode="General" sourceLinked="1"/>
        <c:majorTickMark val="none"/>
        <c:minorTickMark val="none"/>
        <c:tickLblPos val="nextTo"/>
        <c:spPr>
          <a:noFill/>
          <a:ln>
            <a:noFill/>
          </a:ln>
          <a:effectLst/>
        </c:spPr>
        <c:txPr>
          <a:bodyPr rot="-6000000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crossAx val="279354752"/>
        <c:crosses val="autoZero"/>
        <c:crossBetween val="between"/>
      </c:valAx>
      <c:spPr>
        <a:noFill/>
        <a:ln w="6350">
          <a:solidFill>
            <a:schemeClr val="tx1">
              <a:lumMod val="50000"/>
              <a:lumOff val="50000"/>
              <a:alpha val="25000"/>
            </a:schemeClr>
          </a:solidFill>
        </a:ln>
        <a:effectLst/>
      </c:spPr>
    </c:plotArea>
    <c:legend>
      <c:legendPos val="t"/>
      <c:legendEntry>
        <c:idx val="2"/>
        <c:delete val="1"/>
      </c:legendEntry>
      <c:layout>
        <c:manualLayout>
          <c:xMode val="edge"/>
          <c:yMode val="edge"/>
          <c:x val="0.427699927518724"/>
          <c:y val="0.171376242804814"/>
        </c:manualLayout>
      </c:layou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legend>
    <c:plotVisOnly val="1"/>
    <c:dispBlanksAs val="gap"/>
    <c:showDLblsOverMax val="0"/>
  </c:chart>
  <c:spPr>
    <a:solidFill>
      <a:schemeClr val="bg1"/>
    </a:solidFill>
    <a:ln w="6350" cap="flat" cmpd="sng" algn="ctr">
      <a:solidFill>
        <a:schemeClr val="tx1">
          <a:lumMod val="50000"/>
          <a:lumOff val="50000"/>
          <a:alpha val="25000"/>
        </a:schemeClr>
      </a:solidFill>
      <a:round/>
    </a:ln>
    <a:effectLst>
      <a:outerShdw blurRad="63500" dist="37357" dir="2700000" sx="0" sy="0" rotWithShape="0">
        <a:scrgbClr r="0" g="0" b="0"/>
      </a:outerShdw>
    </a:effectLst>
  </c:spPr>
  <c:txPr>
    <a:bodyPr/>
    <a:lstStyle/>
    <a:p>
      <a:pPr>
        <a:defRPr lang="zh-CN">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defTabSz="914400">
              <a:defRPr lang="zh-CN" sz="1400" b="0" i="0" u="none" strike="noStrike" kern="1200" spc="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r>
              <a:rPr lang="zh-CN" altLang="en-US"/>
              <a:t>支出决算总计变动情况图（单位：万元）</a:t>
            </a:r>
            <a:endParaRPr lang="zh-CN" altLang="en-US"/>
          </a:p>
        </c:rich>
      </c:tx>
      <c:layout>
        <c:manualLayout>
          <c:xMode val="edge"/>
          <c:yMode val="edge"/>
          <c:x val="0.164411693645808"/>
          <c:y val="0.0992885041819533"/>
        </c:manualLayout>
      </c:layout>
      <c:overlay val="0"/>
      <c:spPr>
        <a:noFill/>
        <a:ln>
          <a:noFill/>
        </a:ln>
        <a:effectLst/>
      </c:spPr>
    </c:title>
    <c:autoTitleDeleted val="0"/>
    <c:plotArea>
      <c:layout/>
      <c:barChart>
        <c:barDir val="col"/>
        <c:grouping val="clustered"/>
        <c:varyColors val="0"/>
        <c:ser>
          <c:idx val="1"/>
          <c:order val="0"/>
          <c:tx>
            <c:strRef>
              <c:f>Sheet1!$C$1</c:f>
              <c:strCache>
                <c:ptCount val="1"/>
                <c:pt idx="0">
                  <c:v>支出</c:v>
                </c:pt>
              </c:strCache>
            </c:strRef>
          </c:tx>
          <c:spPr>
            <a:solidFill>
              <a:srgbClr val="F79646">
                <a:lumMod val="60000"/>
                <a:lumOff val="40000"/>
              </a:srgbClr>
            </a:solidFill>
            <a:ln>
              <a:noFill/>
            </a:ln>
            <a:effectLst/>
          </c:spPr>
          <c:invertIfNegative val="0"/>
          <c:dLbls>
            <c:dLbl>
              <c:idx val="0"/>
              <c:layout>
                <c:manualLayout>
                  <c:x val="0.00314085527905291"/>
                  <c:y val="0.024332810047095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326165740517033"/>
                  <c:y val="0.024594453165881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ext>
            </c:extLst>
          </c:dLbls>
          <c:cat>
            <c:numRef>
              <c:f>Sheet1!$A$2:$A$3</c:f>
              <c:numCache>
                <c:formatCode>General</c:formatCode>
                <c:ptCount val="2"/>
                <c:pt idx="0">
                  <c:v>2024</c:v>
                </c:pt>
                <c:pt idx="1">
                  <c:v>2025</c:v>
                </c:pt>
              </c:numCache>
            </c:numRef>
          </c:cat>
          <c:val>
            <c:numRef>
              <c:f>Sheet1!$C$2:$C$3</c:f>
              <c:numCache>
                <c:formatCode>General</c:formatCode>
                <c:ptCount val="2"/>
                <c:pt idx="0">
                  <c:v>1268.31</c:v>
                </c:pt>
                <c:pt idx="1">
                  <c:v>1407.72</c:v>
                </c:pt>
              </c:numCache>
            </c:numRef>
          </c:val>
        </c:ser>
        <c:ser>
          <c:idx val="2"/>
          <c:order val="1"/>
          <c:tx>
            <c:strRef>
              <c:f>Sheet1!#REF!</c:f>
              <c:strCache>
                <c:ptCount val="1"/>
                <c:pt idx="0">
                  <c:v/>
                </c:pt>
              </c:strCache>
            </c:strRef>
          </c:tx>
          <c:spPr>
            <a:gradFill>
              <a:gsLst>
                <a:gs pos="0">
                  <a:schemeClr val="accent5"/>
                </a:gs>
                <a:gs pos="100000">
                  <a:schemeClr val="accent6"/>
                </a:gs>
              </a:gsLst>
              <a:lin ang="5400000" scaled="0"/>
            </a:gradFill>
            <a:ln>
              <a:noFill/>
            </a:ln>
            <a:effectLst/>
          </c:spPr>
          <c:invertIfNegative val="0"/>
          <c:dLbls>
            <c:delete val="1"/>
          </c:dLbls>
          <c:cat>
            <c:numRef>
              <c:f>Sheet1!$A$2:$A$3</c:f>
              <c:numCache>
                <c:formatCode>General</c:formatCode>
                <c:ptCount val="2"/>
                <c:pt idx="0">
                  <c:v>2024</c:v>
                </c:pt>
                <c:pt idx="1">
                  <c:v>2025</c:v>
                </c:pt>
              </c:numCache>
            </c:numRef>
          </c:cat>
          <c:val>
            <c:numRef>
              <c:f>Sheet1!#REF!</c:f>
              <c:numCache>
                <c:formatCode>General</c:formatCode>
                <c:ptCount val="1"/>
                <c:pt idx="0">
                  <c:v>1</c:v>
                </c:pt>
              </c:numCache>
            </c:numRef>
          </c:val>
        </c:ser>
        <c:dLbls>
          <c:showLegendKey val="0"/>
          <c:showVal val="0"/>
          <c:showCatName val="0"/>
          <c:showSerName val="0"/>
          <c:showPercent val="0"/>
          <c:showBubbleSize val="0"/>
        </c:dLbls>
        <c:gapWidth val="150"/>
        <c:axId val="280984192"/>
        <c:axId val="280985984"/>
      </c:barChart>
      <c:catAx>
        <c:axId val="280984192"/>
        <c:scaling>
          <c:orientation val="minMax"/>
        </c:scaling>
        <c:delete val="0"/>
        <c:axPos val="b"/>
        <c:majorGridlines>
          <c:spPr>
            <a:ln w="6350" cap="flat" cmpd="sng" algn="ctr">
              <a:solidFill>
                <a:schemeClr val="tx1">
                  <a:lumMod val="50000"/>
                  <a:lumOff val="50000"/>
                  <a:alpha val="25000"/>
                </a:schemeClr>
              </a:solidFill>
              <a:prstDash val="solid"/>
              <a:round/>
            </a:ln>
            <a:effectLst/>
          </c:spPr>
        </c:majorGridlines>
        <c:numFmt formatCode="General" sourceLinked="1"/>
        <c:majorTickMark val="none"/>
        <c:minorTickMark val="none"/>
        <c:tickLblPos val="nextTo"/>
        <c:spPr>
          <a:noFill/>
          <a:ln w="6350" cap="flat" cmpd="sng" algn="ctr">
            <a:solidFill>
              <a:schemeClr val="tx1">
                <a:lumMod val="50000"/>
                <a:lumOff val="50000"/>
                <a:alpha val="25000"/>
              </a:schemeClr>
            </a:solidFill>
            <a:prstDash val="solid"/>
            <a:round/>
          </a:ln>
          <a:effectLst/>
        </c:spPr>
        <c:txPr>
          <a:bodyPr rot="-6000000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crossAx val="280985984"/>
        <c:crosses val="autoZero"/>
        <c:auto val="1"/>
        <c:lblAlgn val="ctr"/>
        <c:lblOffset val="100"/>
        <c:noMultiLvlLbl val="0"/>
      </c:catAx>
      <c:valAx>
        <c:axId val="280985984"/>
        <c:scaling>
          <c:orientation val="minMax"/>
        </c:scaling>
        <c:delete val="0"/>
        <c:axPos val="l"/>
        <c:numFmt formatCode="General" sourceLinked="1"/>
        <c:majorTickMark val="none"/>
        <c:minorTickMark val="none"/>
        <c:tickLblPos val="nextTo"/>
        <c:spPr>
          <a:noFill/>
          <a:ln w="12700" cap="flat" cmpd="sng" algn="ctr">
            <a:noFill/>
            <a:prstDash val="solid"/>
            <a:round/>
          </a:ln>
          <a:effectLst/>
        </c:spPr>
        <c:txPr>
          <a:bodyPr rot="-6000000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crossAx val="280984192"/>
        <c:crosses val="autoZero"/>
        <c:crossBetween val="between"/>
      </c:valAx>
      <c:spPr>
        <a:noFill/>
        <a:ln w="6350">
          <a:solidFill>
            <a:schemeClr val="tx1">
              <a:lumMod val="50000"/>
              <a:lumOff val="50000"/>
              <a:alpha val="25000"/>
            </a:schemeClr>
          </a:solidFill>
        </a:ln>
        <a:effectLst/>
      </c:spPr>
    </c:plotArea>
    <c:legend>
      <c:legendPos val="t"/>
      <c:legendEntry>
        <c:idx val="1"/>
        <c:delete val="1"/>
      </c:legendEntry>
      <c:layout>
        <c:manualLayout>
          <c:xMode val="edge"/>
          <c:yMode val="edge"/>
          <c:x val="0.426612708383668"/>
          <c:y val="0.17556253270539"/>
        </c:manualLayout>
      </c:layou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legend>
    <c:plotVisOnly val="1"/>
    <c:dispBlanksAs val="gap"/>
    <c:showDLblsOverMax val="0"/>
  </c:chart>
  <c:spPr>
    <a:solidFill>
      <a:schemeClr val="bg1"/>
    </a:solidFill>
    <a:ln w="6350" cap="flat" cmpd="sng" algn="ctr">
      <a:solidFill>
        <a:schemeClr val="tx1">
          <a:lumMod val="50000"/>
          <a:lumOff val="50000"/>
          <a:alpha val="25000"/>
        </a:schemeClr>
      </a:solidFill>
      <a:prstDash val="solid"/>
      <a:round/>
    </a:ln>
    <a:effectLst>
      <a:outerShdw blurRad="63500" dist="37357" dir="2700000" sx="0" sy="0" rotWithShape="0">
        <a:scrgbClr r="0" g="0" b="0"/>
      </a:outerShdw>
    </a:effectLst>
  </c:spPr>
  <c:txPr>
    <a:bodyPr/>
    <a:lstStyle/>
    <a:p>
      <a:pPr>
        <a:defRPr lang="zh-CN">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t>一般公共预算财政拨款支出（单位：万元）</a:t>
            </a:r>
            <a:endParaRPr lang="zh-CN"/>
          </a:p>
        </c:rich>
      </c:tx>
      <c:layout>
        <c:manualLayout>
          <c:xMode val="edge"/>
          <c:yMode val="edge"/>
          <c:x val="0.0399020807833537"/>
          <c:y val="0.0359776536312849"/>
        </c:manualLayout>
      </c:layout>
      <c:overlay val="0"/>
    </c:title>
    <c:autoTitleDeleted val="0"/>
    <c:plotArea>
      <c:layout/>
      <c:pieChart>
        <c:varyColors val="1"/>
        <c:ser>
          <c:idx val="1"/>
          <c:order val="0"/>
          <c:tx>
            <c:strRef>
              <c:f>Sheet1!$B$1</c:f>
              <c:strCache>
                <c:ptCount val="1"/>
                <c:pt idx="0">
                  <c:v>支出</c:v>
                </c:pt>
              </c:strCache>
            </c:strRef>
          </c:tx>
          <c:explosion val="0"/>
          <c:dPt>
            <c:idx val="0"/>
            <c:bubble3D val="0"/>
          </c:dPt>
          <c:dPt>
            <c:idx val="1"/>
            <c:bubble3D val="0"/>
          </c:dPt>
          <c:dPt>
            <c:idx val="2"/>
            <c:bubble3D val="0"/>
          </c:dPt>
          <c:dPt>
            <c:idx val="3"/>
            <c:bubble3D val="0"/>
          </c:dPt>
          <c:dLbls>
            <c:dLbl>
              <c:idx val="0"/>
              <c:layout>
                <c:manualLayout>
                  <c:x val="0.138230830077171"/>
                  <c:y val="0.0316976409704565"/>
                </c:manualLayout>
              </c:layout>
              <c:dLblPos val="bestFit"/>
              <c:showLegendKey val="0"/>
              <c:showVal val="1"/>
              <c:showCatName val="0"/>
              <c:showSerName val="0"/>
              <c:showPercent val="0"/>
              <c:showBubbleSize val="0"/>
              <c:separator>
</c:separator>
              <c:extLst>
                <c:ext xmlns:c15="http://schemas.microsoft.com/office/drawing/2012/chart" uri="{CE6537A1-D6FC-4f65-9D91-7224C49458BB}">
                  <c15:layout>
                    <c:manualLayout>
                      <c:w val="0.103639801465375"/>
                      <c:h val="0.0798016230838593"/>
                    </c:manualLayout>
                  </c15:layout>
                </c:ext>
              </c:extLst>
            </c:dLbl>
            <c:dLbl>
              <c:idx val="1"/>
              <c:layout>
                <c:manualLayout>
                  <c:x val="-0.0295282158054662"/>
                  <c:y val="0.117140219753444"/>
                </c:manualLayout>
              </c:layout>
              <c:dLblPos val="bestFit"/>
              <c:showLegendKey val="0"/>
              <c:showVal val="1"/>
              <c:showCatName val="0"/>
              <c:showSerName val="0"/>
              <c:showPercent val="0"/>
              <c:showBubbleSize val="0"/>
              <c:separator>
</c:separator>
              <c:extLst>
                <c:ext xmlns:c15="http://schemas.microsoft.com/office/drawing/2012/chart" uri="{CE6537A1-D6FC-4f65-9D91-7224C49458BB}">
                  <c15:layout/>
                </c:ext>
              </c:extLst>
            </c:dLbl>
            <c:dLbl>
              <c:idx val="2"/>
              <c:layout>
                <c:manualLayout>
                  <c:x val="0.0663111217577641"/>
                  <c:y val="-0.198740281243072"/>
                </c:manualLayout>
              </c:layout>
              <c:dLblPos val="bestFit"/>
              <c:showLegendKey val="0"/>
              <c:showVal val="1"/>
              <c:showCatName val="0"/>
              <c:showSerName val="0"/>
              <c:showPercent val="0"/>
              <c:showBubbleSize val="0"/>
              <c:separator>
</c:separator>
              <c:extLst>
                <c:ext xmlns:c15="http://schemas.microsoft.com/office/drawing/2012/chart" uri="{CE6537A1-D6FC-4f65-9D91-7224C49458BB}">
                  <c15:layout/>
                </c:ext>
              </c:extLst>
            </c:dLbl>
            <c:dLbl>
              <c:idx val="3"/>
              <c:layout>
                <c:manualLayout>
                  <c:x val="-0.138242053839384"/>
                  <c:y val="0.0290306107567276"/>
                </c:manualLayout>
              </c:layout>
              <c:dLblPos val="bestFit"/>
              <c:showLegendKey val="0"/>
              <c:showVal val="1"/>
              <c:showCatName val="0"/>
              <c:showSerName val="0"/>
              <c:showPercent val="0"/>
              <c:showBubbleSize val="0"/>
              <c:separator>
</c:separator>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inEnd"/>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Sheet1!$A$2:$A$5</c:f>
              <c:strCache>
                <c:ptCount val="4"/>
                <c:pt idx="0">
                  <c:v>一般公共服务支出</c:v>
                </c:pt>
                <c:pt idx="1">
                  <c:v>社会保障和就业支出</c:v>
                </c:pt>
                <c:pt idx="2">
                  <c:v>卫生健康支出</c:v>
                </c:pt>
                <c:pt idx="3">
                  <c:v>住房保障支出</c:v>
                </c:pt>
              </c:strCache>
            </c:strRef>
          </c:cat>
          <c:val>
            <c:numRef>
              <c:f>Sheet1!$B$2:$B$5</c:f>
              <c:numCache>
                <c:formatCode>General</c:formatCode>
                <c:ptCount val="4"/>
                <c:pt idx="0">
                  <c:v>2.54</c:v>
                </c:pt>
                <c:pt idx="1">
                  <c:v>171.26</c:v>
                </c:pt>
                <c:pt idx="2">
                  <c:v>1165.84</c:v>
                </c:pt>
                <c:pt idx="3">
                  <c:v>68.08</c:v>
                </c:pt>
              </c:numCache>
            </c:numRef>
          </c:val>
        </c:ser>
        <c:dLbls>
          <c:showLegendKey val="0"/>
          <c:showVal val="1"/>
          <c:showCatName val="0"/>
          <c:showSerName val="0"/>
          <c:showPercent val="0"/>
          <c:showBubbleSize val="0"/>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“三公”经费支出表（单位：万元）</a:t>
            </a:r>
            <a:endParaRPr lang="zh-CN" altLang="en-US"/>
          </a:p>
        </c:rich>
      </c:tx>
      <c:layout>
        <c:manualLayout>
          <c:xMode val="edge"/>
          <c:yMode val="edge"/>
          <c:x val="0.213602941176471"/>
          <c:y val="0.082962962962963"/>
        </c:manualLayout>
      </c:layout>
      <c:overlay val="0"/>
      <c:spPr>
        <a:noFill/>
        <a:ln>
          <a:noFill/>
        </a:ln>
        <a:effectLst/>
      </c:spPr>
    </c:title>
    <c:autoTitleDeleted val="0"/>
    <c:plotArea>
      <c:layout/>
      <c:pieChart>
        <c:varyColors val="1"/>
        <c:ser>
          <c:idx val="0"/>
          <c:order val="0"/>
          <c:tx>
            <c:strRef>
              <c:f>Sheet1!$B$1</c:f>
              <c:strCache>
                <c:ptCount val="1"/>
                <c:pt idx="0">
                  <c:v>支出</c:v>
                </c:pt>
              </c:strCache>
            </c:strRef>
          </c:tx>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Lbls>
            <c:dLbl>
              <c:idx val="2"/>
              <c:layout/>
              <c:tx>
                <c:rich>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r>
                      <a:rPr lang="en-US" altLang="zh-CN"/>
                      <a:t>0.62</a:t>
                    </a:r>
                    <a:endParaRPr lang="en-US" altLang="zh-CN"/>
                  </a:p>
                </c:rich>
              </c:tx>
              <c:dLblPos val="in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inEnd"/>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Sheet1!$A$2:$A$4</c:f>
              <c:strCache>
                <c:ptCount val="3"/>
                <c:pt idx="0">
                  <c:v>因公出国（境）费</c:v>
                </c:pt>
                <c:pt idx="1">
                  <c:v>公务用车购置及运行维护费</c:v>
                </c:pt>
                <c:pt idx="2">
                  <c:v>公务接待费</c:v>
                </c:pt>
              </c:strCache>
            </c:strRef>
          </c:cat>
          <c:val>
            <c:numRef>
              <c:f>Sheet1!$B$2:$B$4</c:f>
              <c:numCache>
                <c:formatCode>General</c:formatCode>
                <c:ptCount val="3"/>
                <c:pt idx="0">
                  <c:v>0</c:v>
                </c:pt>
                <c:pt idx="1">
                  <c:v>0</c:v>
                </c:pt>
                <c:pt idx="2">
                  <c:v>0.46</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word/theme/themeOverride1.xml><?xml version="1.0" encoding="utf-8"?>
<a:themeOverride xmlns:a="http://schemas.openxmlformats.org/drawingml/2006/main">
  <a:clrScheme name="自定义 3">
    <a:dk1>
      <a:srgbClr val="000000"/>
    </a:dk1>
    <a:lt1>
      <a:srgbClr val="FFFFFF"/>
    </a:lt1>
    <a:dk2>
      <a:srgbClr val="44546A"/>
    </a:dk2>
    <a:lt2>
      <a:srgbClr val="E7E6E6"/>
    </a:lt2>
    <a:accent1>
      <a:srgbClr val="EE5796"/>
    </a:accent1>
    <a:accent2>
      <a:srgbClr val="F9B525"/>
    </a:accent2>
    <a:accent3>
      <a:srgbClr val="6D78FA"/>
    </a:accent3>
    <a:accent4>
      <a:srgbClr val="0EE2EF"/>
    </a:accent4>
    <a:accent5>
      <a:srgbClr val="93DE03"/>
    </a:accent5>
    <a:accent6>
      <a:srgbClr val="F5F804"/>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自定义 3">
    <a:dk1>
      <a:srgbClr val="000000"/>
    </a:dk1>
    <a:lt1>
      <a:srgbClr val="FFFFFF"/>
    </a:lt1>
    <a:dk2>
      <a:srgbClr val="44546A"/>
    </a:dk2>
    <a:lt2>
      <a:srgbClr val="E7E6E6"/>
    </a:lt2>
    <a:accent1>
      <a:srgbClr val="EE5796"/>
    </a:accent1>
    <a:accent2>
      <a:srgbClr val="F9B525"/>
    </a:accent2>
    <a:accent3>
      <a:srgbClr val="6D78FA"/>
    </a:accent3>
    <a:accent4>
      <a:srgbClr val="0EE2EF"/>
    </a:accent4>
    <a:accent5>
      <a:srgbClr val="93DE03"/>
    </a:accent5>
    <a:accent6>
      <a:srgbClr val="F5F804"/>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自定义 3">
    <a:dk1>
      <a:srgbClr val="000000"/>
    </a:dk1>
    <a:lt1>
      <a:srgbClr val="FFFFFF"/>
    </a:lt1>
    <a:dk2>
      <a:srgbClr val="44546A"/>
    </a:dk2>
    <a:lt2>
      <a:srgbClr val="E7E6E6"/>
    </a:lt2>
    <a:accent1>
      <a:srgbClr val="EE5796"/>
    </a:accent1>
    <a:accent2>
      <a:srgbClr val="F9B525"/>
    </a:accent2>
    <a:accent3>
      <a:srgbClr val="6D78FA"/>
    </a:accent3>
    <a:accent4>
      <a:srgbClr val="0EE2EF"/>
    </a:accent4>
    <a:accent5>
      <a:srgbClr val="93DE03"/>
    </a:accent5>
    <a:accent6>
      <a:srgbClr val="F5F804"/>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6C23B30-773D-47CF-9A1E-4B3F8CC0F452}">
  <ds:schemaRefs/>
</ds:datastoreItem>
</file>

<file path=docProps/app.xml><?xml version="1.0" encoding="utf-8"?>
<Properties xmlns="http://schemas.openxmlformats.org/officeDocument/2006/extended-properties" xmlns:vt="http://schemas.openxmlformats.org/officeDocument/2006/docPropsVTypes">
  <Template>Normal</Template>
  <Company>四川省财政厅</Company>
  <Pages>52</Pages>
  <Words>13672</Words>
  <Characters>15178</Characters>
  <Lines>1264</Lines>
  <Paragraphs>1109</Paragraphs>
  <TotalTime>1</TotalTime>
  <ScaleCrop>false</ScaleCrop>
  <LinksUpToDate>false</LinksUpToDate>
  <CharactersWithSpaces>27741</CharactersWithSpaces>
  <Application>WPS Office_11.8.2.11739_F1E327BC-269C-435d-A152-05C5408002CA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2025-09-08T01:41:00Z</dcterms:created>
  <dc:creator>曹颖</dc:creator>
  <cp:lastModifiedBy>市医保事务中心代拟稿</cp:lastModifiedBy>
  <cp:lastPrinted>2026-09-06T01:23:00Z</cp:lastPrinted>
  <dcterms:modified xsi:type="dcterms:W3CDTF">2026-09-07T01:58:32Z</dcterms:modified>
  <dc:title>四川省***</dc:title>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2052-11.8.2.11739</vt:lpwstr>
  </property>
  <property fmtid="{D5CDD505-2E9C-101B-9397-08002B2CF9AE}" pid="3" name="ICV">
    <vt:lpwstr>04787F2533EB45DC91BCDE4AB213247F</vt:lpwstr>
  </property>
  <property fmtid="{D5CDD505-2E9C-101B-9397-08002B2CF9AE}" pid="4" name="KSOTemplateDocerSaveRecord">
    <vt:lpwstr>eyJoZGlkIjoiZTk2ODhmMWFlODNhYTQzODM1MDdjZTEzOTIzZDJmM2QiLCJ1c2VySWQiOiI0MDEyNDE3OTMifQ==</vt:lpwstr>
  </property>
</Properties>
</file>