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116DB">
      <w:pPr>
        <w:pStyle w:val="21"/>
        <w:rPr>
          <w:rFonts w:hint="eastAsia" w:ascii="黑体" w:hAnsi="黑体" w:eastAsia="黑体" w:cs="黑体"/>
          <w:sz w:val="32"/>
          <w:szCs w:val="32"/>
        </w:rPr>
      </w:pPr>
      <w:bookmarkStart w:id="0" w:name="_GoBack"/>
      <w:bookmarkEnd w:id="0"/>
      <w:r>
        <w:rPr>
          <w:rFonts w:ascii="黑体" w:hAnsi="黑体" w:eastAsia="黑体" w:cs="黑体"/>
          <w:sz w:val="32"/>
          <w:szCs w:val="32"/>
        </w:rPr>
        <w:t>附件</w:t>
      </w:r>
    </w:p>
    <w:p w14:paraId="0206BEFB">
      <w:pPr>
        <w:jc w:val="center"/>
        <w:rPr>
          <w:rFonts w:hint="eastAsia" w:ascii="方正小标宋_GBK" w:hAnsi="方正小标宋_GBK" w:eastAsia="方正小标宋_GBK" w:cs="方正小标宋_GBK"/>
          <w:sz w:val="36"/>
          <w:szCs w:val="36"/>
        </w:rPr>
      </w:pPr>
    </w:p>
    <w:p w14:paraId="57D95A8E">
      <w:pPr>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攀枝花市第二批长期护理保险失能等级评估机构名单</w:t>
      </w:r>
    </w:p>
    <w:p w14:paraId="4873DC58"/>
    <w:tbl>
      <w:tblPr>
        <w:tblStyle w:val="22"/>
        <w:tblW w:w="893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7"/>
        <w:gridCol w:w="2742"/>
        <w:gridCol w:w="4079"/>
        <w:gridCol w:w="1523"/>
      </w:tblGrid>
      <w:tr w14:paraId="7B5C1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87" w:type="dxa"/>
            <w:tcMar>
              <w:left w:w="108" w:type="dxa"/>
              <w:right w:w="108" w:type="dxa"/>
            </w:tcMar>
            <w:vAlign w:val="center"/>
          </w:tcPr>
          <w:p w14:paraId="1FD8F5E3">
            <w:pPr>
              <w:spacing w:before="167" w:line="207" w:lineRule="auto"/>
              <w:jc w:val="center"/>
              <w:rPr>
                <w:rFonts w:hint="eastAsia" w:ascii="方正黑体_GBK" w:hAnsi="方正黑体_GBK" w:eastAsia="方正黑体_GBK" w:cs="方正黑体_GBK"/>
                <w:sz w:val="31"/>
                <w:szCs w:val="31"/>
              </w:rPr>
            </w:pPr>
            <w:r>
              <w:rPr>
                <w:rFonts w:ascii="方正黑体_GBK" w:hAnsi="方正黑体_GBK" w:eastAsia="方正黑体_GBK" w:cs="方正黑体_GBK"/>
                <w:spacing w:val="1"/>
                <w:sz w:val="31"/>
                <w:szCs w:val="31"/>
              </w:rPr>
              <w:t>序号</w:t>
            </w:r>
          </w:p>
        </w:tc>
        <w:tc>
          <w:tcPr>
            <w:tcW w:w="2742" w:type="dxa"/>
            <w:tcMar>
              <w:left w:w="108" w:type="dxa"/>
              <w:right w:w="108" w:type="dxa"/>
            </w:tcMar>
            <w:vAlign w:val="center"/>
          </w:tcPr>
          <w:p w14:paraId="615DB7BD">
            <w:pPr>
              <w:spacing w:before="167" w:line="207" w:lineRule="auto"/>
              <w:jc w:val="center"/>
              <w:rPr>
                <w:rFonts w:hint="eastAsia" w:ascii="方正黑体_GBK" w:hAnsi="方正黑体_GBK" w:eastAsia="方正黑体_GBK" w:cs="方正黑体_GBK"/>
                <w:sz w:val="31"/>
                <w:szCs w:val="31"/>
              </w:rPr>
            </w:pPr>
            <w:r>
              <w:rPr>
                <w:rFonts w:ascii="方正黑体_GBK" w:hAnsi="方正黑体_GBK" w:eastAsia="方正黑体_GBK" w:cs="方正黑体_GBK"/>
                <w:spacing w:val="-3"/>
                <w:sz w:val="31"/>
                <w:szCs w:val="31"/>
              </w:rPr>
              <w:t>名</w:t>
            </w:r>
            <w:r>
              <w:rPr>
                <w:rFonts w:ascii="方正黑体_GBK" w:hAnsi="方正黑体_GBK" w:eastAsia="方正黑体_GBK" w:cs="方正黑体_GBK"/>
                <w:spacing w:val="13"/>
                <w:sz w:val="31"/>
                <w:szCs w:val="31"/>
              </w:rPr>
              <w:t xml:space="preserve">   </w:t>
            </w:r>
            <w:r>
              <w:rPr>
                <w:rFonts w:ascii="方正黑体_GBK" w:hAnsi="方正黑体_GBK" w:eastAsia="方正黑体_GBK" w:cs="方正黑体_GBK"/>
                <w:spacing w:val="-3"/>
                <w:sz w:val="31"/>
                <w:szCs w:val="31"/>
              </w:rPr>
              <w:t>称</w:t>
            </w:r>
          </w:p>
        </w:tc>
        <w:tc>
          <w:tcPr>
            <w:tcW w:w="4079" w:type="dxa"/>
            <w:tcMar>
              <w:left w:w="108" w:type="dxa"/>
              <w:right w:w="108" w:type="dxa"/>
            </w:tcMar>
            <w:vAlign w:val="center"/>
          </w:tcPr>
          <w:p w14:paraId="635EC94A">
            <w:pPr>
              <w:spacing w:before="167" w:line="207" w:lineRule="auto"/>
              <w:jc w:val="center"/>
              <w:rPr>
                <w:rFonts w:hint="eastAsia" w:ascii="方正黑体_GBK" w:hAnsi="方正黑体_GBK" w:eastAsia="方正黑体_GBK" w:cs="方正黑体_GBK"/>
                <w:sz w:val="31"/>
                <w:szCs w:val="31"/>
              </w:rPr>
            </w:pPr>
            <w:r>
              <w:rPr>
                <w:rFonts w:ascii="方正黑体_GBK" w:hAnsi="方正黑体_GBK" w:eastAsia="方正黑体_GBK" w:cs="方正黑体_GBK"/>
                <w:spacing w:val="-2"/>
                <w:sz w:val="31"/>
                <w:szCs w:val="31"/>
              </w:rPr>
              <w:t>地</w:t>
            </w:r>
            <w:r>
              <w:rPr>
                <w:rFonts w:ascii="方正黑体_GBK" w:hAnsi="方正黑体_GBK" w:eastAsia="方正黑体_GBK" w:cs="方正黑体_GBK"/>
                <w:spacing w:val="13"/>
                <w:sz w:val="31"/>
                <w:szCs w:val="31"/>
              </w:rPr>
              <w:t xml:space="preserve">   </w:t>
            </w:r>
            <w:r>
              <w:rPr>
                <w:rFonts w:ascii="方正黑体_GBK" w:hAnsi="方正黑体_GBK" w:eastAsia="方正黑体_GBK" w:cs="方正黑体_GBK"/>
                <w:spacing w:val="-2"/>
                <w:sz w:val="31"/>
                <w:szCs w:val="31"/>
              </w:rPr>
              <w:t>址</w:t>
            </w:r>
          </w:p>
        </w:tc>
        <w:tc>
          <w:tcPr>
            <w:tcW w:w="1523" w:type="dxa"/>
            <w:tcMar>
              <w:left w:w="108" w:type="dxa"/>
              <w:right w:w="108" w:type="dxa"/>
            </w:tcMar>
            <w:vAlign w:val="center"/>
          </w:tcPr>
          <w:p w14:paraId="465D10D9">
            <w:pPr>
              <w:spacing w:before="167" w:line="207" w:lineRule="auto"/>
              <w:jc w:val="center"/>
              <w:rPr>
                <w:rFonts w:hint="eastAsia" w:ascii="方正黑体_GBK" w:hAnsi="方正黑体_GBK" w:eastAsia="方正黑体_GBK" w:cs="方正黑体_GBK"/>
                <w:spacing w:val="-2"/>
                <w:sz w:val="31"/>
                <w:szCs w:val="31"/>
              </w:rPr>
            </w:pPr>
            <w:r>
              <w:rPr>
                <w:rFonts w:hint="eastAsia" w:ascii="方正黑体_GBK" w:hAnsi="方正黑体_GBK" w:eastAsia="方正黑体_GBK" w:cs="方正黑体_GBK"/>
                <w:spacing w:val="-2"/>
                <w:sz w:val="31"/>
                <w:szCs w:val="31"/>
              </w:rPr>
              <w:t>类型</w:t>
            </w:r>
          </w:p>
        </w:tc>
      </w:tr>
      <w:tr w14:paraId="364E5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5" w:hRule="atLeast"/>
        </w:trPr>
        <w:tc>
          <w:tcPr>
            <w:tcW w:w="587" w:type="dxa"/>
            <w:tcMar>
              <w:left w:w="108" w:type="dxa"/>
              <w:right w:w="108" w:type="dxa"/>
            </w:tcMar>
            <w:vAlign w:val="center"/>
          </w:tcPr>
          <w:p w14:paraId="17D3CC8D">
            <w:pPr>
              <w:spacing w:before="89" w:line="192" w:lineRule="auto"/>
              <w:jc w:val="center"/>
              <w:rPr>
                <w:rFonts w:ascii="Arial" w:hAnsi="Arial" w:eastAsia="Arial" w:cs="Arial"/>
                <w:sz w:val="31"/>
                <w:szCs w:val="31"/>
              </w:rPr>
            </w:pPr>
            <w:r>
              <w:rPr>
                <w:rFonts w:ascii="Arial" w:hAnsi="Arial" w:eastAsia="Arial" w:cs="Arial"/>
                <w:sz w:val="31"/>
                <w:szCs w:val="31"/>
              </w:rPr>
              <w:t>1</w:t>
            </w:r>
          </w:p>
        </w:tc>
        <w:tc>
          <w:tcPr>
            <w:tcW w:w="2742" w:type="dxa"/>
            <w:tcMar>
              <w:left w:w="108" w:type="dxa"/>
              <w:right w:w="108" w:type="dxa"/>
            </w:tcMar>
            <w:vAlign w:val="center"/>
          </w:tcPr>
          <w:p w14:paraId="335AF9B1">
            <w:pPr>
              <w:spacing w:before="190" w:line="223" w:lineRule="auto"/>
              <w:jc w:val="center"/>
              <w:rPr>
                <w:rFonts w:hint="eastAsia" w:ascii="仿宋_GB2312" w:hAnsi="仿宋_GB2312" w:eastAsia="仿宋_GB2312" w:cs="仿宋_GB2312"/>
                <w:sz w:val="31"/>
                <w:szCs w:val="31"/>
              </w:rPr>
            </w:pPr>
            <w:r>
              <w:rPr>
                <w:rFonts w:hint="eastAsia" w:ascii="仿宋_GB2312" w:hAnsi="仿宋_GB2312" w:eastAsia="仿宋_GB2312" w:cs="仿宋_GB2312"/>
                <w:sz w:val="31"/>
                <w:szCs w:val="31"/>
              </w:rPr>
              <w:t>攀枝花市中心医院</w:t>
            </w:r>
          </w:p>
        </w:tc>
        <w:tc>
          <w:tcPr>
            <w:tcW w:w="4079" w:type="dxa"/>
            <w:tcMar>
              <w:left w:w="108" w:type="dxa"/>
              <w:right w:w="108" w:type="dxa"/>
            </w:tcMar>
            <w:vAlign w:val="center"/>
          </w:tcPr>
          <w:p w14:paraId="4429C52E">
            <w:pPr>
              <w:spacing w:before="192" w:line="223" w:lineRule="auto"/>
              <w:jc w:val="center"/>
              <w:rPr>
                <w:rFonts w:hint="eastAsia" w:ascii="仿宋_GB2312" w:hAnsi="仿宋_GB2312" w:eastAsia="仿宋_GB2312" w:cs="仿宋_GB2312"/>
                <w:sz w:val="31"/>
                <w:szCs w:val="31"/>
              </w:rPr>
            </w:pPr>
            <w:r>
              <w:rPr>
                <w:rFonts w:hint="eastAsia" w:ascii="仿宋_GB2312" w:hAnsi="仿宋_GB2312" w:eastAsia="仿宋_GB2312" w:cs="仿宋_GB2312"/>
                <w:sz w:val="31"/>
                <w:szCs w:val="31"/>
              </w:rPr>
              <w:t>攀枝花市东区攀枝花大道中段益康街34号</w:t>
            </w:r>
          </w:p>
        </w:tc>
        <w:tc>
          <w:tcPr>
            <w:tcW w:w="1523" w:type="dxa"/>
            <w:tcMar>
              <w:left w:w="108" w:type="dxa"/>
              <w:right w:w="108" w:type="dxa"/>
            </w:tcMar>
            <w:vAlign w:val="center"/>
          </w:tcPr>
          <w:p w14:paraId="117E534D">
            <w:pPr>
              <w:spacing w:before="192" w:line="223" w:lineRule="auto"/>
              <w:jc w:val="center"/>
              <w:rPr>
                <w:rFonts w:hint="eastAsia" w:ascii="仿宋_GB2312" w:hAnsi="仿宋_GB2312" w:eastAsia="仿宋_GB2312" w:cs="仿宋_GB2312"/>
                <w:sz w:val="31"/>
                <w:szCs w:val="31"/>
              </w:rPr>
            </w:pPr>
            <w:r>
              <w:rPr>
                <w:rFonts w:hint="eastAsia" w:ascii="仿宋_GB2312" w:hAnsi="仿宋_GB2312" w:eastAsia="仿宋_GB2312" w:cs="仿宋_GB2312"/>
                <w:sz w:val="31"/>
                <w:szCs w:val="31"/>
              </w:rPr>
              <w:t>评估机构</w:t>
            </w:r>
          </w:p>
        </w:tc>
      </w:tr>
    </w:tbl>
    <w:p w14:paraId="77AFCA1C"/>
    <w:sectPr>
      <w:headerReference r:id="rId3" w:type="default"/>
      <w:footerReference r:id="rId5" w:type="default"/>
      <w:headerReference r:id="rId4" w:type="even"/>
      <w:footerReference r:id="rId6" w:type="even"/>
      <w:pgSz w:w="11906" w:h="16838"/>
      <w:pgMar w:top="2098" w:right="1474" w:bottom="1984" w:left="1587" w:header="851" w:footer="1417" w:gutter="0"/>
      <w:pgNumType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Arial">
    <w:altName w:val="Nimbus Roman No9 L"/>
    <w:panose1 w:val="020B0604020202020204"/>
    <w:charset w:val="00"/>
    <w:family w:val="swiss"/>
    <w:pitch w:val="default"/>
    <w:sig w:usb0="00000000" w:usb1="00000000" w:usb2="00000009" w:usb3="00000000" w:csb0="000001F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F24AF">
    <w:pPr>
      <w:pStyle w:val="1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300FB">
                          <w:pPr>
                            <w:pStyle w:val="12"/>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pUrO1gAAAAYBAAAPAAAAAAAAAAEAIAAAACIAAABkcnMvZG93bnJldi54bWxQ&#10;SwECFAAUAAAACACHTuJAMghvJDICAABfBAAADgAAAAAAAAABACAAAAAlAQAAZHJzL2Uyb0RvYy54&#10;bWxQSwUGAAAAAAYABgBZAQAAyQUAAAAA&#10;">
              <v:fill on="f" focussize="0,0"/>
              <v:stroke on="f" weight="0.5pt"/>
              <v:imagedata o:title=""/>
              <o:lock v:ext="edit" aspectratio="f"/>
              <v:textbox inset="16pt,0mm,16pt,0mm" style="mso-fit-shape-to-text:t;">
                <w:txbxContent>
                  <w:p w14:paraId="327300FB">
                    <w:pPr>
                      <w:pStyle w:val="12"/>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30595">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9A66E5">
                          <w:pPr>
                            <w:pStyle w:val="12"/>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pUrO1gAAAAYBAAAPAAAAAAAAAAEAIAAAACIAAABkcnMvZG93bnJldi54bWxQ&#10;SwECFAAUAAAACACHTuJAR9rhGDICAABfBAAADgAAAAAAAAABACAAAAAlAQAAZHJzL2Uyb0RvYy54&#10;bWxQSwUGAAAAAAYABgBZAQAAyQUAAAAA&#10;">
              <v:fill on="f" focussize="0,0"/>
              <v:stroke on="f" weight="0.5pt"/>
              <v:imagedata o:title=""/>
              <o:lock v:ext="edit" aspectratio="f"/>
              <v:textbox inset="16pt,0mm,16pt,0mm" style="mso-fit-shape-to-text:t;">
                <w:txbxContent>
                  <w:p w14:paraId="7B9A66E5">
                    <w:pPr>
                      <w:pStyle w:val="12"/>
                      <w:rPr>
                        <w:rFonts w:hint="eastAsia"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3CFF9">
    <w:pPr>
      <w:pStyle w:val="1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8F49F">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755"/>
    <w:rsid w:val="00123755"/>
    <w:rsid w:val="003721BE"/>
    <w:rsid w:val="00A35E6A"/>
    <w:rsid w:val="00EC782D"/>
    <w:rsid w:val="1A361788"/>
    <w:rsid w:val="4C5E4EF4"/>
    <w:rsid w:val="4ECFF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semiHidden/>
    <w:unhideWhenUsed/>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semiHidden/>
    <w:unhideWhenUsed/>
    <w:qFormat/>
    <w:uiPriority w:val="0"/>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5">
    <w:name w:val="heading 4"/>
    <w:next w:val="1"/>
    <w:semiHidden/>
    <w:unhideWhenUsed/>
    <w:qFormat/>
    <w:uiPriority w:val="0"/>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Subtitle"/>
    <w:qFormat/>
    <w:uiPriority w:val="0"/>
    <w:pPr>
      <w:spacing w:line="720" w:lineRule="exact"/>
      <w:jc w:val="center"/>
    </w:pPr>
    <w:rPr>
      <w:rFonts w:ascii="Times New Roman" w:hAnsi="Times New Roman" w:eastAsia="仿宋_GB2312" w:cs="仿宋_GB2312"/>
      <w:kern w:val="28"/>
      <w:sz w:val="32"/>
      <w:szCs w:val="32"/>
      <w:lang w:val="en-US" w:eastAsia="zh-CN" w:bidi="ar-SA"/>
    </w:rPr>
  </w:style>
  <w:style w:type="paragraph" w:styleId="15">
    <w:name w:val="Normal (Web)"/>
    <w:basedOn w:val="1"/>
    <w:qFormat/>
    <w:uiPriority w:val="0"/>
    <w:rPr>
      <w:sz w:val="24"/>
    </w:rPr>
  </w:style>
  <w:style w:type="paragraph" w:styleId="16">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character" w:styleId="19">
    <w:name w:val="Hyperlink"/>
    <w:basedOn w:val="18"/>
    <w:qFormat/>
    <w:uiPriority w:val="0"/>
    <w:rPr>
      <w:color w:val="0000FF"/>
      <w:u w:val="single"/>
    </w:rPr>
  </w:style>
  <w:style w:type="paragraph" w:customStyle="1" w:styleId="20">
    <w:name w:val="主送对象"/>
    <w:next w:val="1"/>
    <w:qFormat/>
    <w:uiPriority w:val="0"/>
    <w:pPr>
      <w:spacing w:line="560" w:lineRule="exact"/>
    </w:pPr>
    <w:rPr>
      <w:rFonts w:ascii="Times New Roman" w:hAnsi="Times New Roman" w:eastAsia="宋体" w:cs="Times New Roman"/>
      <w:lang w:val="en-US" w:eastAsia="zh-CN" w:bidi="ar-SA"/>
    </w:rPr>
  </w:style>
  <w:style w:type="paragraph" w:customStyle="1" w:styleId="21">
    <w:name w:val="附录标题"/>
    <w:next w:val="1"/>
    <w:qFormat/>
    <w:uiPriority w:val="0"/>
    <w:pPr>
      <w:overflowPunct w:val="0"/>
      <w:topLinePunct/>
      <w:spacing w:line="560" w:lineRule="exact"/>
      <w:outlineLvl w:val="0"/>
    </w:pPr>
    <w:rPr>
      <w:rFonts w:ascii="Times New Roman" w:hAnsi="Times New Roman" w:eastAsia="宋体" w:cs="Times New Roman"/>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31a007bd-63d5-4cd6-a242-f8875b1a315b</errorID>
      <errorWord xmlns="http://schemas.wps.cn/vas-ai-hub/contract-review">《攀枝花市医疗保障事务中心关于开展长期护理保险第二批失能等级评估定点机构遴选工作的公告》</errorWord>
      <group xmlns="http://schemas.wps.cn/vas-ai-hub/contract-review">L1_Official</group>
      <groupName xmlns="http://schemas.wps.cn/vas-ai-hub/contract-review">公文问题</groupName>
      <ability xmlns="http://schemas.wps.cn/vas-ai-hub/contract-review">L2_Official</ability>
      <abilityName xmlns="http://schemas.wps.cn/vas-ai-hub/contract-review">公文问题</abilityName>
      <candidateList xmlns="http://schemas.wps.cn/vas-ai-hub/contract-review"/>
      <explain xmlns="http://schemas.wps.cn/vas-ai-hub/contract-review">公文文件引用格式不规范</explain>
      <paraID xmlns="http://schemas.wps.cn/vas-ai-hub/contract-review">1B27A480</paraID>
      <start xmlns="http://schemas.wps.cn/vas-ai-hub/contract-review">31</start>
      <end xmlns="http://schemas.wps.cn/vas-ai-hub/contract-review">75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63805A-F546-4E0B-B61A-BD40FBCBC8A9}">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Words>
  <Characters>318</Characters>
  <Lines>2</Lines>
  <Paragraphs>1</Paragraphs>
  <TotalTime>14</TotalTime>
  <ScaleCrop>false</ScaleCrop>
  <LinksUpToDate>false</LinksUpToDate>
  <CharactersWithSpaces>372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2026-08-31T15:39:00Z</dcterms:created>
  <dc:creator>10258</dc:creator>
  <cp:lastModifiedBy>user</cp:lastModifiedBy>
  <dcterms:modified xsi:type="dcterms:W3CDTF">2026-09-16T09:17:34Z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KSOTemplateDocerSaveRecord">
    <vt:lpwstr>eyJoZGlkIjoiZTljNGI5YmUwOWFjN2U3N2IwZjQ0M2M1OGJhMTJkYjQiLCJ1c2VySWQiOiIzOTA3NzI2MTkifQ==</vt:lpwstr>
  </property>
  <property fmtid="{D5CDD505-2E9C-101B-9397-08002B2CF9AE}" pid="4" name="ICV">
    <vt:lpwstr>94407D476DED4BD1BB702179951BB61B_12</vt:lpwstr>
  </property>
</Properties>
</file>