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D4B4D">
      <w:pPr>
        <w:pStyle w:val="30"/>
        <w:rPr>
          <w:rFonts w:hint="eastAsia"/>
        </w:rPr>
      </w:pPr>
      <w:bookmarkStart w:id="0" w:name="_GoBack"/>
      <w:bookmarkEnd w:id="0"/>
      <w:r>
        <w:t>附件5：</w:t>
      </w:r>
    </w:p>
    <w:p w14:paraId="164E7FF9">
      <w:pPr>
        <w:pStyle w:val="18"/>
        <w:rPr>
          <w:rFonts w:hint="eastAsia"/>
        </w:rPr>
      </w:pPr>
      <w:r>
        <w:t>攀枝花市长期护理保险定点评估机构评估表</w:t>
      </w:r>
    </w:p>
    <w:p w14:paraId="5C90335F">
      <w:pPr>
        <w:ind w:firstLine="482" w:firstLineChars="200"/>
        <w:rPr>
          <w:rFonts w:ascii="Times New Roman" w:eastAsia="仿宋_GB2312" w:cs="Times New Roman"/>
          <w:b/>
          <w:bCs/>
          <w:sz w:val="24"/>
        </w:rPr>
      </w:pPr>
      <w:r>
        <w:rPr>
          <w:rFonts w:ascii="Times New Roman" w:eastAsia="仿宋_GB2312" w:cs="Times New Roman"/>
          <w:b/>
          <w:bCs/>
          <w:sz w:val="24"/>
        </w:rPr>
        <w:t xml:space="preserve">机构名称：                                                                                  评估时间：       </w:t>
      </w:r>
    </w:p>
    <w:tbl>
      <w:tblPr>
        <w:tblStyle w:val="19"/>
        <w:tblW w:w="149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656"/>
        <w:gridCol w:w="1224"/>
        <w:gridCol w:w="8651"/>
        <w:gridCol w:w="816"/>
        <w:gridCol w:w="1212"/>
        <w:gridCol w:w="769"/>
      </w:tblGrid>
      <w:tr w14:paraId="0BE10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</w:tcBorders>
            <w:vAlign w:val="center"/>
          </w:tcPr>
          <w:p w14:paraId="230F9B08">
            <w:pPr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序号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B3B61">
            <w:pPr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评估内容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1B7EE">
            <w:pPr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指标类型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9E813">
            <w:pPr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评估标准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8E6BD">
            <w:pPr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分值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89F39">
            <w:pPr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评估情况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1413F">
            <w:pPr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备注</w:t>
            </w:r>
          </w:p>
        </w:tc>
      </w:tr>
      <w:tr w14:paraId="57C44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D4E97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5CD351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具备行业主管部门确认的服务资质，并依法注册登记</w:t>
            </w:r>
          </w:p>
        </w:tc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3A9D0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一级指标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64CCE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提供以下四种资质证明材料中的任意一种：《事业单位法人证书》《医疗机构执业许可证》《民办非企业单位登记证书》《营业执照》。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D562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／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FBFEE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符合□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不符合□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30784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4B9F7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8DE51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159F4B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CE03B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30510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依法登记注册，能够开展定点失能等级评估工作，正式运营至少3个月。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5F12E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／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25EA8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符合□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不符合□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630EA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57302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9C10F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D03EE8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具备失能等级评估所需的必要设施设备等基本条件</w:t>
            </w:r>
          </w:p>
        </w:tc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17AF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一级指标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B6068">
            <w:pPr>
              <w:pStyle w:val="11"/>
              <w:spacing w:after="0" w:line="360" w:lineRule="exact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在本市有固定的办公场所。有业务用房产权证明或租赁合同，租赁合同需在有效期内，且自申报之日起，合同剩余有效期不低于1年。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E225E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／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9268C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符合□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不符合□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8AC20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59C0F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B6AF1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4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328335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05235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E9FCF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有长护评估专职管理人员。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598E5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／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77B15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符合□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不符合□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9B210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3F8E1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8FBD8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A26DA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6862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F259B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具备符合评估服务业务要求的软、硬件设备。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29962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／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2F18F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符合□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不符合□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9D430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6FAC8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8725A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6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A7B1E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192A9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二级指标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（32分）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434C3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1.根据长护评估业务实际需要，用房规划功能区标识清楚，功能区划分合理（包括但不限于业务办公区、档案管理区、物资存放区等区域），得3分。</w:t>
            </w:r>
          </w:p>
          <w:p w14:paraId="4CA8EEBC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2.在机构内显著位置公布咨询电话、监督举报电话，得2分。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B9098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6D916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得</w:t>
            </w:r>
            <w:r>
              <w:rPr>
                <w:rFonts w:asci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eastAsia="宋体" w:cs="Times New Roman"/>
                <w:sz w:val="21"/>
                <w:szCs w:val="21"/>
              </w:rPr>
              <w:t xml:space="preserve"> 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2C781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456D7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C6815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7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91CED0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B7CB97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A4B60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办公和业务用房实际使用面积</w:t>
            </w:r>
            <w:r>
              <w:rPr>
                <w:rFonts w:hint="eastAsia" w:ascii="Times New Roman" w:eastAsia="宋体" w:cs="Times New Roman"/>
                <w:sz w:val="21"/>
                <w:szCs w:val="21"/>
              </w:rPr>
              <w:t>≤</w:t>
            </w:r>
            <w:r>
              <w:rPr>
                <w:rFonts w:ascii="Times New Roman" w:eastAsia="宋体" w:cs="Times New Roman"/>
                <w:sz w:val="21"/>
                <w:szCs w:val="21"/>
              </w:rPr>
              <w:t>80平方米，得1分；实际使用面积大于80平方米的，每增加10平方米加0.5分，最高加5分。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A94D0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6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BE1D5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得</w:t>
            </w:r>
            <w:r>
              <w:rPr>
                <w:rFonts w:asci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eastAsia="宋体" w:cs="Times New Roman"/>
                <w:sz w:val="21"/>
                <w:szCs w:val="21"/>
              </w:rPr>
              <w:t xml:space="preserve"> 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35C01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097CD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A2E9C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8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9ABF49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9183A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35890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  <w14:ligatures w14:val="standardContextual"/>
              </w:rPr>
              <w:t>1.配齐满足办公及信息管理需求的基础设备，涵盖计算机、打印机等各类办公自动化设施，得2分；</w:t>
            </w:r>
          </w:p>
          <w:p w14:paraId="053970F2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  <w14:ligatures w14:val="standardContextual"/>
              </w:rPr>
              <w:t>2.配备测量记录评估对象身体机能</w:t>
            </w:r>
            <w:r>
              <w:rPr>
                <w:rFonts w:hint="eastAsia" w:ascii="Times New Roman" w:eastAsia="宋体" w:cs="Times New Roman"/>
                <w:sz w:val="21"/>
                <w:szCs w:val="21"/>
                <w14:ligatures w14:val="standardContextual"/>
              </w:rPr>
              <w:t>的</w:t>
            </w:r>
            <w:r>
              <w:rPr>
                <w:rFonts w:ascii="Times New Roman" w:eastAsia="宋体" w:cs="Times New Roman"/>
                <w:sz w:val="21"/>
                <w:szCs w:val="21"/>
                <w14:ligatures w14:val="standardContextual"/>
              </w:rPr>
              <w:t>评估专用医疗器材与工具</w:t>
            </w:r>
            <w:r>
              <w:rPr>
                <w:rFonts w:hint="eastAsia" w:ascii="Times New Roman" w:eastAsia="宋体" w:cs="Times New Roman"/>
                <w:sz w:val="21"/>
                <w:szCs w:val="21"/>
                <w14:ligatures w14:val="standardContextual"/>
              </w:rPr>
              <w:t>（如</w:t>
            </w:r>
            <w:r>
              <w:rPr>
                <w:rFonts w:ascii="Times New Roman" w:eastAsia="宋体" w:cs="Times New Roman"/>
                <w:sz w:val="21"/>
                <w:szCs w:val="21"/>
                <w14:ligatures w14:val="standardContextual"/>
              </w:rPr>
              <w:t>血压计、血糖仪、听诊器、握力计、角度尺等</w:t>
            </w:r>
            <w:r>
              <w:rPr>
                <w:rFonts w:hint="eastAsia" w:ascii="Times New Roman" w:eastAsia="宋体" w:cs="Times New Roman"/>
                <w:sz w:val="21"/>
                <w:szCs w:val="21"/>
                <w14:ligatures w14:val="standardContextual"/>
              </w:rPr>
              <w:t>）</w:t>
            </w:r>
            <w:r>
              <w:rPr>
                <w:rFonts w:ascii="Times New Roman" w:eastAsia="宋体" w:cs="Times New Roman"/>
                <w:sz w:val="21"/>
                <w:szCs w:val="21"/>
                <w14:ligatures w14:val="standardContextual"/>
              </w:rPr>
              <w:t>，得4分；</w:t>
            </w:r>
          </w:p>
          <w:p w14:paraId="07AEA538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  <w14:ligatures w14:val="standardContextual"/>
              </w:rPr>
              <w:t>3.配备评估专用量表，如评估日常活动能力、认知能力、感知觉与沟通能力时所需的各类量表及配套道具的，得2分；</w:t>
            </w:r>
          </w:p>
          <w:p w14:paraId="52051CC0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  <w14:ligatures w14:val="standardContextual"/>
              </w:rPr>
              <w:t>4.配备影音记录设备，得1分；</w:t>
            </w:r>
          </w:p>
          <w:p w14:paraId="292CCF90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eastAsia="宋体" w:cs="Times New Roman"/>
                <w:sz w:val="21"/>
                <w:szCs w:val="21"/>
                <w14:ligatures w14:val="standardContextual"/>
              </w:rPr>
              <w:t>5.配备先进智能监测设备，</w:t>
            </w:r>
            <w:r>
              <w:rPr>
                <w:rFonts w:hint="eastAsia" w:ascii="Times New Roman" w:eastAsia="宋体" w:cs="Times New Roman"/>
                <w:sz w:val="21"/>
                <w:szCs w:val="21"/>
                <w14:ligatures w14:val="standardContextual"/>
              </w:rPr>
              <w:t>能</w:t>
            </w:r>
            <w:r>
              <w:rPr>
                <w:rFonts w:ascii="Times New Roman" w:eastAsia="宋体" w:cs="Times New Roman"/>
                <w:sz w:val="21"/>
                <w:szCs w:val="21"/>
                <w14:ligatures w14:val="standardContextual"/>
              </w:rPr>
              <w:t>24小时无感采集失能人员体征与活动数据，辅助专家精准判断，</w:t>
            </w:r>
            <w:r>
              <w:rPr>
                <w:rFonts w:hint="eastAsia" w:ascii="Times New Roman" w:eastAsia="宋体" w:cs="Times New Roman"/>
                <w:sz w:val="21"/>
                <w:szCs w:val="21"/>
                <w14:ligatures w14:val="standardContextual"/>
              </w:rPr>
              <w:t>得</w:t>
            </w:r>
            <w:r>
              <w:rPr>
                <w:rFonts w:ascii="Times New Roman" w:eastAsia="宋体" w:cs="Times New Roman"/>
                <w:sz w:val="21"/>
                <w:szCs w:val="21"/>
                <w14:ligatures w14:val="standardContextual"/>
              </w:rPr>
              <w:t>1分。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38AA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10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BCDA3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得</w:t>
            </w:r>
            <w:r>
              <w:rPr>
                <w:rFonts w:asci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eastAsia="宋体" w:cs="Times New Roman"/>
                <w:sz w:val="21"/>
                <w:szCs w:val="21"/>
              </w:rPr>
              <w:t xml:space="preserve"> 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CC84C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25FC4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52DD8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9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C622E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2F46B8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8C9AD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1.具备理论授课教室或场地，得1分；培训场地面积达到</w:t>
            </w:r>
            <w:r>
              <w:rPr>
                <w:rFonts w:hint="eastAsia" w:ascii="Times New Roman" w:eastAsia="宋体" w:cs="Times New Roman"/>
                <w:sz w:val="21"/>
                <w:szCs w:val="21"/>
              </w:rPr>
              <w:t>40</w:t>
            </w:r>
            <w:r>
              <w:rPr>
                <w:rFonts w:ascii="Times New Roman" w:eastAsia="宋体" w:cs="Times New Roman"/>
                <w:sz w:val="21"/>
                <w:szCs w:val="21"/>
              </w:rPr>
              <w:t>平方米及以上，加1分；培训教室具备多媒体教学功能，加1分。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2.具备评估实操演练教室或场地，得1分，实操培训室面积达到</w:t>
            </w:r>
            <w:r>
              <w:rPr>
                <w:rFonts w:hint="eastAsia" w:ascii="Times New Roman" w:eastAsia="宋体" w:cs="Times New Roman"/>
                <w:sz w:val="21"/>
                <w:szCs w:val="21"/>
              </w:rPr>
              <w:t>40</w:t>
            </w:r>
            <w:r>
              <w:rPr>
                <w:rFonts w:ascii="Times New Roman" w:eastAsia="宋体" w:cs="Times New Roman"/>
                <w:sz w:val="21"/>
                <w:szCs w:val="21"/>
              </w:rPr>
              <w:t>平方米及以上，加1分，具备评估培训所需教学设备，加1分。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DBA9A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6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C8E19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得</w:t>
            </w:r>
            <w:r>
              <w:rPr>
                <w:rFonts w:asci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eastAsia="宋体" w:cs="Times New Roman"/>
                <w:sz w:val="21"/>
                <w:szCs w:val="21"/>
              </w:rPr>
              <w:t xml:space="preserve"> 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41AF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6C7D5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B9941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10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133047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2FC938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7305F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建立评估流程、评估费用管理规范制度，得1分；权责清晰，便于执行的，加2分。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7B435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2D4C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得</w:t>
            </w:r>
            <w:r>
              <w:rPr>
                <w:rFonts w:asci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eastAsia="宋体" w:cs="Times New Roman"/>
                <w:sz w:val="21"/>
                <w:szCs w:val="21"/>
              </w:rPr>
              <w:t xml:space="preserve"> 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B807F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362CB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66234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11</w:t>
            </w:r>
          </w:p>
        </w:tc>
        <w:tc>
          <w:tcPr>
            <w:tcW w:w="16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12386F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0BE879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21E09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为评估人员配备统一工作</w:t>
            </w:r>
            <w:r>
              <w:rPr>
                <w:rFonts w:hint="eastAsia" w:ascii="Times New Roman" w:eastAsia="宋体" w:cs="Times New Roman"/>
                <w:sz w:val="21"/>
                <w:szCs w:val="21"/>
              </w:rPr>
              <w:t>证</w:t>
            </w:r>
            <w:r>
              <w:rPr>
                <w:rFonts w:ascii="Times New Roman" w:eastAsia="宋体" w:cs="Times New Roman"/>
                <w:sz w:val="21"/>
                <w:szCs w:val="21"/>
              </w:rPr>
              <w:t>，得1分；配备统一工作</w:t>
            </w:r>
            <w:r>
              <w:rPr>
                <w:rFonts w:hint="eastAsia" w:ascii="Times New Roman" w:eastAsia="宋体" w:cs="Times New Roman"/>
                <w:sz w:val="21"/>
                <w:szCs w:val="21"/>
              </w:rPr>
              <w:t>服</w:t>
            </w:r>
            <w:r>
              <w:rPr>
                <w:rFonts w:ascii="Times New Roman" w:eastAsia="宋体" w:cs="Times New Roman"/>
                <w:sz w:val="21"/>
                <w:szCs w:val="21"/>
              </w:rPr>
              <w:t>，加1分。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6FBF7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CEB26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得</w:t>
            </w:r>
            <w:r>
              <w:rPr>
                <w:rFonts w:asci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eastAsia="宋体" w:cs="Times New Roman"/>
                <w:sz w:val="21"/>
                <w:szCs w:val="21"/>
              </w:rPr>
              <w:t xml:space="preserve"> 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60863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681D3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2D004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12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31952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具备与评估工作相适应的专业化人员队伍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F3FF8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一级指标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5FD7C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具备与评估工作相适应的专业化人员队伍。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A6992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／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0D29D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符合□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不符合□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CC34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4CB92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8EF1B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13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9B415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E31D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二级指标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（30分）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BD9E2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配备评估员和评估专家分别各不少于2人，得2分；每增加</w:t>
            </w:r>
            <w:r>
              <w:rPr>
                <w:rFonts w:hint="eastAsia" w:ascii="Times New Roman" w:eastAsia="宋体" w:cs="Times New Roman"/>
                <w:sz w:val="21"/>
                <w:szCs w:val="21"/>
              </w:rPr>
              <w:t>1</w:t>
            </w:r>
            <w:r>
              <w:rPr>
                <w:rFonts w:ascii="Times New Roman" w:eastAsia="宋体" w:cs="Times New Roman"/>
                <w:sz w:val="21"/>
                <w:szCs w:val="21"/>
              </w:rPr>
              <w:t>名评估专家，加</w:t>
            </w:r>
            <w:r>
              <w:rPr>
                <w:rFonts w:hint="eastAsia" w:ascii="Times New Roman" w:eastAsia="宋体" w:cs="Times New Roman"/>
                <w:sz w:val="21"/>
                <w:szCs w:val="21"/>
              </w:rPr>
              <w:t>1</w:t>
            </w:r>
            <w:r>
              <w:rPr>
                <w:rFonts w:ascii="Times New Roman" w:eastAsia="宋体" w:cs="Times New Roman"/>
                <w:sz w:val="21"/>
                <w:szCs w:val="21"/>
              </w:rPr>
              <w:t>分，最高不超过18分。</w:t>
            </w:r>
            <w:r>
              <w:rPr>
                <w:rFonts w:hint="eastAsia" w:ascii="Times New Roman" w:eastAsia="宋体" w:cs="Times New Roman"/>
                <w:sz w:val="21"/>
                <w:szCs w:val="21"/>
              </w:rPr>
              <w:t>其中，</w:t>
            </w:r>
            <w:r>
              <w:rPr>
                <w:rFonts w:ascii="Times New Roman" w:eastAsia="宋体" w:cs="Times New Roman"/>
                <w:sz w:val="21"/>
                <w:szCs w:val="21"/>
              </w:rPr>
              <w:t>评估专家具备5年以上相关专业工作经历的，每1名加1分，最高不超过10分。（评估员须具备医学、护理、康复、心理、长期照护、养老服务与管理等相关专业背景，从事相关专业工作2年（含）以上；评估专家须具备临床医学、护理、康复、精神心理等领域中级及以上职称和2年（含）以上相关工作经历）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26A79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30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B86B6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得</w:t>
            </w:r>
            <w:r>
              <w:rPr>
                <w:rFonts w:asci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eastAsia="宋体" w:cs="Times New Roman"/>
                <w:sz w:val="21"/>
                <w:szCs w:val="21"/>
              </w:rPr>
              <w:t xml:space="preserve"> 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BDD64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68E3E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B58B6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14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73329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具有符合评估服务协议要求的服务管理、财务管理、 信息统计、内控管理、人员管理、档案管理、信息安全等制度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254E2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一级指标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F2349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具有符合评估服务协议要求的服务管理、财务管理、信息统计、内控管理、人员管理、档案管理等制度。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9A8C6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／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C7426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符合□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不符合□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07C79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483A9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14E4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15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59121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D5875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二级指标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（20分）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7668E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1.有失能等级评估质量监督及评价方案的，得1分，方案完整、合理、可操作落实的，加2分。</w:t>
            </w:r>
          </w:p>
          <w:p w14:paraId="68863E8F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2.建立评估人员技能培训考核制度，得1分，考核制度落地性强，并建立能进能退的淘汰机制，加2分。</w:t>
            </w:r>
          </w:p>
          <w:p w14:paraId="011AE026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3.建立评估档案管理制度，得1分，按要求做好失能等级评估申请材料、评估过程相关记录、评估结论书、内部管理控制相关记录等档案的留存归档的，加2分。</w:t>
            </w:r>
          </w:p>
          <w:p w14:paraId="7F15D05E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4.建立长期护理保险信息安全管理制度，得1分。</w:t>
            </w:r>
          </w:p>
          <w:p w14:paraId="02E799B1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5.建立失能等级评估风险管理机制，得1分，所建机制针对各类意外风险，有对应的防范措施，加2分。</w:t>
            </w:r>
          </w:p>
          <w:p w14:paraId="09FFDDC4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6.定期组织评估人员参加急救等相关安全教育培训，评估人员熟悉急救知识，掌握急救技能的（申请机构提供培训记录、考核记录等），得3分。</w:t>
            </w:r>
          </w:p>
          <w:p w14:paraId="37EB601A">
            <w:pPr>
              <w:spacing w:after="0" w:line="360" w:lineRule="exact"/>
              <w:jc w:val="both"/>
              <w:rPr>
                <w:rFonts w:ascii="Times New Roman" w:eastAsia="宋体" w:cs="Times New Roman"/>
                <w:strike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7.配备‌具备专业能力的兼职财务人员，得2分；配备‌具备专业能力的专职财务人员，得4分（提供人员相关资质等证明材料）。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2A33F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20</w:t>
            </w:r>
          </w:p>
          <w:p w14:paraId="3ACD8253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D8D34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得</w:t>
            </w:r>
            <w:r>
              <w:rPr>
                <w:rFonts w:asci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eastAsia="宋体" w:cs="Times New Roman"/>
                <w:sz w:val="21"/>
                <w:szCs w:val="21"/>
              </w:rPr>
              <w:t xml:space="preserve"> 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F090A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36541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6A860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16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62757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信息化支撑能力能够满足长期护理保险信息化要求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024D9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一级指标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2766B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具备使用全国统一的医保信息平台长期护理保险相关功能，与医保信息平台长期护理保险功能模块按接口标准进行对接等条件，环境内实行专机专用、专网专用，按照国家相关法律要求，提供必要的网信安全保障措施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5BBB0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／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E4074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符合□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不符合□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B832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17D42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DE973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17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1D2F8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7470A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二级指标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（13分）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D2766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1.具备与国家医保信息平台长期护理模块对接的技术能力（需提供技术能力相关证明材料），得2分。能在成为定点评估机构后1个月内完成本机构与国家医保信息平台长期护理模块技术改造工作，加3分。</w:t>
            </w:r>
          </w:p>
          <w:p w14:paraId="77FD2295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2.有信息技术管理维护人员，得2分。故障发生时</w:t>
            </w:r>
            <w:r>
              <w:rPr>
                <w:rFonts w:hint="eastAsia" w:ascii="Times New Roman" w:eastAsia="宋体" w:cs="Times New Roman"/>
                <w:sz w:val="21"/>
                <w:szCs w:val="21"/>
              </w:rPr>
              <w:t>能</w:t>
            </w:r>
            <w:r>
              <w:rPr>
                <w:rFonts w:ascii="Times New Roman" w:eastAsia="宋体" w:cs="Times New Roman"/>
                <w:sz w:val="21"/>
                <w:szCs w:val="21"/>
              </w:rPr>
              <w:t>及时处理，响应时长≤1小时，加3分。</w:t>
            </w:r>
          </w:p>
          <w:p w14:paraId="4524A69D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3.具备通过医保专网接入国家医保信息平台长期护理管理系统</w:t>
            </w:r>
            <w:r>
              <w:rPr>
                <w:rFonts w:hint="eastAsia" w:ascii="Times New Roman" w:eastAsia="宋体" w:cs="Times New Roman"/>
                <w:sz w:val="21"/>
                <w:szCs w:val="21"/>
              </w:rPr>
              <w:t>能力</w:t>
            </w:r>
            <w:r>
              <w:rPr>
                <w:rFonts w:ascii="Times New Roman" w:eastAsia="宋体" w:cs="Times New Roman"/>
                <w:sz w:val="21"/>
                <w:szCs w:val="21"/>
              </w:rPr>
              <w:t>，并与互联网物理隔离，配备防火墙、入侵检测、数据备份等安全防护设施，符合医保网络安全保护要求，得3分。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8B1DF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13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C93E1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得</w:t>
            </w:r>
            <w:r>
              <w:rPr>
                <w:rFonts w:asci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eastAsia="宋体" w:cs="Times New Roman"/>
                <w:sz w:val="21"/>
                <w:szCs w:val="21"/>
              </w:rPr>
              <w:t xml:space="preserve"> 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1C660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1F913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8DA55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18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CCEA4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具备长期护理保险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档案管理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条件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0224C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一级指标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0AAB4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按照长护险“一人一档”建设要求，档案由专人负责管理、固定存放区域、一人一档且标识清楚，能根据工作要求及时调阅。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1BE4A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／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E0350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符合□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不符合□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1D33A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489BB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9A12C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19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8D0E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3F9E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二级指标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（5分）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7CD2A">
            <w:pPr>
              <w:spacing w:after="0" w:line="360" w:lineRule="exact"/>
              <w:jc w:val="both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具备评估对象“一人一档”的全周期档案管理条件，得2分，实行电子化档案管理的，加3分。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6BCD2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681CF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得</w:t>
            </w:r>
            <w:r>
              <w:rPr>
                <w:rFonts w:asci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eastAsia="宋体" w:cs="Times New Roman"/>
                <w:sz w:val="21"/>
                <w:szCs w:val="21"/>
              </w:rPr>
              <w:t xml:space="preserve"> 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E9A8B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08ACB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2" w:hRule="atLeast"/>
          <w:jc w:val="center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CADA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20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F8D07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无不予受</w:t>
            </w:r>
          </w:p>
          <w:p w14:paraId="5E4234CF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理的情况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0DF5D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一级指标</w:t>
            </w:r>
          </w:p>
        </w:tc>
        <w:tc>
          <w:tcPr>
            <w:tcW w:w="8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5B76C">
            <w:pPr>
              <w:pStyle w:val="11"/>
              <w:spacing w:after="0" w:line="360" w:lineRule="exact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无以下不予受理情形：</w:t>
            </w:r>
          </w:p>
          <w:p w14:paraId="694A6C65">
            <w:pPr>
              <w:pStyle w:val="11"/>
              <w:spacing w:after="0" w:line="360" w:lineRule="exact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1.采取伪造、篡改申请材料等不正当手段申请定点评估机构，自发现之日起未满3年的。</w:t>
            </w:r>
          </w:p>
          <w:p w14:paraId="672D4770">
            <w:pPr>
              <w:pStyle w:val="11"/>
              <w:spacing w:after="0" w:line="360" w:lineRule="exact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2.因违法违规解除评估服务协议未满3年或已满3年但未完全履行行政处罚法律责任的。</w:t>
            </w:r>
          </w:p>
          <w:p w14:paraId="4F1A9157">
            <w:pPr>
              <w:pStyle w:val="11"/>
              <w:spacing w:after="0" w:line="360" w:lineRule="exact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3.因严重违反评估服务协议约定而被解除协议未满1年或已满1年但未完全履行违约责任的。</w:t>
            </w:r>
          </w:p>
          <w:p w14:paraId="4946A7E6">
            <w:pPr>
              <w:pStyle w:val="11"/>
              <w:spacing w:after="0" w:line="360" w:lineRule="exact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4.原定点评估机构因法定代表人、主要负责人或实际控制人违法违规导致解除协议，未满3年又成立新机构的。</w:t>
            </w:r>
          </w:p>
          <w:p w14:paraId="36A3EE9C">
            <w:pPr>
              <w:pStyle w:val="11"/>
              <w:spacing w:after="0" w:line="360" w:lineRule="exact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5.法定代表人、主要负责人或实际控制人被列入失信人名单的。</w:t>
            </w:r>
          </w:p>
          <w:p w14:paraId="4A059829">
            <w:pPr>
              <w:pStyle w:val="11"/>
              <w:spacing w:after="0" w:line="360" w:lineRule="exact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.不符合长期护理保险法律法规和相关政策规定的其他情形。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B2D4B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／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56C43">
            <w:pPr>
              <w:spacing w:line="32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符合□</w:t>
            </w:r>
            <w:r>
              <w:rPr>
                <w:rFonts w:ascii="Times New Roman" w:eastAsia="宋体" w:cs="Times New Roman"/>
                <w:sz w:val="21"/>
                <w:szCs w:val="21"/>
              </w:rPr>
              <w:br w:type="textWrapping"/>
            </w:r>
            <w:r>
              <w:rPr>
                <w:rFonts w:ascii="Times New Roman" w:eastAsia="宋体" w:cs="Times New Roman"/>
                <w:sz w:val="21"/>
                <w:szCs w:val="21"/>
              </w:rPr>
              <w:t>不符合□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73443">
            <w:pPr>
              <w:spacing w:line="360" w:lineRule="exact"/>
              <w:jc w:val="center"/>
              <w:rPr>
                <w:rFonts w:ascii="Times New Roman" w:eastAsia="宋体" w:cs="Times New Roman"/>
                <w:sz w:val="21"/>
                <w:szCs w:val="21"/>
              </w:rPr>
            </w:pPr>
          </w:p>
        </w:tc>
      </w:tr>
      <w:tr w14:paraId="5C82C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49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7A1B0">
            <w:pPr>
              <w:spacing w:line="360" w:lineRule="exact"/>
              <w:ind w:firstLine="723" w:firstLineChars="300"/>
              <w:jc w:val="both"/>
              <w:rPr>
                <w:rFonts w:ascii="Times New Roman" w:eastAsia="黑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评估结果：  一级指标 符合□  不符合□，   二级指标共得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分</w:t>
            </w:r>
          </w:p>
        </w:tc>
      </w:tr>
    </w:tbl>
    <w:p w14:paraId="1F798D25">
      <w:pPr>
        <w:pStyle w:val="12"/>
        <w:ind w:firstLine="536"/>
        <w:rPr>
          <w:sz w:val="28"/>
          <w:szCs w:val="28"/>
        </w:rPr>
      </w:pPr>
      <w:r>
        <w:rPr>
          <w:sz w:val="28"/>
          <w:szCs w:val="28"/>
        </w:rPr>
        <w:t>备注：1.一级指标有一项不符合，评估结果即为不合格；一级指标全部符合，且二级指标得分大于90分，则综合审核结果为合格。</w:t>
      </w:r>
    </w:p>
    <w:p w14:paraId="15289285">
      <w:pPr>
        <w:pStyle w:val="12"/>
        <w:ind w:firstLine="536"/>
        <w:rPr>
          <w:sz w:val="28"/>
          <w:szCs w:val="28"/>
        </w:rPr>
      </w:pPr>
      <w:r>
        <w:rPr>
          <w:sz w:val="28"/>
          <w:szCs w:val="28"/>
        </w:rPr>
        <w:t>2.以上为差异化指标，根据得分择优确定定点评估机构。</w:t>
      </w:r>
    </w:p>
    <w:p w14:paraId="5089B622">
      <w:pPr>
        <w:pStyle w:val="12"/>
        <w:ind w:firstLine="536"/>
        <w:rPr>
          <w:sz w:val="28"/>
          <w:szCs w:val="28"/>
        </w:rPr>
      </w:pPr>
      <w:r>
        <w:rPr>
          <w:sz w:val="28"/>
          <w:szCs w:val="28"/>
        </w:rPr>
        <w:t>3.本表格一式两份，申请机构、经办机构各留存一份。</w:t>
      </w:r>
    </w:p>
    <w:p w14:paraId="4E1D0A92">
      <w:pPr>
        <w:rPr>
          <w:rFonts w:ascii="Times New Roman" w:eastAsia="仿宋_GB2312" w:cs="Times New Roman"/>
          <w:sz w:val="28"/>
          <w:szCs w:val="28"/>
        </w:rPr>
      </w:pPr>
    </w:p>
    <w:p w14:paraId="4B2B632C">
      <w:pPr>
        <w:rPr>
          <w:rFonts w:ascii="Times New Roman" w:eastAsia="仿宋_GB2312" w:cs="Times New Roman"/>
          <w:sz w:val="28"/>
          <w:szCs w:val="28"/>
        </w:rPr>
      </w:pPr>
      <w:r>
        <w:rPr>
          <w:rFonts w:ascii="Times New Roman" w:eastAsia="仿宋_GB2312" w:cs="Times New Roman"/>
          <w:sz w:val="28"/>
          <w:szCs w:val="28"/>
        </w:rPr>
        <w:t>现场评估人员签字确认：                                          申请机构签字确认（盖章）：</w:t>
      </w:r>
    </w:p>
    <w:p w14:paraId="5A886A8C">
      <w:pPr>
        <w:rPr>
          <w:rFonts w:hint="eastAsia" w:ascii="仿宋_GB2312" w:hAnsi="仿宋_GB2312" w:eastAsia="仿宋_GB2312" w:cs="仿宋_GB2312"/>
          <w:sz w:val="24"/>
        </w:rPr>
      </w:pPr>
      <w:r>
        <w:rPr>
          <w:rFonts w:ascii="Times New Roman" w:eastAsia="仿宋_GB2312" w:cs="Times New Roman"/>
          <w:sz w:val="24"/>
        </w:rPr>
        <w:t xml:space="preserve"> 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53862088"/>
    </w:sdtPr>
    <w:sdtContent>
      <w:p w14:paraId="67CD5436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B249D18">
    <w:pPr>
      <w:spacing w:line="340" w:lineRule="exac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290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C5"/>
    <w:rsid w:val="00000073"/>
    <w:rsid w:val="00016CCB"/>
    <w:rsid w:val="000327C5"/>
    <w:rsid w:val="000769D0"/>
    <w:rsid w:val="000B289B"/>
    <w:rsid w:val="000B6D23"/>
    <w:rsid w:val="000C4F30"/>
    <w:rsid w:val="000D37AB"/>
    <w:rsid w:val="000D47AD"/>
    <w:rsid w:val="000F7780"/>
    <w:rsid w:val="00140820"/>
    <w:rsid w:val="00154338"/>
    <w:rsid w:val="0019412D"/>
    <w:rsid w:val="001F186D"/>
    <w:rsid w:val="00223E51"/>
    <w:rsid w:val="002262ED"/>
    <w:rsid w:val="002328DC"/>
    <w:rsid w:val="00296573"/>
    <w:rsid w:val="003720DE"/>
    <w:rsid w:val="003960E8"/>
    <w:rsid w:val="00417F57"/>
    <w:rsid w:val="00441A7C"/>
    <w:rsid w:val="00547FCB"/>
    <w:rsid w:val="00612559"/>
    <w:rsid w:val="00620563"/>
    <w:rsid w:val="00680084"/>
    <w:rsid w:val="006C024E"/>
    <w:rsid w:val="00746428"/>
    <w:rsid w:val="007F2CC1"/>
    <w:rsid w:val="0089361B"/>
    <w:rsid w:val="008A242B"/>
    <w:rsid w:val="008D27DD"/>
    <w:rsid w:val="008D7987"/>
    <w:rsid w:val="009964D3"/>
    <w:rsid w:val="00A70FB8"/>
    <w:rsid w:val="00A7630B"/>
    <w:rsid w:val="00AB63C4"/>
    <w:rsid w:val="00AF54EC"/>
    <w:rsid w:val="00B512A1"/>
    <w:rsid w:val="00B55407"/>
    <w:rsid w:val="00BD6773"/>
    <w:rsid w:val="00BF2B15"/>
    <w:rsid w:val="00BF38A4"/>
    <w:rsid w:val="00C05E5A"/>
    <w:rsid w:val="00CA182A"/>
    <w:rsid w:val="00CA4218"/>
    <w:rsid w:val="00CD1339"/>
    <w:rsid w:val="00D40EB8"/>
    <w:rsid w:val="00D60C7D"/>
    <w:rsid w:val="00D74076"/>
    <w:rsid w:val="00DC78B0"/>
    <w:rsid w:val="00DE4ABE"/>
    <w:rsid w:val="00E135D7"/>
    <w:rsid w:val="00E53248"/>
    <w:rsid w:val="00E54328"/>
    <w:rsid w:val="00E64D03"/>
    <w:rsid w:val="00EB7C8E"/>
    <w:rsid w:val="00F32C76"/>
    <w:rsid w:val="00FC5D01"/>
    <w:rsid w:val="070E5166"/>
    <w:rsid w:val="198A56EF"/>
    <w:rsid w:val="27AA6DBF"/>
    <w:rsid w:val="29CA4614"/>
    <w:rsid w:val="551531E2"/>
    <w:rsid w:val="7FFDD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Times New Roman" w:eastAsia="等线" w:cs="Arial"/>
      <w:kern w:val="2"/>
      <w:sz w:val="22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36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29"/>
    <w:semiHidden/>
    <w:unhideWhenUsed/>
    <w:qFormat/>
    <w:uiPriority w:val="99"/>
    <w:rPr>
      <w:rFonts w:asciiTheme="minorHAnsi" w:hAnsiTheme="minorHAnsi" w:eastAsiaTheme="minorEastAsia" w:cstheme="minorBidi"/>
      <w14:ligatures w14:val="standardContextual"/>
    </w:rPr>
  </w:style>
  <w:style w:type="paragraph" w:styleId="12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3">
    <w:name w:val="footer"/>
    <w:basedOn w:val="1"/>
    <w:link w:val="35"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hAnsi="Calibri" w:eastAsia="宋体"/>
      <w:kern w:val="0"/>
      <w:sz w:val="18"/>
      <w:szCs w:val="22"/>
    </w:rPr>
  </w:style>
  <w:style w:type="paragraph" w:styleId="1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0"/>
    <w:pPr>
      <w:spacing w:after="0" w:line="240" w:lineRule="auto"/>
      <w:jc w:val="both"/>
    </w:pPr>
    <w:rPr>
      <w:rFonts w:ascii="Calibri" w:hAnsi="Calibri" w:eastAsia="宋体"/>
      <w:kern w:val="0"/>
      <w:sz w:val="21"/>
      <w:szCs w:val="22"/>
    </w:rPr>
  </w:style>
  <w:style w:type="paragraph" w:styleId="16">
    <w:name w:val="Subtitle"/>
    <w:next w:val="1"/>
    <w:qFormat/>
    <w:uiPriority w:val="11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Calibri" w:hAnsi="Calibri" w:eastAsia="宋体" w:cs="Times New Roman"/>
      <w:kern w:val="0"/>
      <w:sz w:val="24"/>
      <w:szCs w:val="22"/>
    </w:rPr>
  </w:style>
  <w:style w:type="paragraph" w:styleId="18">
    <w:name w:val="Title"/>
    <w:next w:val="1"/>
    <w:qFormat/>
    <w:uiPriority w:val="1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styleId="21">
    <w:name w:val="Hyperlink"/>
    <w:basedOn w:val="20"/>
    <w:qFormat/>
    <w:uiPriority w:val="0"/>
    <w:rPr>
      <w:color w:val="0563C1"/>
      <w:u w:val="single"/>
    </w:rPr>
  </w:style>
  <w:style w:type="character" w:styleId="22">
    <w:name w:val="annotation reference"/>
    <w:basedOn w:val="20"/>
    <w:semiHidden/>
    <w:unhideWhenUsed/>
    <w:qFormat/>
    <w:uiPriority w:val="99"/>
    <w:rPr>
      <w:sz w:val="21"/>
      <w:szCs w:val="21"/>
    </w:rPr>
  </w:style>
  <w:style w:type="paragraph" w:styleId="23">
    <w:name w:val="Quote"/>
    <w:basedOn w:val="1"/>
    <w:next w:val="1"/>
    <w:qFormat/>
    <w:uiPriority w:val="0"/>
    <w:pPr>
      <w:spacing w:before="160"/>
      <w:jc w:val="center"/>
    </w:pPr>
    <w:rPr>
      <w:i/>
      <w:iCs/>
      <w:color w:val="404040"/>
    </w:rPr>
  </w:style>
  <w:style w:type="paragraph" w:styleId="24">
    <w:name w:val="List Paragraph"/>
    <w:basedOn w:val="1"/>
    <w:qFormat/>
    <w:uiPriority w:val="0"/>
    <w:pPr>
      <w:ind w:left="720"/>
      <w:contextualSpacing/>
    </w:pPr>
  </w:style>
  <w:style w:type="character" w:customStyle="1" w:styleId="25">
    <w:name w:val="明显强调1"/>
    <w:basedOn w:val="20"/>
    <w:qFormat/>
    <w:uiPriority w:val="0"/>
    <w:rPr>
      <w:i/>
      <w:iCs/>
      <w:color w:val="2F5496"/>
    </w:rPr>
  </w:style>
  <w:style w:type="paragraph" w:styleId="26">
    <w:name w:val="Intense Quote"/>
    <w:basedOn w:val="1"/>
    <w:next w:val="1"/>
    <w:qFormat/>
    <w:uiPriority w:val="0"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27">
    <w:name w:val="明显参考1"/>
    <w:basedOn w:val="20"/>
    <w:qFormat/>
    <w:uiPriority w:val="0"/>
    <w:rPr>
      <w:b/>
      <w:bCs/>
      <w:smallCaps/>
      <w:color w:val="2F5496"/>
      <w:spacing w:val="5"/>
    </w:rPr>
  </w:style>
  <w:style w:type="character" w:customStyle="1" w:styleId="28">
    <w:name w:val="未处理的提及1"/>
    <w:basedOn w:val="20"/>
    <w:qFormat/>
    <w:uiPriority w:val="0"/>
    <w:rPr>
      <w:color w:val="605E5C"/>
      <w:shd w:val="clear" w:color="auto" w:fill="E1DFDD"/>
    </w:rPr>
  </w:style>
  <w:style w:type="character" w:customStyle="1" w:styleId="29">
    <w:name w:val="批注文字 字符"/>
    <w:basedOn w:val="20"/>
    <w:link w:val="11"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14:ligatures w14:val="standardContextual"/>
    </w:rPr>
  </w:style>
  <w:style w:type="paragraph" w:customStyle="1" w:styleId="30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character" w:customStyle="1" w:styleId="31">
    <w:name w:val="标题 2 Char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2">
    <w:name w:val="标题 2 Char1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3">
    <w:name w:val="标题 2 Char2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4">
    <w:name w:val="标题 2 字符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5">
    <w:name w:val="页脚 字符"/>
    <w:basedOn w:val="20"/>
    <w:link w:val="13"/>
    <w:qFormat/>
    <w:uiPriority w:val="99"/>
    <w:rPr>
      <w:rFonts w:ascii="Calibri" w:hAnsi="Calibri" w:cs="Arial"/>
      <w:sz w:val="18"/>
      <w:szCs w:val="22"/>
    </w:rPr>
  </w:style>
  <w:style w:type="character" w:customStyle="1" w:styleId="36">
    <w:name w:val="标题 2 字符1"/>
    <w:link w:val="3"/>
    <w:qFormat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688d97ca-a6ed-4e95-ae0d-b6c0c3f05d14</errorID>
      <errorWord xmlns="http://schemas.wps.cn/vas-ai-hub/contract-review">组织组织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组织</item>
      </candidateList>
      <explain xmlns="http://schemas.wps.cn/vas-ai-hub/contract-review">❶〈动〉安排分散的人或事物使具有一定的系统性或整体性：～人力｜～联欢晚会｜这篇文章～得很好。❷〈名〉系统；配合关系：～严密｜～松散。❸〈名〉纺织品经纬纱线的结构：平纹～｜斜纹～｜缎纹～。❹〈名〉机体中构成器官的单位，是由许多形态和功能相同的细胞按一定的方式结合而成的。人和高等动物体内有上皮组织、结缔组织、肌组织和神经组织。</explain>
      <paraID xmlns="http://schemas.wps.cn/vas-ai-hub/contract-review">4C4A310C</paraID>
      <start xmlns="http://schemas.wps.cn/vas-ai-hub/contract-review">21</start>
      <end xmlns="http://schemas.wps.cn/vas-ai-hub/contract-review">23</end>
      <status xmlns="http://schemas.wps.cn/vas-ai-hub/contract-review">modified</status>
      <modifiedWord xmlns="http://schemas.wps.cn/vas-ai-hub/contract-review">组织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47c0e23c-3e6a-4dba-a683-78c45f6fc043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3AD597A6</paraID>
      <start xmlns="http://schemas.wps.cn/vas-ai-hub/contract-review">17</start>
      <end xmlns="http://schemas.wps.cn/vas-ai-hub/contract-review">24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f81c4011-13de-48b2-a4c1-5653b1e527aa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/>
      <explain xmlns="http://schemas.wps.cn/vas-ai-hub/contract-review">同一形式括号套用。</explain>
      <paraID xmlns="http://schemas.wps.cn/vas-ai-hub/contract-review">65BE8F29</paraID>
      <start xmlns="http://schemas.wps.cn/vas-ai-hub/contract-review">134</start>
      <end xmlns="http://schemas.wps.cn/vas-ai-hub/contract-review">135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f71fb6fd-080a-4270-a775-e459151e65d3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/>
      <explain xmlns="http://schemas.wps.cn/vas-ai-hub/contract-review">同一形式括号套用。</explain>
      <paraID xmlns="http://schemas.wps.cn/vas-ai-hub/contract-review">65BE8F29</paraID>
      <start xmlns="http://schemas.wps.cn/vas-ai-hub/contract-review">136</start>
      <end xmlns="http://schemas.wps.cn/vas-ai-hub/contract-review">137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a3a3a625-c9cd-44a5-b5a9-66d3df1c6273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/>
      <explain xmlns="http://schemas.wps.cn/vas-ai-hub/contract-review">同一形式括号套用。</explain>
      <paraID xmlns="http://schemas.wps.cn/vas-ai-hub/contract-review">65BE8F29</paraID>
      <start xmlns="http://schemas.wps.cn/vas-ai-hub/contract-review">175</start>
      <end xmlns="http://schemas.wps.cn/vas-ai-hub/contract-review">176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3e9b4c69-5806-47fd-b57c-e38e7ac3e69e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/>
      <explain xmlns="http://schemas.wps.cn/vas-ai-hub/contract-review">同一形式括号套用。</explain>
      <paraID xmlns="http://schemas.wps.cn/vas-ai-hub/contract-review">65BE8F29</paraID>
      <start xmlns="http://schemas.wps.cn/vas-ai-hub/contract-review">177</start>
      <end xmlns="http://schemas.wps.cn/vas-ai-hub/contract-review">178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  <sectPr xmlns="http://www.yozosoft.com.cn/officeDocument/2016/customData"/>
    <sectPr xmlns="http://www.yozosoft.com.cn/officeDocument/2016/customData"/>
    <sectPr xmlns="http://www.yozosoft.com.cn/officeDocument/2016/customData"/>
    <sectPr xmlns="http://www.yozosoft.com.cn/officeDocument/2016/customData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4835A5C9-3A3A-4A9D-AC64-9802598309B4}">
  <ds:schemaRefs/>
</ds:datastoreItem>
</file>

<file path=customXml/itemProps2.xml><?xml version="1.0" encoding="utf-8"?>
<ds:datastoreItem xmlns:ds="http://schemas.openxmlformats.org/officeDocument/2006/customXml" ds:itemID="{F3210133-419D-423E-A5EA-163D13F840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1114</Words>
  <Characters>6355</Characters>
  <Lines>52</Lines>
  <Paragraphs>14</Paragraphs>
  <TotalTime>13</TotalTime>
  <ScaleCrop>false</ScaleCrop>
  <LinksUpToDate>false</LinksUpToDate>
  <CharactersWithSpaces>7455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2026-06-09T16:07:00Z</dcterms:created>
  <dc:creator>李建辉</dc:creator>
  <cp:lastModifiedBy>user</cp:lastModifiedBy>
  <cp:lastPrinted>2026-06-08T11:04:00Z</cp:lastPrinted>
  <dcterms:modified xsi:type="dcterms:W3CDTF">2026-08-13T17:26:08Z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eyJoZGlkIjoiZTljNGI5YmUwOWFjN2U3N2IwZjQ0M2M1OGJhMTJkYjQiLCJ1c2VySWQiOiIzOTA3NzI2MTkifQ==</vt:lpwstr>
  </property>
  <property fmtid="{D5CDD505-2E9C-101B-9397-08002B2CF9AE}" pid="3" name="KSOProductBuildVer">
    <vt:lpwstr>2052-12.8.2.1119</vt:lpwstr>
  </property>
  <property fmtid="{D5CDD505-2E9C-101B-9397-08002B2CF9AE}" pid="4" name="ICV">
    <vt:lpwstr>2842EFE88AA941B1ACD9056B7460DBFB_12</vt:lpwstr>
  </property>
</Properties>
</file>