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6136E">
      <w:pPr>
        <w:pStyle w:val="30"/>
        <w:rPr>
          <w:rFonts w:hint="eastAsia"/>
        </w:rPr>
      </w:pPr>
      <w:r>
        <w:t>附件4：</w:t>
      </w:r>
    </w:p>
    <w:p w14:paraId="2B7432C3">
      <w:pPr>
        <w:pStyle w:val="18"/>
        <w:rPr>
          <w:rFonts w:hint="eastAsia"/>
        </w:rPr>
      </w:pPr>
      <w:r>
        <w:t>攀枝花市长期护理保险失能评估定点评估机构申请资料收讫补正告知书</w:t>
      </w:r>
    </w:p>
    <w:p w14:paraId="23CC277A">
      <w:pPr>
        <w:pStyle w:val="15"/>
        <w:rPr>
          <w:rFonts w:ascii="Times New Roman" w:hAnsi="Times New Roman" w:cs="Times New Roman"/>
        </w:rPr>
      </w:pPr>
    </w:p>
    <w:tbl>
      <w:tblPr>
        <w:tblStyle w:val="19"/>
        <w:tblW w:w="5486" w:type="pct"/>
        <w:jc w:val="center"/>
        <w:tblLayout w:type="fixed"/>
        <w:tblCellMar>
          <w:top w:w="0" w:type="dxa"/>
          <w:left w:w="108" w:type="dxa"/>
          <w:bottom w:w="0" w:type="dxa"/>
          <w:right w:w="108" w:type="dxa"/>
        </w:tblCellMar>
      </w:tblPr>
      <w:tblGrid>
        <w:gridCol w:w="9350"/>
      </w:tblGrid>
      <w:tr w14:paraId="7DF7986E">
        <w:tblPrEx>
          <w:tblCellMar>
            <w:top w:w="0" w:type="dxa"/>
            <w:left w:w="108" w:type="dxa"/>
            <w:bottom w:w="0" w:type="dxa"/>
            <w:right w:w="108" w:type="dxa"/>
          </w:tblCellMar>
        </w:tblPrEx>
        <w:trPr>
          <w:trHeight w:val="501" w:hRule="atLeast"/>
          <w:jc w:val="center"/>
        </w:trPr>
        <w:tc>
          <w:tcPr>
            <w:tcW w:w="5000" w:type="pct"/>
            <w:tcBorders>
              <w:top w:val="single" w:color="000000" w:sz="4" w:space="0"/>
              <w:left w:val="single" w:color="000000" w:sz="4" w:space="0"/>
              <w:bottom w:val="single" w:color="000000" w:sz="4" w:space="0"/>
              <w:right w:val="single" w:color="000000" w:sz="4" w:space="0"/>
            </w:tcBorders>
            <w:noWrap/>
            <w:vAlign w:val="center"/>
          </w:tcPr>
          <w:p w14:paraId="6A13357B">
            <w:pPr>
              <w:widowControl/>
              <w:spacing w:line="360" w:lineRule="exact"/>
              <w:jc w:val="center"/>
              <w:textAlignment w:val="center"/>
              <w:rPr>
                <w:rFonts w:hint="eastAsia" w:ascii="黑体" w:hAnsi="黑体" w:eastAsia="黑体" w:cs="Times New Roman"/>
                <w:sz w:val="21"/>
                <w:szCs w:val="21"/>
              </w:rPr>
            </w:pPr>
            <w:r>
              <w:rPr>
                <w:rFonts w:ascii="黑体" w:hAnsi="黑体" w:eastAsia="黑体" w:cs="Times New Roman"/>
                <w:color w:val="000000"/>
                <w:sz w:val="32"/>
                <w:szCs w:val="32"/>
              </w:rPr>
              <w:t>存根联</w:t>
            </w:r>
          </w:p>
        </w:tc>
      </w:tr>
      <w:tr w14:paraId="28CE536B">
        <w:tblPrEx>
          <w:tblCellMar>
            <w:top w:w="0" w:type="dxa"/>
            <w:left w:w="108" w:type="dxa"/>
            <w:bottom w:w="0" w:type="dxa"/>
            <w:right w:w="108" w:type="dxa"/>
          </w:tblCellMar>
        </w:tblPrEx>
        <w:trPr>
          <w:trHeight w:val="2519" w:hRule="atLeast"/>
          <w:jc w:val="center"/>
        </w:trPr>
        <w:tc>
          <w:tcPr>
            <w:tcW w:w="5000" w:type="pct"/>
            <w:tcBorders>
              <w:top w:val="single" w:color="000000" w:sz="4" w:space="0"/>
              <w:left w:val="single" w:color="000000" w:sz="4" w:space="0"/>
              <w:bottom w:val="single" w:color="auto" w:sz="4" w:space="0"/>
              <w:right w:val="single" w:color="000000" w:sz="4" w:space="0"/>
            </w:tcBorders>
            <w:noWrap/>
            <w:vAlign w:val="center"/>
          </w:tcPr>
          <w:p w14:paraId="1E9FB19E">
            <w:pPr>
              <w:widowControl/>
              <w:spacing w:line="360" w:lineRule="exact"/>
              <w:textAlignment w:val="center"/>
              <w:rPr>
                <w:rFonts w:ascii="Times New Roman" w:eastAsia="宋体" w:cs="Times New Roman"/>
                <w:color w:val="000000"/>
                <w:sz w:val="21"/>
                <w:szCs w:val="21"/>
                <w:u w:val="single"/>
              </w:rPr>
            </w:pPr>
            <w:r>
              <w:rPr>
                <w:rFonts w:ascii="Times New Roman" w:eastAsia="宋体" w:cs="Times New Roman"/>
                <w:color w:val="000000"/>
                <w:sz w:val="21"/>
                <w:szCs w:val="21"/>
              </w:rPr>
              <w:t>已收到</w:t>
            </w:r>
            <w:r>
              <w:rPr>
                <w:rFonts w:ascii="Times New Roman" w:eastAsia="宋体" w:cs="Times New Roman"/>
                <w:color w:val="000000"/>
                <w:sz w:val="21"/>
                <w:szCs w:val="21"/>
                <w:u w:val="single"/>
              </w:rPr>
              <w:t xml:space="preserve">                            </w:t>
            </w:r>
            <w:r>
              <w:rPr>
                <w:rFonts w:ascii="Times New Roman" w:eastAsia="宋体" w:cs="Times New Roman"/>
                <w:color w:val="000000"/>
                <w:sz w:val="21"/>
                <w:szCs w:val="21"/>
              </w:rPr>
              <w:t>提交的攀枝花市长期护理保险定点评估机构申请资料：</w:t>
            </w:r>
          </w:p>
          <w:p w14:paraId="6F6DC566">
            <w:pPr>
              <w:widowControl/>
              <w:spacing w:line="360" w:lineRule="exact"/>
              <w:textAlignment w:val="center"/>
              <w:rPr>
                <w:rFonts w:ascii="Times New Roman" w:eastAsia="宋体" w:cs="Times New Roman"/>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1.资料齐备，予以受理</w:t>
            </w:r>
          </w:p>
          <w:p w14:paraId="613AD370">
            <w:pPr>
              <w:widowControl/>
              <w:spacing w:line="360" w:lineRule="exact"/>
              <w:textAlignment w:val="center"/>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2.资料不齐，缺        项资料：                                       ，不予受理。请于    年    月    日前补讫资料，逾期未补讫则视为自愿放弃本次申请。</w:t>
            </w:r>
          </w:p>
        </w:tc>
      </w:tr>
      <w:tr w14:paraId="071C8C71">
        <w:tblPrEx>
          <w:tblCellMar>
            <w:top w:w="0" w:type="dxa"/>
            <w:left w:w="108" w:type="dxa"/>
            <w:bottom w:w="0" w:type="dxa"/>
            <w:right w:w="108" w:type="dxa"/>
          </w:tblCellMar>
        </w:tblPrEx>
        <w:trPr>
          <w:trHeight w:val="1653" w:hRule="atLeast"/>
          <w:jc w:val="center"/>
        </w:trPr>
        <w:tc>
          <w:tcPr>
            <w:tcW w:w="5000" w:type="pct"/>
            <w:tcBorders>
              <w:top w:val="single" w:color="auto" w:sz="4" w:space="0"/>
              <w:left w:val="single" w:color="auto" w:sz="4" w:space="0"/>
              <w:bottom w:val="single" w:color="auto" w:sz="4" w:space="0"/>
              <w:right w:val="single" w:color="auto" w:sz="4" w:space="0"/>
            </w:tcBorders>
            <w:noWrap/>
            <w:vAlign w:val="center"/>
          </w:tcPr>
          <w:p w14:paraId="0E6300A6">
            <w:pPr>
              <w:widowControl/>
              <w:spacing w:line="360" w:lineRule="exact"/>
              <w:textAlignment w:val="center"/>
              <w:rPr>
                <w:rFonts w:ascii="Times New Roman" w:eastAsia="宋体" w:cs="Times New Roman"/>
                <w:color w:val="000000"/>
                <w:sz w:val="21"/>
                <w:szCs w:val="21"/>
              </w:rPr>
            </w:pPr>
            <w:r>
              <w:rPr>
                <w:rFonts w:ascii="Times New Roman" w:eastAsia="宋体" w:cs="Times New Roman"/>
                <w:color w:val="000000"/>
                <w:sz w:val="21"/>
                <w:szCs w:val="21"/>
              </w:rPr>
              <w:t>受理时间：                        医保经办机构盖章：</w:t>
            </w:r>
          </w:p>
        </w:tc>
      </w:tr>
      <w:tr w14:paraId="37D1AAB6">
        <w:tblPrEx>
          <w:tblCellMar>
            <w:top w:w="0" w:type="dxa"/>
            <w:left w:w="108" w:type="dxa"/>
            <w:bottom w:w="0" w:type="dxa"/>
            <w:right w:w="108" w:type="dxa"/>
          </w:tblCellMar>
        </w:tblPrEx>
        <w:trPr>
          <w:trHeight w:val="202" w:hRule="atLeast"/>
          <w:jc w:val="center"/>
        </w:trPr>
        <w:tc>
          <w:tcPr>
            <w:tcW w:w="5000" w:type="pct"/>
            <w:tcBorders>
              <w:top w:val="single" w:color="auto" w:sz="4" w:space="0"/>
              <w:left w:val="nil"/>
              <w:bottom w:val="single" w:color="auto" w:sz="4" w:space="0"/>
              <w:right w:val="nil"/>
            </w:tcBorders>
            <w:noWrap/>
            <w:vAlign w:val="center"/>
          </w:tcPr>
          <w:p w14:paraId="77A2B39E">
            <w:pPr>
              <w:pStyle w:val="15"/>
              <w:rPr>
                <w:rFonts w:ascii="Times New Roman" w:hAnsi="Times New Roman" w:cs="Times New Roman"/>
              </w:rPr>
            </w:pPr>
          </w:p>
        </w:tc>
      </w:tr>
      <w:tr w14:paraId="606B5217">
        <w:tblPrEx>
          <w:tblCellMar>
            <w:top w:w="0" w:type="dxa"/>
            <w:left w:w="108" w:type="dxa"/>
            <w:bottom w:w="0" w:type="dxa"/>
            <w:right w:w="108" w:type="dxa"/>
          </w:tblCellMar>
        </w:tblPrEx>
        <w:trPr>
          <w:trHeight w:val="467" w:hRule="atLeast"/>
          <w:jc w:val="center"/>
        </w:trPr>
        <w:tc>
          <w:tcPr>
            <w:tcW w:w="5000" w:type="pct"/>
            <w:tcBorders>
              <w:top w:val="single" w:color="auto" w:sz="4" w:space="0"/>
              <w:left w:val="single" w:color="auto" w:sz="4" w:space="0"/>
              <w:bottom w:val="single" w:color="auto" w:sz="4" w:space="0"/>
              <w:right w:val="single" w:color="auto" w:sz="4" w:space="0"/>
            </w:tcBorders>
            <w:noWrap/>
            <w:vAlign w:val="center"/>
          </w:tcPr>
          <w:p w14:paraId="018EDAC4">
            <w:pPr>
              <w:widowControl/>
              <w:spacing w:line="360" w:lineRule="exact"/>
              <w:jc w:val="center"/>
              <w:textAlignment w:val="center"/>
              <w:rPr>
                <w:rFonts w:ascii="Times New Roman" w:eastAsia="宋体" w:cs="Times New Roman"/>
                <w:sz w:val="21"/>
                <w:szCs w:val="21"/>
              </w:rPr>
            </w:pPr>
            <w:r>
              <w:rPr>
                <w:rFonts w:ascii="黑体" w:hAnsi="黑体" w:eastAsia="黑体" w:cs="Times New Roman"/>
                <w:color w:val="000000"/>
                <w:sz w:val="32"/>
                <w:szCs w:val="32"/>
              </w:rPr>
              <w:t>告知联</w:t>
            </w:r>
          </w:p>
        </w:tc>
      </w:tr>
      <w:tr w14:paraId="47D54313">
        <w:tblPrEx>
          <w:tblCellMar>
            <w:top w:w="0" w:type="dxa"/>
            <w:left w:w="108" w:type="dxa"/>
            <w:bottom w:w="0" w:type="dxa"/>
            <w:right w:w="108" w:type="dxa"/>
          </w:tblCellMar>
        </w:tblPrEx>
        <w:trPr>
          <w:trHeight w:val="2364" w:hRule="atLeast"/>
          <w:jc w:val="center"/>
        </w:trPr>
        <w:tc>
          <w:tcPr>
            <w:tcW w:w="5000" w:type="pct"/>
            <w:tcBorders>
              <w:top w:val="single" w:color="auto" w:sz="4" w:space="0"/>
              <w:left w:val="single" w:color="auto" w:sz="4" w:space="0"/>
              <w:bottom w:val="single" w:color="auto" w:sz="4" w:space="0"/>
              <w:right w:val="single" w:color="auto" w:sz="4" w:space="0"/>
            </w:tcBorders>
            <w:noWrap/>
            <w:vAlign w:val="center"/>
          </w:tcPr>
          <w:p w14:paraId="103921BD">
            <w:pPr>
              <w:widowControl/>
              <w:spacing w:line="360" w:lineRule="exact"/>
              <w:textAlignment w:val="center"/>
              <w:rPr>
                <w:rFonts w:ascii="Times New Roman" w:eastAsia="宋体" w:cs="Times New Roman"/>
                <w:color w:val="000000"/>
                <w:sz w:val="21"/>
                <w:szCs w:val="21"/>
                <w:u w:val="single"/>
              </w:rPr>
            </w:pPr>
            <w:r>
              <w:rPr>
                <w:rFonts w:ascii="Times New Roman" w:eastAsia="宋体" w:cs="Times New Roman"/>
                <w:color w:val="000000"/>
                <w:sz w:val="21"/>
                <w:szCs w:val="21"/>
              </w:rPr>
              <w:t>已收到</w:t>
            </w:r>
            <w:r>
              <w:rPr>
                <w:rFonts w:ascii="Times New Roman" w:eastAsia="宋体" w:cs="Times New Roman"/>
                <w:color w:val="000000"/>
                <w:sz w:val="21"/>
                <w:szCs w:val="21"/>
                <w:u w:val="single"/>
              </w:rPr>
              <w:t xml:space="preserve">                            </w:t>
            </w:r>
            <w:r>
              <w:rPr>
                <w:rFonts w:ascii="Times New Roman" w:eastAsia="宋体" w:cs="Times New Roman"/>
                <w:color w:val="000000"/>
                <w:sz w:val="21"/>
                <w:szCs w:val="21"/>
              </w:rPr>
              <w:t>提交的攀枝花市长期护理保险定点评估机构申请资料：</w:t>
            </w:r>
          </w:p>
          <w:p w14:paraId="7AD00561">
            <w:pPr>
              <w:widowControl/>
              <w:spacing w:line="360" w:lineRule="exact"/>
              <w:textAlignment w:val="center"/>
              <w:rPr>
                <w:rFonts w:ascii="Times New Roman" w:eastAsia="宋体" w:cs="Times New Roman"/>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1.资料齐备，予以受理</w:t>
            </w:r>
          </w:p>
          <w:p w14:paraId="196B6382">
            <w:pPr>
              <w:widowControl/>
              <w:spacing w:line="360" w:lineRule="exact"/>
              <w:textAlignment w:val="center"/>
              <w:rPr>
                <w:rFonts w:ascii="Times New Roman" w:eastAsia="宋体" w:cs="Times New Roman"/>
                <w:color w:val="000000"/>
                <w:sz w:val="21"/>
                <w:szCs w:val="21"/>
              </w:rPr>
            </w:pPr>
            <w:r>
              <w:rPr>
                <w:rFonts w:hint="eastAsia" w:ascii="Times New Roman" w:eastAsia="宋体" w:cs="Times New Roman"/>
                <w:color w:val="000000"/>
                <w:sz w:val="21"/>
                <w:szCs w:val="21"/>
              </w:rPr>
              <w:t>□</w:t>
            </w:r>
            <w:r>
              <w:rPr>
                <w:rFonts w:ascii="Times New Roman" w:eastAsia="宋体" w:cs="Times New Roman"/>
                <w:color w:val="000000"/>
                <w:sz w:val="21"/>
                <w:szCs w:val="21"/>
              </w:rPr>
              <w:t>2.资料不齐，缺        项资料：                                       ，不予受理。请于    年    月   日前补讫资料，逾期未补讫则视为自愿放弃本次申请。</w:t>
            </w:r>
          </w:p>
        </w:tc>
      </w:tr>
      <w:tr w14:paraId="1A233058">
        <w:tblPrEx>
          <w:tblCellMar>
            <w:top w:w="0" w:type="dxa"/>
            <w:left w:w="108" w:type="dxa"/>
            <w:bottom w:w="0" w:type="dxa"/>
            <w:right w:w="108" w:type="dxa"/>
          </w:tblCellMar>
        </w:tblPrEx>
        <w:trPr>
          <w:trHeight w:val="1405" w:hRule="atLeast"/>
          <w:jc w:val="center"/>
        </w:trPr>
        <w:tc>
          <w:tcPr>
            <w:tcW w:w="5000" w:type="pct"/>
            <w:tcBorders>
              <w:top w:val="single" w:color="auto" w:sz="4" w:space="0"/>
              <w:left w:val="single" w:color="000000" w:sz="4" w:space="0"/>
              <w:bottom w:val="single" w:color="000000" w:sz="4" w:space="0"/>
              <w:right w:val="single" w:color="000000" w:sz="4" w:space="0"/>
            </w:tcBorders>
            <w:noWrap/>
            <w:vAlign w:val="center"/>
          </w:tcPr>
          <w:p w14:paraId="5B7B095E">
            <w:pPr>
              <w:widowControl/>
              <w:spacing w:line="360" w:lineRule="exact"/>
              <w:textAlignment w:val="center"/>
              <w:rPr>
                <w:rFonts w:ascii="Times New Roman" w:eastAsia="宋体" w:cs="Times New Roman"/>
                <w:color w:val="000000"/>
                <w:sz w:val="21"/>
                <w:szCs w:val="21"/>
              </w:rPr>
            </w:pPr>
            <w:r>
              <w:rPr>
                <w:rFonts w:ascii="Times New Roman" w:eastAsia="宋体" w:cs="Times New Roman"/>
                <w:color w:val="000000"/>
                <w:sz w:val="21"/>
                <w:szCs w:val="21"/>
              </w:rPr>
              <w:t>受理时间：                        医保经办机构盖章：</w:t>
            </w:r>
          </w:p>
        </w:tc>
      </w:tr>
    </w:tbl>
    <w:p w14:paraId="5A886A8C">
      <w:pPr>
        <w:rPr>
          <w:rFonts w:hint="eastAsia" w:ascii="仿宋_GB2312" w:hAnsi="仿宋_GB2312" w:eastAsia="仿宋_GB2312" w:cs="仿宋_GB2312"/>
          <w:sz w:val="24"/>
        </w:rPr>
      </w:pPr>
      <w:r>
        <w:rPr>
          <w:color w:val="000000"/>
          <w:sz w:val="28"/>
          <w:szCs w:val="28"/>
        </w:rPr>
        <w:t>说明：本告知书一式两联，存根联由医保经办机构保存，告知联由申请机构保存。</w:t>
      </w:r>
      <w:bookmarkStart w:id="0" w:name="_GoBack"/>
      <w:bookmarkEnd w:id="0"/>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Arial">
    <w:altName w:val="Nimbus Roman No9 L"/>
    <w:panose1 w:val="020B0604020202020204"/>
    <w:charset w:val="00"/>
    <w:family w:val="swiss"/>
    <w:pitch w:val="default"/>
    <w:sig w:usb0="00000000" w:usb1="00000000" w:usb2="00000009" w:usb3="00000000" w:csb0="0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2833820"/>
    </w:sdtPr>
    <w:sdtContent>
      <w:p w14:paraId="67CD5436">
        <w:pPr>
          <w:pStyle w:val="13"/>
          <w:jc w:val="center"/>
        </w:pPr>
        <w:r>
          <w:fldChar w:fldCharType="begin"/>
        </w:r>
        <w:r>
          <w:instrText xml:space="preserve">PAGE   \* MERGEFORMAT</w:instrText>
        </w:r>
        <w:r>
          <w:fldChar w:fldCharType="separate"/>
        </w:r>
        <w:r>
          <w:rPr>
            <w:lang w:val="zh-CN"/>
          </w:rPr>
          <w:t>2</w:t>
        </w:r>
        <w:r>
          <w:fldChar w:fldCharType="end"/>
        </w:r>
      </w:p>
    </w:sdtContent>
  </w:sdt>
  <w:p w14:paraId="4B249D18">
    <w:pPr>
      <w:spacing w:line="340" w:lineRule="exac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290"/>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C5"/>
    <w:rsid w:val="00000073"/>
    <w:rsid w:val="00016CCB"/>
    <w:rsid w:val="000327C5"/>
    <w:rsid w:val="000769D0"/>
    <w:rsid w:val="000B289B"/>
    <w:rsid w:val="000B6D23"/>
    <w:rsid w:val="000C4F30"/>
    <w:rsid w:val="000D37AB"/>
    <w:rsid w:val="000D47AD"/>
    <w:rsid w:val="000F7780"/>
    <w:rsid w:val="00140820"/>
    <w:rsid w:val="00154338"/>
    <w:rsid w:val="0019412D"/>
    <w:rsid w:val="001F186D"/>
    <w:rsid w:val="00223E51"/>
    <w:rsid w:val="002262ED"/>
    <w:rsid w:val="002328DC"/>
    <w:rsid w:val="00296573"/>
    <w:rsid w:val="003720DE"/>
    <w:rsid w:val="003960E8"/>
    <w:rsid w:val="00417F57"/>
    <w:rsid w:val="00441A7C"/>
    <w:rsid w:val="00547FCB"/>
    <w:rsid w:val="00612559"/>
    <w:rsid w:val="00620563"/>
    <w:rsid w:val="00680084"/>
    <w:rsid w:val="006C024E"/>
    <w:rsid w:val="00746428"/>
    <w:rsid w:val="007F2CC1"/>
    <w:rsid w:val="0089361B"/>
    <w:rsid w:val="008A242B"/>
    <w:rsid w:val="008D27DD"/>
    <w:rsid w:val="008D7987"/>
    <w:rsid w:val="009964D3"/>
    <w:rsid w:val="00A70FB8"/>
    <w:rsid w:val="00A7630B"/>
    <w:rsid w:val="00AB63C4"/>
    <w:rsid w:val="00AF54EC"/>
    <w:rsid w:val="00B512A1"/>
    <w:rsid w:val="00B55407"/>
    <w:rsid w:val="00BD6773"/>
    <w:rsid w:val="00BF2B15"/>
    <w:rsid w:val="00BF38A4"/>
    <w:rsid w:val="00C05E5A"/>
    <w:rsid w:val="00CA182A"/>
    <w:rsid w:val="00CA4218"/>
    <w:rsid w:val="00CD1339"/>
    <w:rsid w:val="00D40EB8"/>
    <w:rsid w:val="00D60C7D"/>
    <w:rsid w:val="00D74076"/>
    <w:rsid w:val="00DC78B0"/>
    <w:rsid w:val="00DE4ABE"/>
    <w:rsid w:val="00E135D7"/>
    <w:rsid w:val="00E53248"/>
    <w:rsid w:val="00E54328"/>
    <w:rsid w:val="00E64D03"/>
    <w:rsid w:val="00EB7C8E"/>
    <w:rsid w:val="00F32C76"/>
    <w:rsid w:val="00FC5D01"/>
    <w:rsid w:val="070E5166"/>
    <w:rsid w:val="198A56EF"/>
    <w:rsid w:val="27AA6DBF"/>
    <w:rsid w:val="29CA4614"/>
    <w:rsid w:val="551531E2"/>
    <w:rsid w:val="F5FF51B3"/>
    <w:rsid w:val="FCEF4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等线" w:hAnsi="Times New Roman" w:eastAsia="等线" w:cs="Arial"/>
      <w:kern w:val="2"/>
      <w:sz w:val="22"/>
      <w:szCs w:val="24"/>
      <w:lang w:val="en-US" w:eastAsia="zh-CN" w:bidi="ar-SA"/>
    </w:rPr>
  </w:style>
  <w:style w:type="paragraph" w:styleId="2">
    <w:name w:val="heading 1"/>
    <w:next w:val="1"/>
    <w:qFormat/>
    <w:uiPriority w:val="9"/>
    <w:pPr>
      <w:keepNext/>
      <w:keepLines/>
      <w:spacing w:line="560" w:lineRule="exact"/>
      <w:ind w:firstLine="894" w:firstLineChars="200"/>
      <w:outlineLvl w:val="0"/>
    </w:pPr>
    <w:rPr>
      <w:rFonts w:ascii="黑体" w:hAnsi="黑体" w:eastAsia="黑体" w:cs="黑体"/>
      <w:kern w:val="44"/>
      <w:sz w:val="32"/>
      <w:szCs w:val="32"/>
      <w:lang w:val="en-US" w:eastAsia="zh-CN" w:bidi="ar-SA"/>
    </w:rPr>
  </w:style>
  <w:style w:type="paragraph" w:styleId="3">
    <w:name w:val="heading 2"/>
    <w:next w:val="1"/>
    <w:link w:val="36"/>
    <w:semiHidden/>
    <w:unhideWhenUsed/>
    <w:qFormat/>
    <w:uiPriority w:val="9"/>
    <w:pPr>
      <w:keepNext/>
      <w:keepLines/>
      <w:spacing w:line="560" w:lineRule="exact"/>
      <w:ind w:firstLine="894" w:firstLineChars="200"/>
      <w:outlineLvl w:val="1"/>
    </w:pPr>
    <w:rPr>
      <w:rFonts w:ascii="Times New Roman" w:hAnsi="Times New Roman" w:eastAsia="楷体_GB2312" w:cs="楷体_GB2312"/>
      <w:sz w:val="32"/>
      <w:szCs w:val="32"/>
      <w:lang w:val="en-US" w:eastAsia="zh-CN" w:bidi="ar-SA"/>
    </w:rPr>
  </w:style>
  <w:style w:type="paragraph" w:styleId="4">
    <w:name w:val="heading 3"/>
    <w:next w:val="1"/>
    <w:semiHidden/>
    <w:unhideWhenUsed/>
    <w:qFormat/>
    <w:uiPriority w:val="9"/>
    <w:pPr>
      <w:keepNext/>
      <w:keepLines/>
      <w:spacing w:line="560" w:lineRule="exact"/>
      <w:ind w:firstLine="894" w:firstLineChars="200"/>
      <w:outlineLvl w:val="2"/>
    </w:pPr>
    <w:rPr>
      <w:rFonts w:ascii="Times New Roman" w:hAnsi="Times New Roman" w:eastAsia="仿宋_GB2312" w:cs="仿宋_GB2312"/>
      <w:sz w:val="32"/>
      <w:szCs w:val="32"/>
      <w:lang w:val="en-US" w:eastAsia="zh-CN" w:bidi="ar-SA"/>
    </w:rPr>
  </w:style>
  <w:style w:type="paragraph" w:styleId="5">
    <w:name w:val="heading 4"/>
    <w:next w:val="1"/>
    <w:semiHidden/>
    <w:unhideWhenUsed/>
    <w:qFormat/>
    <w:uiPriority w:val="9"/>
    <w:pPr>
      <w:keepNext/>
      <w:keepLines/>
      <w:spacing w:line="560" w:lineRule="exact"/>
      <w:ind w:firstLine="894" w:firstLineChars="200"/>
      <w:outlineLvl w:val="3"/>
    </w:pPr>
    <w:rPr>
      <w:rFonts w:ascii="Times New Roman" w:hAnsi="Times New Roman" w:eastAsia="仿宋_GB2312" w:cs="仿宋_GB2312"/>
      <w:sz w:val="32"/>
      <w:szCs w:val="32"/>
      <w:lang w:val="en-US" w:eastAsia="zh-CN" w:bidi="ar-SA"/>
    </w:rPr>
  </w:style>
  <w:style w:type="paragraph" w:styleId="6">
    <w:name w:val="heading 5"/>
    <w:next w:val="1"/>
    <w:semiHidden/>
    <w:unhideWhenUsed/>
    <w:qFormat/>
    <w:uiPriority w:val="9"/>
    <w:pPr>
      <w:spacing w:line="560" w:lineRule="exact"/>
      <w:ind w:firstLine="894" w:firstLineChars="200"/>
      <w:outlineLvl w:val="4"/>
    </w:pPr>
    <w:rPr>
      <w:rFonts w:ascii="Times New Roman" w:hAnsi="Times New Roman" w:eastAsia="仿宋_GB2312" w:cs="仿宋_GB2312"/>
      <w:sz w:val="32"/>
      <w:szCs w:val="32"/>
      <w:lang w:val="en-US" w:eastAsia="zh-CN" w:bidi="ar-SA"/>
    </w:rPr>
  </w:style>
  <w:style w:type="paragraph" w:styleId="7">
    <w:name w:val="heading 6"/>
    <w:next w:val="1"/>
    <w:semiHidden/>
    <w:unhideWhenUsed/>
    <w:qFormat/>
    <w:uiPriority w:val="9"/>
    <w:pPr>
      <w:spacing w:line="560" w:lineRule="exact"/>
      <w:ind w:firstLine="894" w:firstLineChars="200"/>
      <w:outlineLvl w:val="5"/>
    </w:pPr>
    <w:rPr>
      <w:rFonts w:ascii="Times New Roman" w:hAnsi="Times New Roman" w:eastAsia="仿宋_GB2312" w:cs="仿宋_GB2312"/>
      <w:sz w:val="32"/>
      <w:szCs w:val="32"/>
      <w:lang w:val="en-US" w:eastAsia="zh-CN" w:bidi="ar-SA"/>
    </w:rPr>
  </w:style>
  <w:style w:type="paragraph" w:styleId="8">
    <w:name w:val="heading 7"/>
    <w:next w:val="1"/>
    <w:qFormat/>
    <w:uiPriority w:val="0"/>
    <w:pPr>
      <w:spacing w:line="560" w:lineRule="exact"/>
      <w:ind w:firstLine="894" w:firstLineChars="200"/>
      <w:outlineLvl w:val="6"/>
    </w:pPr>
    <w:rPr>
      <w:rFonts w:ascii="Times New Roman" w:hAnsi="Times New Roman" w:eastAsia="仿宋_GB2312" w:cs="仿宋_GB2312"/>
      <w:sz w:val="32"/>
      <w:szCs w:val="32"/>
      <w:lang w:val="en-US" w:eastAsia="zh-CN" w:bidi="ar-SA"/>
    </w:rPr>
  </w:style>
  <w:style w:type="paragraph" w:styleId="9">
    <w:name w:val="heading 8"/>
    <w:next w:val="1"/>
    <w:qFormat/>
    <w:uiPriority w:val="0"/>
    <w:pPr>
      <w:spacing w:line="560" w:lineRule="exact"/>
      <w:ind w:firstLine="894" w:firstLineChars="200"/>
      <w:outlineLvl w:val="7"/>
    </w:pPr>
    <w:rPr>
      <w:rFonts w:ascii="Times New Roman" w:hAnsi="Times New Roman" w:eastAsia="仿宋_GB2312" w:cs="仿宋_GB2312"/>
      <w:sz w:val="32"/>
      <w:szCs w:val="32"/>
      <w:lang w:val="en-US" w:eastAsia="zh-CN" w:bidi="ar-SA"/>
    </w:rPr>
  </w:style>
  <w:style w:type="paragraph" w:styleId="10">
    <w:name w:val="heading 9"/>
    <w:next w:val="1"/>
    <w:qFormat/>
    <w:uiPriority w:val="0"/>
    <w:pPr>
      <w:spacing w:line="560" w:lineRule="exact"/>
      <w:ind w:firstLine="894" w:firstLineChars="200"/>
      <w:outlineLvl w:val="8"/>
    </w:pPr>
    <w:rPr>
      <w:rFonts w:ascii="Times New Roman" w:hAnsi="Times New Roman" w:eastAsia="仿宋_GB2312" w:cs="仿宋_GB2312"/>
      <w:sz w:val="32"/>
      <w:szCs w:val="32"/>
      <w:lang w:val="en-US" w:eastAsia="zh-CN" w:bidi="ar-SA"/>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9"/>
    <w:semiHidden/>
    <w:unhideWhenUsed/>
    <w:qFormat/>
    <w:uiPriority w:val="99"/>
    <w:rPr>
      <w:rFonts w:asciiTheme="minorHAnsi" w:hAnsiTheme="minorHAnsi" w:eastAsiaTheme="minorEastAsia" w:cstheme="minorBidi"/>
      <w14:ligatures w14:val="standardContextual"/>
    </w:rPr>
  </w:style>
  <w:style w:type="paragraph" w:styleId="12">
    <w:name w:val="Body Text"/>
    <w:unhideWhenUsed/>
    <w:qFormat/>
    <w:uiPriority w:val="99"/>
    <w:pPr>
      <w:spacing w:line="560" w:lineRule="exact"/>
      <w:ind w:firstLine="630" w:firstLineChars="200"/>
      <w:jc w:val="both"/>
    </w:pPr>
    <w:rPr>
      <w:rFonts w:ascii="Times New Roman" w:hAnsi="Times New Roman" w:eastAsia="仿宋_GB2312" w:cs="仿宋_GB2312"/>
      <w:spacing w:val="-6"/>
      <w:sz w:val="32"/>
      <w:szCs w:val="32"/>
      <w:lang w:val="en-US" w:eastAsia="zh-CN" w:bidi="ar-SA"/>
    </w:rPr>
  </w:style>
  <w:style w:type="paragraph" w:styleId="13">
    <w:name w:val="footer"/>
    <w:basedOn w:val="1"/>
    <w:link w:val="35"/>
    <w:qFormat/>
    <w:uiPriority w:val="99"/>
    <w:pPr>
      <w:tabs>
        <w:tab w:val="center" w:pos="4153"/>
        <w:tab w:val="right" w:pos="8306"/>
      </w:tabs>
      <w:snapToGrid w:val="0"/>
      <w:spacing w:after="0" w:line="240" w:lineRule="auto"/>
    </w:pPr>
    <w:rPr>
      <w:rFonts w:ascii="Calibri" w:hAnsi="Calibri" w:eastAsia="宋体"/>
      <w:kern w:val="0"/>
      <w:sz w:val="18"/>
      <w:szCs w:val="22"/>
    </w:rPr>
  </w:style>
  <w:style w:type="paragraph" w:styleId="14">
    <w:name w:val="header"/>
    <w:basedOn w:val="1"/>
    <w:qFormat/>
    <w:uiPriority w:val="0"/>
    <w:pPr>
      <w:tabs>
        <w:tab w:val="center" w:pos="4153"/>
        <w:tab w:val="right" w:pos="8306"/>
      </w:tabs>
      <w:snapToGrid w:val="0"/>
      <w:spacing w:line="240" w:lineRule="auto"/>
      <w:jc w:val="center"/>
    </w:pPr>
    <w:rPr>
      <w:sz w:val="18"/>
      <w:szCs w:val="18"/>
    </w:rPr>
  </w:style>
  <w:style w:type="paragraph" w:styleId="15">
    <w:name w:val="toc 1"/>
    <w:basedOn w:val="1"/>
    <w:next w:val="1"/>
    <w:qFormat/>
    <w:uiPriority w:val="0"/>
    <w:pPr>
      <w:spacing w:after="0" w:line="240" w:lineRule="auto"/>
      <w:jc w:val="both"/>
    </w:pPr>
    <w:rPr>
      <w:rFonts w:ascii="Calibri" w:hAnsi="Calibri" w:eastAsia="宋体"/>
      <w:kern w:val="0"/>
      <w:sz w:val="21"/>
      <w:szCs w:val="22"/>
    </w:rPr>
  </w:style>
  <w:style w:type="paragraph" w:styleId="16">
    <w:name w:val="Subtitle"/>
    <w:next w:val="1"/>
    <w:qFormat/>
    <w:uiPriority w:val="11"/>
    <w:pPr>
      <w:spacing w:line="720" w:lineRule="exact"/>
      <w:jc w:val="center"/>
    </w:pPr>
    <w:rPr>
      <w:rFonts w:ascii="Times New Roman" w:hAnsi="Times New Roman" w:eastAsia="仿宋_GB2312" w:cs="仿宋_GB2312"/>
      <w:kern w:val="28"/>
      <w:sz w:val="32"/>
      <w:szCs w:val="32"/>
      <w:lang w:val="en-US" w:eastAsia="zh-CN" w:bidi="ar-SA"/>
    </w:rPr>
  </w:style>
  <w:style w:type="paragraph" w:styleId="17">
    <w:name w:val="Normal (Web)"/>
    <w:basedOn w:val="1"/>
    <w:qFormat/>
    <w:uiPriority w:val="0"/>
    <w:pPr>
      <w:spacing w:before="100" w:beforeAutospacing="1" w:after="100" w:afterAutospacing="1" w:line="240" w:lineRule="auto"/>
    </w:pPr>
    <w:rPr>
      <w:rFonts w:ascii="Calibri" w:hAnsi="Calibri" w:eastAsia="宋体" w:cs="Times New Roman"/>
      <w:kern w:val="0"/>
      <w:sz w:val="24"/>
      <w:szCs w:val="22"/>
    </w:rPr>
  </w:style>
  <w:style w:type="paragraph" w:styleId="18">
    <w:name w:val="Title"/>
    <w:next w:val="1"/>
    <w:qFormat/>
    <w:uiPriority w:val="10"/>
    <w:pPr>
      <w:spacing w:line="720" w:lineRule="exact"/>
      <w:jc w:val="center"/>
    </w:pPr>
    <w:rPr>
      <w:rFonts w:ascii="方正小标宋简体" w:hAnsi="方正小标宋简体" w:eastAsia="方正小标宋简体" w:cs="方正小标宋简体"/>
      <w:sz w:val="44"/>
      <w:szCs w:val="44"/>
      <w:lang w:val="en-US" w:eastAsia="zh-CN" w:bidi="ar-SA"/>
    </w:rPr>
  </w:style>
  <w:style w:type="character" w:styleId="21">
    <w:name w:val="Hyperlink"/>
    <w:basedOn w:val="20"/>
    <w:qFormat/>
    <w:uiPriority w:val="0"/>
    <w:rPr>
      <w:color w:val="0563C1"/>
      <w:u w:val="single"/>
    </w:rPr>
  </w:style>
  <w:style w:type="character" w:styleId="22">
    <w:name w:val="annotation reference"/>
    <w:basedOn w:val="20"/>
    <w:semiHidden/>
    <w:unhideWhenUsed/>
    <w:qFormat/>
    <w:uiPriority w:val="99"/>
    <w:rPr>
      <w:sz w:val="21"/>
      <w:szCs w:val="21"/>
    </w:rPr>
  </w:style>
  <w:style w:type="paragraph" w:styleId="23">
    <w:name w:val="Quote"/>
    <w:basedOn w:val="1"/>
    <w:next w:val="1"/>
    <w:qFormat/>
    <w:uiPriority w:val="0"/>
    <w:pPr>
      <w:spacing w:before="160"/>
      <w:jc w:val="center"/>
    </w:pPr>
    <w:rPr>
      <w:i/>
      <w:iCs/>
      <w:color w:val="404040"/>
    </w:rPr>
  </w:style>
  <w:style w:type="paragraph" w:styleId="24">
    <w:name w:val="List Paragraph"/>
    <w:basedOn w:val="1"/>
    <w:qFormat/>
    <w:uiPriority w:val="0"/>
    <w:pPr>
      <w:ind w:left="720"/>
      <w:contextualSpacing/>
    </w:pPr>
  </w:style>
  <w:style w:type="character" w:customStyle="1" w:styleId="25">
    <w:name w:val="明显强调1"/>
    <w:basedOn w:val="20"/>
    <w:qFormat/>
    <w:uiPriority w:val="0"/>
    <w:rPr>
      <w:i/>
      <w:iCs/>
      <w:color w:val="2F5496"/>
    </w:rPr>
  </w:style>
  <w:style w:type="paragraph" w:styleId="26">
    <w:name w:val="Intense Quote"/>
    <w:basedOn w:val="1"/>
    <w:next w:val="1"/>
    <w:qFormat/>
    <w:uiPriority w:val="0"/>
    <w:pPr>
      <w:pBdr>
        <w:top w:val="single" w:color="2F5496" w:sz="4" w:space="10"/>
        <w:bottom w:val="single" w:color="2F5496" w:sz="4" w:space="10"/>
      </w:pBdr>
      <w:spacing w:before="360" w:after="360"/>
      <w:ind w:left="864" w:right="864"/>
      <w:jc w:val="center"/>
    </w:pPr>
    <w:rPr>
      <w:i/>
      <w:iCs/>
      <w:color w:val="2F5496"/>
    </w:rPr>
  </w:style>
  <w:style w:type="character" w:customStyle="1" w:styleId="27">
    <w:name w:val="明显参考1"/>
    <w:basedOn w:val="20"/>
    <w:qFormat/>
    <w:uiPriority w:val="0"/>
    <w:rPr>
      <w:b/>
      <w:bCs/>
      <w:smallCaps/>
      <w:color w:val="2F5496"/>
      <w:spacing w:val="5"/>
    </w:rPr>
  </w:style>
  <w:style w:type="character" w:customStyle="1" w:styleId="28">
    <w:name w:val="未处理的提及1"/>
    <w:basedOn w:val="20"/>
    <w:qFormat/>
    <w:uiPriority w:val="0"/>
    <w:rPr>
      <w:color w:val="605E5C"/>
      <w:shd w:val="clear" w:color="auto" w:fill="E1DFDD"/>
    </w:rPr>
  </w:style>
  <w:style w:type="character" w:customStyle="1" w:styleId="29">
    <w:name w:val="批注文字 字符"/>
    <w:basedOn w:val="20"/>
    <w:link w:val="11"/>
    <w:semiHidden/>
    <w:qFormat/>
    <w:uiPriority w:val="99"/>
    <w:rPr>
      <w:rFonts w:asciiTheme="minorHAnsi" w:hAnsiTheme="minorHAnsi" w:eastAsiaTheme="minorEastAsia" w:cstheme="minorBidi"/>
      <w:kern w:val="2"/>
      <w:sz w:val="22"/>
      <w:szCs w:val="24"/>
      <w14:ligatures w14:val="standardContextual"/>
    </w:rPr>
  </w:style>
  <w:style w:type="paragraph" w:customStyle="1" w:styleId="30">
    <w:name w:val="附录标题"/>
    <w:next w:val="1"/>
    <w:qFormat/>
    <w:uiPriority w:val="0"/>
    <w:pPr>
      <w:overflowPunct w:val="0"/>
      <w:topLinePunct/>
      <w:spacing w:line="560" w:lineRule="exact"/>
      <w:outlineLvl w:val="0"/>
    </w:pPr>
    <w:rPr>
      <w:rFonts w:ascii="黑体" w:hAnsi="黑体" w:eastAsia="黑体" w:cs="黑体"/>
      <w:sz w:val="32"/>
      <w:szCs w:val="32"/>
      <w:lang w:val="en-US" w:eastAsia="zh-CN" w:bidi="ar-SA"/>
    </w:rPr>
  </w:style>
  <w:style w:type="character" w:customStyle="1" w:styleId="31">
    <w:name w:val="标题 2 Char"/>
    <w:qFormat/>
    <w:uiPriority w:val="9"/>
    <w:rPr>
      <w:rFonts w:ascii="Times New Roman" w:hAnsi="Times New Roman" w:eastAsia="楷体_GB2312" w:cs="楷体_GB2312"/>
      <w:sz w:val="32"/>
      <w:szCs w:val="32"/>
    </w:rPr>
  </w:style>
  <w:style w:type="character" w:customStyle="1" w:styleId="32">
    <w:name w:val="标题 2 Char1"/>
    <w:qFormat/>
    <w:uiPriority w:val="9"/>
    <w:rPr>
      <w:rFonts w:ascii="Times New Roman" w:hAnsi="Times New Roman" w:eastAsia="楷体_GB2312" w:cs="楷体_GB2312"/>
      <w:sz w:val="32"/>
      <w:szCs w:val="32"/>
    </w:rPr>
  </w:style>
  <w:style w:type="character" w:customStyle="1" w:styleId="33">
    <w:name w:val="标题 2 Char2"/>
    <w:qFormat/>
    <w:uiPriority w:val="9"/>
    <w:rPr>
      <w:rFonts w:ascii="Times New Roman" w:hAnsi="Times New Roman" w:eastAsia="楷体_GB2312" w:cs="楷体_GB2312"/>
      <w:sz w:val="32"/>
      <w:szCs w:val="32"/>
    </w:rPr>
  </w:style>
  <w:style w:type="character" w:customStyle="1" w:styleId="34">
    <w:name w:val="标题 2 字符"/>
    <w:qFormat/>
    <w:uiPriority w:val="9"/>
    <w:rPr>
      <w:rFonts w:ascii="Times New Roman" w:hAnsi="Times New Roman" w:eastAsia="楷体_GB2312" w:cs="楷体_GB2312"/>
      <w:sz w:val="32"/>
      <w:szCs w:val="32"/>
    </w:rPr>
  </w:style>
  <w:style w:type="character" w:customStyle="1" w:styleId="35">
    <w:name w:val="页脚 字符"/>
    <w:basedOn w:val="20"/>
    <w:link w:val="13"/>
    <w:qFormat/>
    <w:uiPriority w:val="99"/>
    <w:rPr>
      <w:rFonts w:ascii="Calibri" w:hAnsi="Calibri" w:cs="Arial"/>
      <w:sz w:val="18"/>
      <w:szCs w:val="22"/>
    </w:rPr>
  </w:style>
  <w:style w:type="character" w:customStyle="1" w:styleId="36">
    <w:name w:val="标题 2 字符1"/>
    <w:link w:val="3"/>
    <w:qFormat/>
    <w:uiPriority w:val="9"/>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688d97ca-a6ed-4e95-ae0d-b6c0c3f05d14</errorID>
      <errorWord xmlns="http://schemas.wps.cn/vas-ai-hub/contract-review">组织组织</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组织</item>
      </candidateList>
      <explain xmlns="http://schemas.wps.cn/vas-ai-hub/contract-review">❶〈动〉安排分散的人或事物使具有一定的系统性或整体性：～人力｜～联欢晚会｜这篇文章～得很好。❷〈名〉系统；配合关系：～严密｜～松散。❸〈名〉纺织品经纬纱线的结构：平纹～｜斜纹～｜缎纹～。❹〈名〉机体中构成器官的单位，是由许多形态和功能相同的细胞按一定的方式结合而成的。人和高等动物体内有上皮组织、结缔组织、肌组织和神经组织。</explain>
      <paraID xmlns="http://schemas.wps.cn/vas-ai-hub/contract-review">4C4A310C</paraID>
      <start xmlns="http://schemas.wps.cn/vas-ai-hub/contract-review">21</start>
      <end xmlns="http://schemas.wps.cn/vas-ai-hub/contract-review">23</end>
      <status xmlns="http://schemas.wps.cn/vas-ai-hub/contract-review">modified</status>
      <modifiedWord xmlns="http://schemas.wps.cn/vas-ai-hub/contract-review">组织</modifiedWord>
      <trackRevisions xmlns="http://schemas.wps.cn/vas-ai-hub/contract-review">false</trackRevisions>
    </reviewItem>
    <reviewItem xmlns="http://schemas.wps.cn/vas-ai-hub/contract-review">
      <errorID xmlns="http://schemas.wps.cn/vas-ai-hub/contract-review">47c0e23c-3e6a-4dba-a683-78c45f6fc043</errorID>
      <errorWord xmlns="http://schemas.wps.cn/vas-ai-hub/contract-review">日至2026年</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日起至2026年</item>
      </candidateList>
      <explain xmlns="http://schemas.wps.cn/vas-ai-hub/contract-review"/>
      <paraID xmlns="http://schemas.wps.cn/vas-ai-hub/contract-review">3AD597A6</paraID>
      <start xmlns="http://schemas.wps.cn/vas-ai-hub/contract-review">17</start>
      <end xmlns="http://schemas.wps.cn/vas-ai-hub/contract-review">24</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f81c4011-13de-48b2-a4c1-5653b1e527aa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134</start>
      <end xmlns="http://schemas.wps.cn/vas-ai-hub/contract-review">135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f71fb6fd-080a-4270-a775-e459151e65d3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136</start>
      <end xmlns="http://schemas.wps.cn/vas-ai-hub/contract-review">137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a3a3a625-c9cd-44a5-b5a9-66d3df1c6273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175</start>
      <end xmlns="http://schemas.wps.cn/vas-ai-hub/contract-review">176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3e9b4c69-5806-47fd-b57c-e38e7ac3e69e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
      <candidateList xmlns="http://schemas.wps.cn/vas-ai-hub/contract-review"/>
      <explain xmlns="http://schemas.wps.cn/vas-ai-hub/contract-review">同一形式括号套用。</explain>
      <paraID xmlns="http://schemas.wps.cn/vas-ai-hub/contract-review">65BE8F29</paraID>
      <start xmlns="http://schemas.wps.cn/vas-ai-hub/contract-review">177</start>
      <end xmlns="http://schemas.wps.cn/vas-ai-hub/contract-review">178</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2.xml><?xml version="1.0" encoding="utf-8"?>
<customData xmlns="http://www.yozosoft.com.cn/officeDocument/2016/customData">
  <customProps xmlns="http://www.yozosoft.com.cn/officeDocument/2016/customData">
    <docPr xmlns="http://www.yozosoft.com.cn/officeDocument/2016/customData" revisions="3 0 5 0 0 0 1 0 0 0 3000 0 1 1 1 1"/>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4835A5C9-3A3A-4A9D-AC64-9802598309B4}">
  <ds:schemaRefs/>
</ds:datastoreItem>
</file>

<file path=customXml/itemProps2.xml><?xml version="1.0" encoding="utf-8"?>
<ds:datastoreItem xmlns:ds="http://schemas.openxmlformats.org/officeDocument/2006/customXml" ds:itemID="{F3210133-419D-423E-A5EA-163D13F84047}">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1114</Words>
  <Characters>6355</Characters>
  <Lines>52</Lines>
  <Paragraphs>14</Paragraphs>
  <TotalTime>13</TotalTime>
  <ScaleCrop>false</ScaleCrop>
  <LinksUpToDate>false</LinksUpToDate>
  <CharactersWithSpaces>7455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2026-06-09T16:07:00Z</dcterms:created>
  <dc:creator>李建辉</dc:creator>
  <cp:lastModifiedBy>user</cp:lastModifiedBy>
  <cp:lastPrinted>2026-06-08T11:04:00Z</cp:lastPrinted>
  <dcterms:modified xsi:type="dcterms:W3CDTF">2026-08-13T17:25:43Z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eyJoZGlkIjoiZTljNGI5YmUwOWFjN2U3N2IwZjQ0M2M1OGJhMTJkYjQiLCJ1c2VySWQiOiIzOTA3NzI2MTkifQ==</vt:lpwstr>
  </property>
  <property fmtid="{D5CDD505-2E9C-101B-9397-08002B2CF9AE}" pid="3" name="KSOProductBuildVer">
    <vt:lpwstr>2052-12.8.2.1119</vt:lpwstr>
  </property>
  <property fmtid="{D5CDD505-2E9C-101B-9397-08002B2CF9AE}" pid="4" name="ICV">
    <vt:lpwstr>2842EFE88AA941B1ACD9056B7460DBFB_12</vt:lpwstr>
  </property>
</Properties>
</file>