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286BE">
      <w:pPr>
        <w:pStyle w:val="29"/>
      </w:pPr>
      <w:r>
        <w:t>附件6</w:t>
      </w:r>
    </w:p>
    <w:p w14:paraId="0E0A74A1">
      <w:pPr>
        <w:rPr>
          <w:rFonts w:hint="eastAsia"/>
        </w:rPr>
      </w:pPr>
    </w:p>
    <w:p w14:paraId="5507E164">
      <w:pPr>
        <w:pStyle w:val="18"/>
        <w:rPr>
          <w:rFonts w:hint="eastAsia"/>
        </w:rPr>
      </w:pPr>
      <w:r>
        <w:t>攀枝花市长期护理保险定点护理服务机构（居家护理或社区护理）综合评估表</w:t>
      </w:r>
    </w:p>
    <w:p w14:paraId="2A5EA647">
      <w:pPr>
        <w:autoSpaceDE/>
        <w:autoSpaceDN/>
        <w:spacing w:line="600" w:lineRule="exact"/>
        <w:rPr>
          <w:rFonts w:hint="eastAsia" w:ascii="FangSong" w:hAnsi="FangSong" w:eastAsia="FangSong" w:cs="FangSong"/>
          <w:color w:val="auto"/>
          <w:kern w:val="2"/>
          <w:sz w:val="24"/>
          <w:szCs w:val="24"/>
        </w:rPr>
      </w:pPr>
      <w:r>
        <w:rPr>
          <w:rFonts w:hint="eastAsia" w:ascii="FangSong" w:hAnsi="FangSong" w:eastAsia="FangSong" w:cs="FangSong"/>
          <w:color w:val="auto"/>
          <w:kern w:val="2"/>
          <w:sz w:val="24"/>
          <w:szCs w:val="24"/>
        </w:rPr>
        <w:t>机构名称：                              地址：                                          评估时间：</w:t>
      </w:r>
    </w:p>
    <w:tbl>
      <w:tblPr>
        <w:tblStyle w:val="22"/>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406"/>
        <w:gridCol w:w="1218"/>
        <w:gridCol w:w="7507"/>
        <w:gridCol w:w="567"/>
        <w:gridCol w:w="1011"/>
        <w:gridCol w:w="665"/>
      </w:tblGrid>
      <w:tr w14:paraId="032D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0" w:type="dxa"/>
            <w:vAlign w:val="center"/>
          </w:tcPr>
          <w:p w14:paraId="0C1DA951">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序号</w:t>
            </w:r>
          </w:p>
        </w:tc>
        <w:tc>
          <w:tcPr>
            <w:tcW w:w="1406" w:type="dxa"/>
            <w:vAlign w:val="center"/>
          </w:tcPr>
          <w:p w14:paraId="68F552C1">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评估内容</w:t>
            </w:r>
          </w:p>
        </w:tc>
        <w:tc>
          <w:tcPr>
            <w:tcW w:w="1218" w:type="dxa"/>
            <w:vAlign w:val="center"/>
          </w:tcPr>
          <w:p w14:paraId="26749726">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指标类型</w:t>
            </w:r>
          </w:p>
        </w:tc>
        <w:tc>
          <w:tcPr>
            <w:tcW w:w="7507" w:type="dxa"/>
            <w:vAlign w:val="center"/>
          </w:tcPr>
          <w:p w14:paraId="61D748E5">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评估标准</w:t>
            </w:r>
          </w:p>
        </w:tc>
        <w:tc>
          <w:tcPr>
            <w:tcW w:w="567" w:type="dxa"/>
            <w:vAlign w:val="center"/>
          </w:tcPr>
          <w:p w14:paraId="1B146CF5">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分值</w:t>
            </w:r>
          </w:p>
        </w:tc>
        <w:tc>
          <w:tcPr>
            <w:tcW w:w="1011" w:type="dxa"/>
            <w:vAlign w:val="center"/>
          </w:tcPr>
          <w:p w14:paraId="79A4BED4">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评估情况</w:t>
            </w:r>
          </w:p>
        </w:tc>
        <w:tc>
          <w:tcPr>
            <w:tcW w:w="665" w:type="dxa"/>
            <w:vAlign w:val="center"/>
          </w:tcPr>
          <w:p w14:paraId="4039C453">
            <w:pPr>
              <w:widowControl w:val="0"/>
              <w:autoSpaceDE/>
              <w:autoSpaceDN/>
              <w:spacing w:line="360" w:lineRule="exact"/>
              <w:jc w:val="center"/>
              <w:rPr>
                <w:rFonts w:hint="eastAsia" w:ascii="黑体" w:hAnsi="黑体" w:eastAsia="黑体" w:cs="黑体"/>
                <w:color w:val="auto"/>
                <w:kern w:val="2"/>
                <w:sz w:val="24"/>
                <w:szCs w:val="24"/>
              </w:rPr>
            </w:pPr>
            <w:r>
              <w:rPr>
                <w:rFonts w:hint="eastAsia" w:ascii="黑体" w:hAnsi="黑体" w:eastAsia="黑体" w:cs="黑体"/>
                <w:color w:val="auto"/>
                <w:kern w:val="2"/>
                <w:sz w:val="24"/>
                <w:szCs w:val="24"/>
              </w:rPr>
              <w:t>备注</w:t>
            </w:r>
          </w:p>
        </w:tc>
      </w:tr>
      <w:tr w14:paraId="7995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580" w:type="dxa"/>
            <w:vAlign w:val="center"/>
          </w:tcPr>
          <w:p w14:paraId="03BA45C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w:t>
            </w:r>
          </w:p>
        </w:tc>
        <w:tc>
          <w:tcPr>
            <w:tcW w:w="1406" w:type="dxa"/>
            <w:vMerge w:val="restart"/>
            <w:vAlign w:val="center"/>
          </w:tcPr>
          <w:p w14:paraId="1C138AE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具备行业主管部门确认的服务资质，并在本省依法注册登记</w:t>
            </w:r>
          </w:p>
        </w:tc>
        <w:tc>
          <w:tcPr>
            <w:tcW w:w="1218" w:type="dxa"/>
            <w:vMerge w:val="restart"/>
            <w:vAlign w:val="center"/>
          </w:tcPr>
          <w:p w14:paraId="34C5C0A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217D202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养老机构提供《民办非企业登记证书》《养老机构设立许可证》或备案证明，或《营业执照》</w:t>
            </w:r>
            <w:r>
              <w:rPr>
                <w:rFonts w:hint="eastAsia" w:ascii="Times New Roman" w:hAnsi="Times New Roman" w:eastAsia="仿宋_GB2312" w:cs="Times New Roman"/>
                <w:color w:val="000000" w:themeColor="text1"/>
                <w:kern w:val="2"/>
              </w:rPr>
              <w:t>等</w:t>
            </w:r>
            <w:r>
              <w:rPr>
                <w:rFonts w:ascii="Times New Roman" w:hAnsi="Times New Roman" w:eastAsia="仿宋_GB2312" w:cs="Times New Roman"/>
                <w:color w:val="000000" w:themeColor="text1"/>
                <w:kern w:val="2"/>
              </w:rPr>
              <w:t>原件及复印件</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医疗机构提供《医疗机构执业许可证》</w:t>
            </w:r>
            <w:r>
              <w:rPr>
                <w:rFonts w:hint="eastAsia" w:ascii="Times New Roman" w:hAnsi="Times New Roman" w:eastAsia="仿宋_GB2312" w:cs="Times New Roman"/>
                <w:color w:val="000000" w:themeColor="text1"/>
                <w:kern w:val="2"/>
              </w:rPr>
              <w:t>等</w:t>
            </w:r>
            <w:r>
              <w:rPr>
                <w:rFonts w:ascii="Times New Roman" w:hAnsi="Times New Roman" w:eastAsia="仿宋_GB2312" w:cs="Times New Roman"/>
                <w:color w:val="000000" w:themeColor="text1"/>
                <w:kern w:val="2"/>
              </w:rPr>
              <w:t>原件及复印件</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其他服务机构提供《营业执照》</w:t>
            </w:r>
            <w:r>
              <w:rPr>
                <w:rFonts w:hint="eastAsia" w:ascii="Times New Roman" w:hAnsi="Times New Roman" w:eastAsia="仿宋_GB2312" w:cs="Times New Roman"/>
                <w:color w:val="000000" w:themeColor="text1"/>
                <w:kern w:val="2"/>
              </w:rPr>
              <w:t>等</w:t>
            </w:r>
            <w:r>
              <w:rPr>
                <w:rFonts w:ascii="Times New Roman" w:hAnsi="Times New Roman" w:eastAsia="仿宋_GB2312" w:cs="Times New Roman"/>
                <w:color w:val="000000" w:themeColor="text1"/>
                <w:kern w:val="2"/>
              </w:rPr>
              <w:t>原件及复印件</w:t>
            </w:r>
            <w:r>
              <w:rPr>
                <w:rFonts w:hint="eastAsia" w:ascii="Times New Roman" w:hAnsi="Times New Roman" w:eastAsia="仿宋_GB2312" w:cs="Times New Roman"/>
                <w:color w:val="000000" w:themeColor="text1"/>
                <w:kern w:val="2"/>
              </w:rPr>
              <w:t>。不具备医疗资质的，可通过与医疗机构合作的方式提供医疗护理类服务，</w:t>
            </w:r>
            <w:r>
              <w:rPr>
                <w:rFonts w:ascii="Times New Roman" w:hAnsi="Times New Roman" w:eastAsia="仿宋_GB2312" w:cs="Times New Roman"/>
                <w:color w:val="000000" w:themeColor="text1"/>
                <w:kern w:val="2"/>
              </w:rPr>
              <w:t>同时提供与医疗机构签订的合作协议原件及复印件。</w:t>
            </w:r>
          </w:p>
        </w:tc>
        <w:tc>
          <w:tcPr>
            <w:tcW w:w="567" w:type="dxa"/>
            <w:vAlign w:val="center"/>
          </w:tcPr>
          <w:p w14:paraId="5847209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3BBA2DB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70779F9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383237D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340E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80" w:type="dxa"/>
            <w:vAlign w:val="center"/>
          </w:tcPr>
          <w:p w14:paraId="7530040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w:t>
            </w:r>
          </w:p>
        </w:tc>
        <w:tc>
          <w:tcPr>
            <w:tcW w:w="1406" w:type="dxa"/>
            <w:vMerge w:val="continue"/>
            <w:vAlign w:val="center"/>
          </w:tcPr>
          <w:p w14:paraId="4E177A2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75B5FC8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61A51F54">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具备法人资格。</w:t>
            </w:r>
          </w:p>
        </w:tc>
        <w:tc>
          <w:tcPr>
            <w:tcW w:w="567" w:type="dxa"/>
            <w:vAlign w:val="center"/>
          </w:tcPr>
          <w:p w14:paraId="16AFCF8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71B94B1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6C83153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7BD1A0B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3104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580" w:type="dxa"/>
            <w:vAlign w:val="center"/>
          </w:tcPr>
          <w:p w14:paraId="2D1162E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3</w:t>
            </w:r>
          </w:p>
        </w:tc>
        <w:tc>
          <w:tcPr>
            <w:tcW w:w="1406" w:type="dxa"/>
            <w:vMerge w:val="continue"/>
            <w:vAlign w:val="center"/>
          </w:tcPr>
          <w:p w14:paraId="0F0C502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666C856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r>
              <w:rPr>
                <w:rFonts w:hint="eastAsia" w:ascii="Times New Roman" w:hAnsi="Times New Roman" w:eastAsia="仿宋_GB2312" w:cs="Times New Roman"/>
                <w:color w:val="000000" w:themeColor="text1"/>
                <w:kern w:val="2"/>
                <w:sz w:val="22"/>
                <w:szCs w:val="22"/>
              </w:rPr>
              <w:t>（共5分）</w:t>
            </w:r>
          </w:p>
        </w:tc>
        <w:tc>
          <w:tcPr>
            <w:tcW w:w="7507" w:type="dxa"/>
            <w:vAlign w:val="center"/>
          </w:tcPr>
          <w:p w14:paraId="6C47471D">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auto"/>
                <w:spacing w:val="-6"/>
                <w:kern w:val="2"/>
              </w:rPr>
              <w:t>申请</w:t>
            </w:r>
            <w:r>
              <w:rPr>
                <w:rFonts w:ascii="Times New Roman" w:hAnsi="Times New Roman" w:eastAsia="仿宋_GB2312" w:cs="Times New Roman"/>
                <w:color w:val="auto"/>
                <w:spacing w:val="-6"/>
                <w:kern w:val="2"/>
              </w:rPr>
              <w:t>机构持有医疗资质的，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5分；与</w:t>
            </w:r>
            <w:r>
              <w:rPr>
                <w:rFonts w:hint="eastAsia" w:ascii="Times New Roman" w:hAnsi="Times New Roman" w:eastAsia="仿宋_GB2312" w:cs="Times New Roman"/>
                <w:color w:val="auto"/>
                <w:spacing w:val="-6"/>
                <w:kern w:val="2"/>
              </w:rPr>
              <w:t>我市</w:t>
            </w:r>
            <w:r>
              <w:rPr>
                <w:rFonts w:ascii="Times New Roman" w:hAnsi="Times New Roman" w:eastAsia="仿宋_GB2312" w:cs="Times New Roman"/>
                <w:color w:val="auto"/>
                <w:spacing w:val="-6"/>
                <w:kern w:val="2"/>
              </w:rPr>
              <w:t>定点医疗机构达成合作协议并具备医疗服务能力的，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3分；与非定点医疗机构合作并具备能力的，</w:t>
            </w:r>
            <w:r>
              <w:rPr>
                <w:rFonts w:hint="eastAsia" w:ascii="Times New Roman" w:hAnsi="Times New Roman" w:eastAsia="仿宋_GB2312" w:cs="Times New Roman"/>
                <w:color w:val="auto"/>
                <w:spacing w:val="-6"/>
                <w:kern w:val="2"/>
              </w:rPr>
              <w:t>得</w:t>
            </w:r>
            <w:r>
              <w:rPr>
                <w:rFonts w:ascii="Times New Roman" w:hAnsi="Times New Roman" w:eastAsia="仿宋_GB2312" w:cs="Times New Roman"/>
                <w:color w:val="auto"/>
                <w:spacing w:val="-6"/>
                <w:kern w:val="2"/>
              </w:rPr>
              <w:t>1分。</w:t>
            </w:r>
          </w:p>
        </w:tc>
        <w:tc>
          <w:tcPr>
            <w:tcW w:w="567" w:type="dxa"/>
            <w:vAlign w:val="center"/>
          </w:tcPr>
          <w:p w14:paraId="05801D4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w:t>
            </w:r>
          </w:p>
        </w:tc>
        <w:tc>
          <w:tcPr>
            <w:tcW w:w="1011" w:type="dxa"/>
            <w:vAlign w:val="center"/>
          </w:tcPr>
          <w:p w14:paraId="1EF0A68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1131728C">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6B16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0" w:type="dxa"/>
            <w:vAlign w:val="center"/>
          </w:tcPr>
          <w:p w14:paraId="03B67D7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4</w:t>
            </w:r>
          </w:p>
        </w:tc>
        <w:tc>
          <w:tcPr>
            <w:tcW w:w="1406" w:type="dxa"/>
            <w:vMerge w:val="restart"/>
            <w:vAlign w:val="center"/>
          </w:tcPr>
          <w:p w14:paraId="0AF8346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ascii="Times New Roman" w:hAnsi="Times New Roman" w:eastAsia="仿宋_GB2312" w:cs="Times New Roman"/>
                <w:color w:val="000000" w:themeColor="text1"/>
                <w:kern w:val="2"/>
                <w:sz w:val="24"/>
                <w:szCs w:val="24"/>
              </w:rPr>
              <w:t>具备长期护理保险服务基础硬件设备和服务能力</w:t>
            </w:r>
          </w:p>
          <w:p w14:paraId="6EFECB5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3FCB17A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6D5830AB">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提供业务用房产权证明或租赁合同，租赁合同有效使用期限不少于1年。</w:t>
            </w:r>
          </w:p>
        </w:tc>
        <w:tc>
          <w:tcPr>
            <w:tcW w:w="567" w:type="dxa"/>
            <w:vAlign w:val="center"/>
          </w:tcPr>
          <w:p w14:paraId="6B5014B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7A38AA5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6AEBCC6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730D94E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7C48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580" w:type="dxa"/>
            <w:vAlign w:val="center"/>
          </w:tcPr>
          <w:p w14:paraId="5C4ABA1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5</w:t>
            </w:r>
          </w:p>
        </w:tc>
        <w:tc>
          <w:tcPr>
            <w:tcW w:w="1406" w:type="dxa"/>
            <w:vMerge w:val="continue"/>
            <w:vAlign w:val="center"/>
          </w:tcPr>
          <w:p w14:paraId="39D250B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546E303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223CF51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制定符合长期护理服务和结算管理要求的工作流程。配备不少于1名专（兼）职长护管理人员。</w:t>
            </w:r>
          </w:p>
        </w:tc>
        <w:tc>
          <w:tcPr>
            <w:tcW w:w="567" w:type="dxa"/>
            <w:vAlign w:val="center"/>
          </w:tcPr>
          <w:p w14:paraId="1792586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64564F5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E2EBA5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41AF472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46CD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580" w:type="dxa"/>
            <w:vAlign w:val="center"/>
          </w:tcPr>
          <w:p w14:paraId="165F4CF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6</w:t>
            </w:r>
          </w:p>
        </w:tc>
        <w:tc>
          <w:tcPr>
            <w:tcW w:w="1406" w:type="dxa"/>
            <w:vMerge w:val="continue"/>
            <w:vAlign w:val="center"/>
          </w:tcPr>
          <w:p w14:paraId="6117F99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6FCF049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73F04D40">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配备开展居家护理或者社区护理服务所需的服务设施、设备器材、医疗护理用具，必要的消毒、灭菌设备。</w:t>
            </w:r>
          </w:p>
        </w:tc>
        <w:tc>
          <w:tcPr>
            <w:tcW w:w="567" w:type="dxa"/>
            <w:vAlign w:val="center"/>
          </w:tcPr>
          <w:p w14:paraId="64D0913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305F4298">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18A9EB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4DF839C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792B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580" w:type="dxa"/>
            <w:vAlign w:val="center"/>
          </w:tcPr>
          <w:p w14:paraId="59FE54D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7</w:t>
            </w:r>
          </w:p>
        </w:tc>
        <w:tc>
          <w:tcPr>
            <w:tcW w:w="1406" w:type="dxa"/>
            <w:vMerge w:val="continue"/>
            <w:vAlign w:val="center"/>
          </w:tcPr>
          <w:p w14:paraId="0D09280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restart"/>
            <w:vAlign w:val="center"/>
          </w:tcPr>
          <w:p w14:paraId="3351544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p>
          <w:p w14:paraId="521C244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（35分）</w:t>
            </w:r>
          </w:p>
        </w:tc>
        <w:tc>
          <w:tcPr>
            <w:tcW w:w="7507" w:type="dxa"/>
            <w:vAlign w:val="center"/>
          </w:tcPr>
          <w:p w14:paraId="1CA89FDF">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设立有独立的带有标识标牌的长期护理保险管理部门、长期护理保险咨询服务台和意见箱，得2分。</w:t>
            </w:r>
          </w:p>
        </w:tc>
        <w:tc>
          <w:tcPr>
            <w:tcW w:w="567" w:type="dxa"/>
            <w:vAlign w:val="center"/>
          </w:tcPr>
          <w:p w14:paraId="0C09ECF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w:t>
            </w:r>
          </w:p>
        </w:tc>
        <w:tc>
          <w:tcPr>
            <w:tcW w:w="1011" w:type="dxa"/>
            <w:vAlign w:val="center"/>
          </w:tcPr>
          <w:p w14:paraId="73D4164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2A682A4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18C6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580" w:type="dxa"/>
            <w:vAlign w:val="center"/>
          </w:tcPr>
          <w:p w14:paraId="0A6527F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8</w:t>
            </w:r>
          </w:p>
        </w:tc>
        <w:tc>
          <w:tcPr>
            <w:tcW w:w="1406" w:type="dxa"/>
            <w:vMerge w:val="continue"/>
            <w:vAlign w:val="center"/>
          </w:tcPr>
          <w:p w14:paraId="65BA525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37F5D53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6D021B69">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经营场所建筑面积≥</w:t>
            </w:r>
            <w:r>
              <w:rPr>
                <w:rFonts w:ascii="Times New Roman" w:hAnsi="Times New Roman" w:eastAsia="仿宋_GB2312" w:cs="Times New Roman"/>
                <w:color w:val="000000" w:themeColor="text1"/>
                <w:kern w:val="2"/>
              </w:rPr>
              <w:t>150</w:t>
            </w:r>
            <w:r>
              <w:rPr>
                <w:rFonts w:hint="eastAsia" w:ascii="Times New Roman" w:hAnsi="Times New Roman" w:eastAsia="仿宋_GB2312" w:cs="Times New Roman"/>
                <w:color w:val="000000" w:themeColor="text1"/>
                <w:kern w:val="2"/>
              </w:rPr>
              <w:t>平方米，得</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分，每增加2</w:t>
            </w:r>
            <w:r>
              <w:rPr>
                <w:rFonts w:ascii="Times New Roman" w:hAnsi="Times New Roman" w:eastAsia="仿宋_GB2312" w:cs="Times New Roman"/>
                <w:color w:val="000000" w:themeColor="text1"/>
                <w:kern w:val="2"/>
              </w:rPr>
              <w:t>0</w:t>
            </w:r>
            <w:r>
              <w:rPr>
                <w:rFonts w:hint="eastAsia" w:ascii="Times New Roman" w:hAnsi="Times New Roman" w:eastAsia="仿宋_GB2312" w:cs="Times New Roman"/>
                <w:color w:val="000000" w:themeColor="text1"/>
                <w:kern w:val="2"/>
              </w:rPr>
              <w:t>个平方米，加</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分，最高得6分。</w:t>
            </w:r>
          </w:p>
        </w:tc>
        <w:tc>
          <w:tcPr>
            <w:tcW w:w="567" w:type="dxa"/>
            <w:vAlign w:val="center"/>
          </w:tcPr>
          <w:p w14:paraId="04E2895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6</w:t>
            </w:r>
          </w:p>
        </w:tc>
        <w:tc>
          <w:tcPr>
            <w:tcW w:w="1011" w:type="dxa"/>
            <w:vAlign w:val="center"/>
          </w:tcPr>
          <w:p w14:paraId="01BB0A80">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7F8E7FB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3866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80" w:type="dxa"/>
            <w:vAlign w:val="center"/>
          </w:tcPr>
          <w:p w14:paraId="0002416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9</w:t>
            </w:r>
          </w:p>
        </w:tc>
        <w:tc>
          <w:tcPr>
            <w:tcW w:w="1406" w:type="dxa"/>
            <w:vMerge w:val="continue"/>
            <w:vAlign w:val="center"/>
          </w:tcPr>
          <w:p w14:paraId="7193BC3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4BA8AC3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20E311E5">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长期护理服务和结算流程在申请机构显著位置公示的，得1分；长期护理保险管理人员名单在机构显著位置公示的，得1分。</w:t>
            </w:r>
          </w:p>
        </w:tc>
        <w:tc>
          <w:tcPr>
            <w:tcW w:w="567" w:type="dxa"/>
            <w:vAlign w:val="center"/>
          </w:tcPr>
          <w:p w14:paraId="4232513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w:t>
            </w:r>
          </w:p>
        </w:tc>
        <w:tc>
          <w:tcPr>
            <w:tcW w:w="1011" w:type="dxa"/>
            <w:vAlign w:val="center"/>
          </w:tcPr>
          <w:p w14:paraId="1F62685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1D49EF1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0A99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80" w:type="dxa"/>
            <w:vAlign w:val="center"/>
          </w:tcPr>
          <w:p w14:paraId="56ACD6A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10</w:t>
            </w:r>
          </w:p>
        </w:tc>
        <w:tc>
          <w:tcPr>
            <w:tcW w:w="1406" w:type="dxa"/>
            <w:vMerge w:val="continue"/>
            <w:vAlign w:val="center"/>
          </w:tcPr>
          <w:p w14:paraId="3FB38BE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660BD2F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6EA9660F">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具备基础的硬件设备：包括设置独立的咨询服务区、业务办公区（需配合符合要求的电脑设施设备）、档案管理区、实操培训区、消毒灭菌区，得5分。</w:t>
            </w:r>
          </w:p>
        </w:tc>
        <w:tc>
          <w:tcPr>
            <w:tcW w:w="567" w:type="dxa"/>
            <w:vAlign w:val="center"/>
          </w:tcPr>
          <w:p w14:paraId="73BD31D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w:t>
            </w:r>
          </w:p>
        </w:tc>
        <w:tc>
          <w:tcPr>
            <w:tcW w:w="1011" w:type="dxa"/>
            <w:vAlign w:val="center"/>
          </w:tcPr>
          <w:p w14:paraId="3C2E615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5A585AA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08A0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580" w:type="dxa"/>
            <w:vAlign w:val="center"/>
          </w:tcPr>
          <w:p w14:paraId="4BAD310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11</w:t>
            </w:r>
          </w:p>
        </w:tc>
        <w:tc>
          <w:tcPr>
            <w:tcW w:w="1406" w:type="dxa"/>
            <w:vMerge w:val="continue"/>
            <w:vAlign w:val="center"/>
          </w:tcPr>
          <w:p w14:paraId="4E3ED68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5BB8AB9E">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569CBD8A">
            <w:pPr>
              <w:widowControl w:val="0"/>
              <w:kinsoku/>
              <w:topLinePunct/>
              <w:autoSpaceDE/>
              <w:autoSpaceDN/>
              <w:spacing w:line="360" w:lineRule="exact"/>
              <w:jc w:val="both"/>
              <w:rPr>
                <w:rFonts w:ascii="Times New Roman" w:hAnsi="Times New Roman" w:eastAsia="仿宋_GB2312" w:cs="Times New Roman"/>
                <w:color w:val="000000" w:themeColor="text1"/>
                <w:kern w:val="2"/>
                <w:highlight w:val="yellow"/>
              </w:rPr>
            </w:pPr>
            <w:r>
              <w:rPr>
                <w:rFonts w:hint="eastAsia" w:ascii="Times New Roman" w:hAnsi="Times New Roman" w:eastAsia="仿宋_GB2312" w:cs="Times New Roman"/>
                <w:color w:val="000000" w:themeColor="text1"/>
                <w:kern w:val="2"/>
              </w:rPr>
              <w:t>具备开展《国家长期护理保险服务项目目录》中明确的长期护理服务项目</w:t>
            </w:r>
            <w:r>
              <w:rPr>
                <w:rFonts w:ascii="Times New Roman" w:hAnsi="Times New Roman" w:eastAsia="仿宋_GB2312" w:cs="Times New Roman"/>
                <w:color w:val="000000" w:themeColor="text1"/>
                <w:kern w:val="2"/>
              </w:rPr>
              <w:t>36</w:t>
            </w:r>
            <w:r>
              <w:rPr>
                <w:rFonts w:hint="eastAsia" w:ascii="Times New Roman" w:hAnsi="Times New Roman" w:eastAsia="仿宋_GB2312" w:cs="Times New Roman"/>
                <w:color w:val="000000" w:themeColor="text1"/>
                <w:kern w:val="2"/>
              </w:rPr>
              <w:t>项服务能力，生活照护类项目</w:t>
            </w:r>
            <w:r>
              <w:rPr>
                <w:rFonts w:ascii="Times New Roman" w:hAnsi="Times New Roman" w:eastAsia="仿宋_GB2312" w:cs="Times New Roman"/>
                <w:color w:val="000000" w:themeColor="text1"/>
                <w:kern w:val="2"/>
              </w:rPr>
              <w:t>20</w:t>
            </w:r>
            <w:r>
              <w:rPr>
                <w:rFonts w:hint="eastAsia" w:ascii="Times New Roman" w:hAnsi="Times New Roman" w:eastAsia="仿宋_GB2312" w:cs="Times New Roman"/>
                <w:color w:val="000000" w:themeColor="text1"/>
                <w:kern w:val="2"/>
              </w:rPr>
              <w:t>项（含饮食照护、排泄照护、清洁照护、穿脱衣物、功能维护、对症护理、生命体征监测、安全护理</w:t>
            </w:r>
            <w:r>
              <w:rPr>
                <w:rFonts w:ascii="Times New Roman" w:hAnsi="Times New Roman" w:eastAsia="仿宋_GB2312" w:cs="Times New Roman"/>
                <w:color w:val="000000" w:themeColor="text1"/>
                <w:kern w:val="2"/>
              </w:rPr>
              <w:t>8</w:t>
            </w:r>
            <w:r>
              <w:rPr>
                <w:rFonts w:hint="eastAsia" w:ascii="Times New Roman" w:hAnsi="Times New Roman" w:eastAsia="仿宋_GB2312" w:cs="Times New Roman"/>
                <w:color w:val="000000" w:themeColor="text1"/>
                <w:kern w:val="2"/>
              </w:rPr>
              <w:t>个项目类别），每个项目类别</w:t>
            </w:r>
            <w:r>
              <w:rPr>
                <w:rFonts w:ascii="Times New Roman" w:hAnsi="Times New Roman" w:eastAsia="仿宋_GB2312" w:cs="Times New Roman"/>
                <w:color w:val="000000" w:themeColor="text1"/>
                <w:kern w:val="2"/>
              </w:rPr>
              <w:t>0.25</w:t>
            </w:r>
            <w:r>
              <w:rPr>
                <w:rFonts w:hint="eastAsia" w:ascii="Times New Roman" w:hAnsi="Times New Roman" w:eastAsia="仿宋_GB2312" w:cs="Times New Roman"/>
                <w:color w:val="000000" w:themeColor="text1"/>
                <w:kern w:val="2"/>
              </w:rPr>
              <w:t>分，总分</w:t>
            </w:r>
            <w:r>
              <w:rPr>
                <w:rFonts w:ascii="Times New Roman" w:hAnsi="Times New Roman" w:eastAsia="仿宋_GB2312" w:cs="Times New Roman"/>
                <w:color w:val="000000" w:themeColor="text1"/>
                <w:kern w:val="2"/>
              </w:rPr>
              <w:t>2</w:t>
            </w:r>
            <w:r>
              <w:rPr>
                <w:rFonts w:hint="eastAsia" w:ascii="Times New Roman" w:hAnsi="Times New Roman" w:eastAsia="仿宋_GB2312" w:cs="Times New Roman"/>
                <w:color w:val="000000" w:themeColor="text1"/>
                <w:kern w:val="2"/>
              </w:rPr>
              <w:t>分；医疗护理类项目</w:t>
            </w:r>
            <w:r>
              <w:rPr>
                <w:rFonts w:ascii="Times New Roman" w:hAnsi="Times New Roman" w:eastAsia="仿宋_GB2312" w:cs="Times New Roman"/>
                <w:color w:val="000000" w:themeColor="text1"/>
                <w:kern w:val="2"/>
              </w:rPr>
              <w:t>16</w:t>
            </w:r>
            <w:r>
              <w:rPr>
                <w:rFonts w:hint="eastAsia" w:ascii="Times New Roman" w:hAnsi="Times New Roman" w:eastAsia="仿宋_GB2312" w:cs="Times New Roman"/>
                <w:color w:val="000000" w:themeColor="text1"/>
                <w:kern w:val="2"/>
              </w:rPr>
              <w:t>项（含一般检查护理、基础护理、专项护理、康复</w:t>
            </w:r>
            <w:r>
              <w:rPr>
                <w:rFonts w:ascii="Times New Roman" w:hAnsi="Times New Roman" w:eastAsia="仿宋_GB2312" w:cs="Times New Roman"/>
                <w:color w:val="000000" w:themeColor="text1"/>
                <w:kern w:val="2"/>
              </w:rPr>
              <w:t>4</w:t>
            </w:r>
            <w:r>
              <w:rPr>
                <w:rFonts w:hint="eastAsia" w:ascii="Times New Roman" w:hAnsi="Times New Roman" w:eastAsia="仿宋_GB2312" w:cs="Times New Roman"/>
                <w:color w:val="000000" w:themeColor="text1"/>
                <w:kern w:val="2"/>
              </w:rPr>
              <w:t>个项目类别），每个项目类别</w:t>
            </w:r>
            <w:r>
              <w:rPr>
                <w:rFonts w:ascii="Times New Roman" w:hAnsi="Times New Roman" w:eastAsia="仿宋_GB2312" w:cs="Times New Roman"/>
                <w:color w:val="000000" w:themeColor="text1"/>
                <w:kern w:val="2"/>
              </w:rPr>
              <w:t>0.5</w:t>
            </w:r>
            <w:r>
              <w:rPr>
                <w:rFonts w:hint="eastAsia" w:ascii="Times New Roman" w:hAnsi="Times New Roman" w:eastAsia="仿宋_GB2312" w:cs="Times New Roman"/>
                <w:color w:val="000000" w:themeColor="text1"/>
                <w:kern w:val="2"/>
              </w:rPr>
              <w:t>分，总分</w:t>
            </w:r>
            <w:r>
              <w:rPr>
                <w:rFonts w:ascii="Times New Roman" w:hAnsi="Times New Roman" w:eastAsia="仿宋_GB2312" w:cs="Times New Roman"/>
                <w:color w:val="000000" w:themeColor="text1"/>
                <w:kern w:val="2"/>
              </w:rPr>
              <w:t>2</w:t>
            </w:r>
            <w:r>
              <w:rPr>
                <w:rFonts w:hint="eastAsia" w:ascii="Times New Roman" w:hAnsi="Times New Roman" w:eastAsia="仿宋_GB2312" w:cs="Times New Roman"/>
                <w:color w:val="000000" w:themeColor="text1"/>
                <w:kern w:val="2"/>
              </w:rPr>
              <w:t>分。</w:t>
            </w:r>
          </w:p>
        </w:tc>
        <w:tc>
          <w:tcPr>
            <w:tcW w:w="567" w:type="dxa"/>
            <w:vAlign w:val="center"/>
          </w:tcPr>
          <w:p w14:paraId="56203B9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4</w:t>
            </w:r>
          </w:p>
        </w:tc>
        <w:tc>
          <w:tcPr>
            <w:tcW w:w="1011" w:type="dxa"/>
            <w:vAlign w:val="center"/>
          </w:tcPr>
          <w:p w14:paraId="2D9BBFC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4B1891D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64D6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80" w:type="dxa"/>
            <w:vAlign w:val="center"/>
          </w:tcPr>
          <w:p w14:paraId="0527EF6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12</w:t>
            </w:r>
          </w:p>
        </w:tc>
        <w:tc>
          <w:tcPr>
            <w:tcW w:w="1406" w:type="dxa"/>
            <w:vMerge w:val="continue"/>
            <w:vAlign w:val="center"/>
          </w:tcPr>
          <w:p w14:paraId="6817443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5FA1B67E">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59E2F3E9">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配备专业护理包、智能监管设备和消毒清洁用品：</w:t>
            </w:r>
          </w:p>
          <w:p w14:paraId="72B42050">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w:t>
            </w:r>
            <w:r>
              <w:rPr>
                <w:rFonts w:ascii="Times New Roman" w:hAnsi="Times New Roman" w:eastAsia="仿宋_GB2312" w:cs="Times New Roman"/>
                <w:color w:val="000000" w:themeColor="text1"/>
                <w:kern w:val="2"/>
              </w:rPr>
              <w:t>清洁护理</w:t>
            </w:r>
            <w:r>
              <w:rPr>
                <w:rFonts w:hint="eastAsia" w:ascii="Times New Roman" w:hAnsi="Times New Roman" w:eastAsia="仿宋_GB2312" w:cs="Times New Roman"/>
                <w:color w:val="000000" w:themeColor="text1"/>
                <w:kern w:val="2"/>
              </w:rPr>
              <w:t>包和生活照料工具</w:t>
            </w:r>
            <w:r>
              <w:rPr>
                <w:rFonts w:ascii="Times New Roman" w:hAnsi="Times New Roman" w:eastAsia="仿宋_GB2312" w:cs="Times New Roman"/>
                <w:color w:val="000000" w:themeColor="text1"/>
                <w:kern w:val="2"/>
              </w:rPr>
              <w:t>：包括口罩、湿纸巾</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电动推子和指甲剪</w:t>
            </w:r>
            <w:r>
              <w:rPr>
                <w:rFonts w:hint="eastAsia" w:ascii="Times New Roman" w:hAnsi="Times New Roman" w:eastAsia="仿宋_GB2312" w:cs="Times New Roman"/>
                <w:color w:val="000000" w:themeColor="text1"/>
                <w:kern w:val="2"/>
              </w:rPr>
              <w:t>、</w:t>
            </w:r>
            <w:r>
              <w:rPr>
                <w:rFonts w:ascii="Times New Roman" w:hAnsi="Times New Roman" w:eastAsia="仿宋_GB2312" w:cs="Times New Roman"/>
                <w:color w:val="000000" w:themeColor="text1"/>
                <w:kern w:val="2"/>
              </w:rPr>
              <w:t>专业的助浴设备等</w:t>
            </w:r>
            <w:r>
              <w:rPr>
                <w:rFonts w:hint="eastAsia" w:ascii="Times New Roman" w:hAnsi="Times New Roman" w:eastAsia="仿宋_GB2312" w:cs="Times New Roman"/>
                <w:color w:val="000000" w:themeColor="text1"/>
                <w:kern w:val="2"/>
              </w:rPr>
              <w:t>，得2分。</w:t>
            </w:r>
          </w:p>
          <w:p w14:paraId="034881C5">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2.基本生命体征监测：电子血压计、血糖仪、血氧饱和度仪等，用于日常健康监测，得3分；</w:t>
            </w:r>
          </w:p>
          <w:p w14:paraId="0FA71AD7">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3.专业护理器具：如吸痰器、雾化器、制氧机、轮椅、助行器等，用于执行吸痰、雾化、移动协助等专业操作，得3分；</w:t>
            </w:r>
          </w:p>
          <w:p w14:paraId="18BD6D65">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4.专项护理耗材与急救包：包含无菌换药包、口腔护理包、导尿包，以及应急的急救包和氧气袋等，得3分；</w:t>
            </w:r>
          </w:p>
          <w:p w14:paraId="361A8A84">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5.服务记录设备：护理人员需使用手机或定制设备，在不触碰用户隐私边界的前提下，上传服务录音、图片或视频，形成电子档案，全程记录服务执行细节，实现服务过程的可查、可审、可监督的，得3分；</w:t>
            </w:r>
          </w:p>
        </w:tc>
        <w:tc>
          <w:tcPr>
            <w:tcW w:w="567" w:type="dxa"/>
            <w:vAlign w:val="center"/>
          </w:tcPr>
          <w:p w14:paraId="3340C71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14</w:t>
            </w:r>
          </w:p>
        </w:tc>
        <w:tc>
          <w:tcPr>
            <w:tcW w:w="1011" w:type="dxa"/>
            <w:vAlign w:val="center"/>
          </w:tcPr>
          <w:p w14:paraId="57228EB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63CA597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2F4A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580" w:type="dxa"/>
            <w:vAlign w:val="center"/>
          </w:tcPr>
          <w:p w14:paraId="117FD8A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13</w:t>
            </w:r>
          </w:p>
        </w:tc>
        <w:tc>
          <w:tcPr>
            <w:tcW w:w="1406" w:type="dxa"/>
            <w:vMerge w:val="continue"/>
            <w:vAlign w:val="center"/>
          </w:tcPr>
          <w:p w14:paraId="70A7CBD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70431DD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59DD9AC0">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为护理人员居家服务，配备统一服装、服务包（箱）、工作证的，得2分。</w:t>
            </w:r>
          </w:p>
        </w:tc>
        <w:tc>
          <w:tcPr>
            <w:tcW w:w="567" w:type="dxa"/>
            <w:vAlign w:val="center"/>
          </w:tcPr>
          <w:p w14:paraId="25868E25">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w:t>
            </w:r>
          </w:p>
        </w:tc>
        <w:tc>
          <w:tcPr>
            <w:tcW w:w="1011" w:type="dxa"/>
            <w:vAlign w:val="center"/>
          </w:tcPr>
          <w:p w14:paraId="3607E57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67FB507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4214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580" w:type="dxa"/>
            <w:vAlign w:val="center"/>
          </w:tcPr>
          <w:p w14:paraId="5D3E390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14</w:t>
            </w:r>
          </w:p>
        </w:tc>
        <w:tc>
          <w:tcPr>
            <w:tcW w:w="1406" w:type="dxa"/>
            <w:vMerge w:val="restart"/>
            <w:vAlign w:val="center"/>
          </w:tcPr>
          <w:p w14:paraId="371D9C1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具备护士，以及行政部门（或授权第三方机构）颁发职业技能证书的护理员</w:t>
            </w:r>
          </w:p>
        </w:tc>
        <w:tc>
          <w:tcPr>
            <w:tcW w:w="1218" w:type="dxa"/>
            <w:vMerge w:val="restart"/>
            <w:vAlign w:val="center"/>
          </w:tcPr>
          <w:p w14:paraId="05FA68E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7296A554">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提供居家护理或者社区护理服务的定点长护服务机构应当配备专业护理服务团队，长期照护师、养老护理员等护理服务人员不少于4人；具备医疗资质的机构，医护人员不少于2人。</w:t>
            </w:r>
          </w:p>
        </w:tc>
        <w:tc>
          <w:tcPr>
            <w:tcW w:w="567" w:type="dxa"/>
            <w:vAlign w:val="center"/>
          </w:tcPr>
          <w:p w14:paraId="185171B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0783559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5478385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2316F07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1979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80" w:type="dxa"/>
            <w:vAlign w:val="center"/>
          </w:tcPr>
          <w:p w14:paraId="18C1BB3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15</w:t>
            </w:r>
          </w:p>
        </w:tc>
        <w:tc>
          <w:tcPr>
            <w:tcW w:w="1406" w:type="dxa"/>
            <w:vMerge w:val="continue"/>
            <w:vAlign w:val="center"/>
          </w:tcPr>
          <w:p w14:paraId="5B385EB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1C964044">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4B2C238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本机构所配备的长期护理保险服务护理人员，仅在本申请机构内提供定点机构护理服务，不超出本机构范围多点开展长期护理保险机构护理相关业务。</w:t>
            </w:r>
          </w:p>
        </w:tc>
        <w:tc>
          <w:tcPr>
            <w:tcW w:w="567" w:type="dxa"/>
            <w:vAlign w:val="center"/>
          </w:tcPr>
          <w:p w14:paraId="775AEB8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760B31F9">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26890EA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7304C80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19D0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0" w:type="dxa"/>
            <w:vAlign w:val="center"/>
          </w:tcPr>
          <w:p w14:paraId="6EF9996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16</w:t>
            </w:r>
          </w:p>
        </w:tc>
        <w:tc>
          <w:tcPr>
            <w:tcW w:w="1406" w:type="dxa"/>
            <w:vMerge w:val="continue"/>
            <w:vAlign w:val="center"/>
          </w:tcPr>
          <w:p w14:paraId="787E52D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restart"/>
            <w:vAlign w:val="center"/>
          </w:tcPr>
          <w:p w14:paraId="213BEC7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p>
          <w:p w14:paraId="12EBC1F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（共30分）</w:t>
            </w:r>
          </w:p>
        </w:tc>
        <w:tc>
          <w:tcPr>
            <w:tcW w:w="7507" w:type="dxa"/>
            <w:vAlign w:val="center"/>
          </w:tcPr>
          <w:p w14:paraId="797DCD3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auto"/>
                <w:kern w:val="2"/>
              </w:rPr>
              <w:t>具备养老护理员、医疗护理员、长期照护师</w:t>
            </w:r>
            <w:r>
              <w:rPr>
                <w:rFonts w:hint="eastAsia" w:ascii="Times New Roman" w:hAnsi="Times New Roman" w:eastAsia="仿宋_GB2312" w:cs="Times New Roman"/>
                <w:color w:val="000000" w:themeColor="text1"/>
                <w:kern w:val="2"/>
              </w:rPr>
              <w:t>职业技能证书之一的护理员在</w:t>
            </w:r>
            <w:r>
              <w:rPr>
                <w:rFonts w:ascii="Times New Roman" w:hAnsi="Times New Roman" w:eastAsia="仿宋_GB2312" w:cs="Times New Roman"/>
                <w:color w:val="000000" w:themeColor="text1"/>
                <w:kern w:val="2"/>
              </w:rPr>
              <w:t>4</w:t>
            </w:r>
            <w:r>
              <w:rPr>
                <w:rFonts w:hint="eastAsia" w:ascii="Times New Roman" w:hAnsi="Times New Roman" w:eastAsia="仿宋_GB2312" w:cs="Times New Roman"/>
                <w:color w:val="000000" w:themeColor="text1"/>
                <w:kern w:val="2"/>
              </w:rPr>
              <w:t>人的基础上，每增加</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人，得</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分，最多得</w:t>
            </w:r>
            <w:r>
              <w:rPr>
                <w:rFonts w:ascii="Times New Roman" w:hAnsi="Times New Roman" w:eastAsia="仿宋_GB2312" w:cs="Times New Roman"/>
                <w:color w:val="000000" w:themeColor="text1"/>
                <w:kern w:val="2"/>
              </w:rPr>
              <w:t>20</w:t>
            </w:r>
            <w:r>
              <w:rPr>
                <w:rFonts w:hint="eastAsia" w:ascii="Times New Roman" w:hAnsi="Times New Roman" w:eastAsia="仿宋_GB2312" w:cs="Times New Roman"/>
                <w:color w:val="000000" w:themeColor="text1"/>
                <w:kern w:val="2"/>
              </w:rPr>
              <w:t>分。</w:t>
            </w:r>
          </w:p>
        </w:tc>
        <w:tc>
          <w:tcPr>
            <w:tcW w:w="567" w:type="dxa"/>
            <w:vAlign w:val="center"/>
          </w:tcPr>
          <w:p w14:paraId="6A35B92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20</w:t>
            </w:r>
          </w:p>
        </w:tc>
        <w:tc>
          <w:tcPr>
            <w:tcW w:w="1011" w:type="dxa"/>
            <w:vAlign w:val="center"/>
          </w:tcPr>
          <w:p w14:paraId="2A0DCE3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6EADBA4C">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61D4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80" w:type="dxa"/>
            <w:vAlign w:val="center"/>
          </w:tcPr>
          <w:p w14:paraId="7D7C207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17</w:t>
            </w:r>
          </w:p>
        </w:tc>
        <w:tc>
          <w:tcPr>
            <w:tcW w:w="1406" w:type="dxa"/>
            <w:vMerge w:val="continue"/>
            <w:vAlign w:val="center"/>
          </w:tcPr>
          <w:p w14:paraId="1DF5C9ED">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Merge w:val="continue"/>
            <w:vAlign w:val="center"/>
          </w:tcPr>
          <w:p w14:paraId="79503D2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7507" w:type="dxa"/>
            <w:vAlign w:val="center"/>
          </w:tcPr>
          <w:p w14:paraId="1647A40B">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具备医疗服务能力的医护人员在</w:t>
            </w:r>
            <w:r>
              <w:rPr>
                <w:rFonts w:ascii="Times New Roman" w:hAnsi="Times New Roman" w:eastAsia="仿宋_GB2312" w:cs="Times New Roman"/>
                <w:color w:val="000000" w:themeColor="text1"/>
                <w:kern w:val="2"/>
              </w:rPr>
              <w:t>2</w:t>
            </w:r>
            <w:r>
              <w:rPr>
                <w:rFonts w:hint="eastAsia" w:ascii="Times New Roman" w:hAnsi="Times New Roman" w:eastAsia="仿宋_GB2312" w:cs="Times New Roman"/>
                <w:color w:val="000000" w:themeColor="text1"/>
                <w:kern w:val="2"/>
              </w:rPr>
              <w:t>人基础上，每增加</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名具备医疗资质的医护人员，得</w:t>
            </w:r>
            <w:r>
              <w:rPr>
                <w:rFonts w:ascii="Times New Roman" w:hAnsi="Times New Roman" w:eastAsia="仿宋_GB2312" w:cs="Times New Roman"/>
                <w:color w:val="000000" w:themeColor="text1"/>
                <w:kern w:val="2"/>
              </w:rPr>
              <w:t>1</w:t>
            </w:r>
            <w:r>
              <w:rPr>
                <w:rFonts w:hint="eastAsia" w:ascii="Times New Roman" w:hAnsi="Times New Roman" w:eastAsia="仿宋_GB2312" w:cs="Times New Roman"/>
                <w:color w:val="000000" w:themeColor="text1"/>
                <w:kern w:val="2"/>
              </w:rPr>
              <w:t>分，最多得</w:t>
            </w:r>
            <w:r>
              <w:rPr>
                <w:rFonts w:ascii="Times New Roman" w:hAnsi="Times New Roman" w:eastAsia="仿宋_GB2312" w:cs="Times New Roman"/>
                <w:color w:val="000000" w:themeColor="text1"/>
                <w:kern w:val="2"/>
              </w:rPr>
              <w:t>10</w:t>
            </w:r>
            <w:r>
              <w:rPr>
                <w:rFonts w:hint="eastAsia" w:ascii="Times New Roman" w:hAnsi="Times New Roman" w:eastAsia="仿宋_GB2312" w:cs="Times New Roman"/>
                <w:color w:val="000000" w:themeColor="text1"/>
                <w:kern w:val="2"/>
              </w:rPr>
              <w:t>分。</w:t>
            </w:r>
          </w:p>
        </w:tc>
        <w:tc>
          <w:tcPr>
            <w:tcW w:w="567" w:type="dxa"/>
            <w:vAlign w:val="center"/>
          </w:tcPr>
          <w:p w14:paraId="556CF29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10</w:t>
            </w:r>
          </w:p>
        </w:tc>
        <w:tc>
          <w:tcPr>
            <w:tcW w:w="1011" w:type="dxa"/>
            <w:vAlign w:val="center"/>
          </w:tcPr>
          <w:p w14:paraId="4FA283D6">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28A8767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356E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580" w:type="dxa"/>
            <w:vAlign w:val="center"/>
          </w:tcPr>
          <w:p w14:paraId="38271293">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18</w:t>
            </w:r>
          </w:p>
        </w:tc>
        <w:tc>
          <w:tcPr>
            <w:tcW w:w="1406" w:type="dxa"/>
            <w:vMerge w:val="restart"/>
            <w:vAlign w:val="center"/>
          </w:tcPr>
          <w:p w14:paraId="4E006FA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具有符合协议管理要求的护理服务管理、质量评价、人员管理、财务管理、信息管理、档案管理等制度</w:t>
            </w:r>
          </w:p>
        </w:tc>
        <w:tc>
          <w:tcPr>
            <w:tcW w:w="1218" w:type="dxa"/>
            <w:vAlign w:val="center"/>
          </w:tcPr>
          <w:p w14:paraId="01C8939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06D1EE1B">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具有与长期护理保险政策规定相适应的服务管理、财务管理、</w:t>
            </w:r>
            <w:r>
              <w:rPr>
                <w:rFonts w:hint="eastAsia" w:ascii="Times New Roman" w:hAnsi="Times New Roman" w:eastAsia="仿宋_GB2312" w:cs="Times New Roman"/>
                <w:color w:val="auto"/>
                <w:kern w:val="2"/>
              </w:rPr>
              <w:t>信息管理</w:t>
            </w:r>
            <w:r>
              <w:rPr>
                <w:rFonts w:hint="eastAsia" w:ascii="Times New Roman" w:hAnsi="Times New Roman" w:eastAsia="仿宋_GB2312" w:cs="Times New Roman"/>
                <w:color w:val="000000" w:themeColor="text1"/>
                <w:kern w:val="2"/>
              </w:rPr>
              <w:t>、内控管理、人员管理、档案管理等制度。</w:t>
            </w:r>
          </w:p>
        </w:tc>
        <w:tc>
          <w:tcPr>
            <w:tcW w:w="567" w:type="dxa"/>
            <w:vAlign w:val="center"/>
          </w:tcPr>
          <w:p w14:paraId="3EA83FC7">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57A3881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37A84D2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4EA545A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1987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580" w:type="dxa"/>
            <w:vAlign w:val="center"/>
          </w:tcPr>
          <w:p w14:paraId="5F9309C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19</w:t>
            </w:r>
          </w:p>
        </w:tc>
        <w:tc>
          <w:tcPr>
            <w:tcW w:w="1406" w:type="dxa"/>
            <w:vMerge w:val="continue"/>
            <w:vAlign w:val="center"/>
          </w:tcPr>
          <w:p w14:paraId="26EAC52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179A22F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p>
          <w:p w14:paraId="0F3B2CC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（共15分）</w:t>
            </w:r>
          </w:p>
        </w:tc>
        <w:tc>
          <w:tcPr>
            <w:tcW w:w="7507" w:type="dxa"/>
            <w:vAlign w:val="center"/>
          </w:tcPr>
          <w:p w14:paraId="6C309A3D">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1.每有一项内部管理制度完整、合理、可操作落实，得0.5分，最高得3分。</w:t>
            </w:r>
          </w:p>
          <w:p w14:paraId="1F9A03DC">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2.配备具备专业能力的兼职财务人员，得1分；配备具备专业能力的专职财务人员，得2分（提供人员相关资质等证明材料）。</w:t>
            </w:r>
          </w:p>
          <w:p w14:paraId="7292BF66">
            <w:pPr>
              <w:widowControl w:val="0"/>
              <w:kinsoku/>
              <w:topLinePunct/>
              <w:autoSpaceDE/>
              <w:autoSpaceDN/>
              <w:spacing w:line="360" w:lineRule="exact"/>
              <w:jc w:val="both"/>
              <w:rPr>
                <w:rFonts w:ascii="Times New Roman" w:hAnsi="Times New Roman" w:eastAsia="仿宋_GB2312" w:cs="Times New Roman"/>
                <w:color w:val="000000" w:themeColor="text1"/>
                <w:kern w:val="2"/>
                <w:highlight w:val="yellow"/>
              </w:rPr>
            </w:pPr>
            <w:r>
              <w:rPr>
                <w:rFonts w:hint="eastAsia" w:ascii="Times New Roman" w:hAnsi="Times New Roman" w:eastAsia="仿宋_GB2312" w:cs="Times New Roman"/>
                <w:color w:val="000000" w:themeColor="text1"/>
                <w:kern w:val="2"/>
              </w:rPr>
              <w:t>3.</w:t>
            </w:r>
            <w:r>
              <w:rPr>
                <w:rFonts w:hint="eastAsia" w:ascii="Times New Roman" w:hAnsi="Times New Roman" w:eastAsia="仿宋_GB2312" w:cs="Times New Roman"/>
                <w:color w:val="auto"/>
                <w:kern w:val="2"/>
              </w:rPr>
              <w:t>申请机构建立服务质量监督及评价方案，得1分，方案完整、合理、可操作落实，加2分。</w:t>
            </w:r>
            <w:r>
              <w:rPr>
                <w:rFonts w:hint="eastAsia" w:ascii="Times New Roman" w:hAnsi="Times New Roman" w:eastAsia="仿宋_GB2312" w:cs="Times New Roman"/>
                <w:color w:val="auto"/>
                <w:kern w:val="2"/>
              </w:rPr>
              <w:br w:type="textWrapping"/>
            </w:r>
            <w:r>
              <w:rPr>
                <w:rFonts w:hint="eastAsia" w:ascii="Times New Roman" w:hAnsi="Times New Roman" w:eastAsia="仿宋_GB2312" w:cs="Times New Roman"/>
                <w:color w:val="auto"/>
                <w:kern w:val="2"/>
              </w:rPr>
              <w:t>4.申请机构建立了护理人员护理技能培训考核制度，得1分，制度完整、合理、可操作落实，加2分。</w:t>
            </w:r>
            <w:r>
              <w:rPr>
                <w:rFonts w:hint="eastAsia" w:ascii="Times New Roman" w:hAnsi="Times New Roman" w:eastAsia="仿宋_GB2312" w:cs="Times New Roman"/>
                <w:color w:val="auto"/>
                <w:kern w:val="2"/>
              </w:rPr>
              <w:br w:type="textWrapping"/>
            </w:r>
            <w:r>
              <w:rPr>
                <w:rFonts w:hint="eastAsia" w:ascii="Times New Roman" w:hAnsi="Times New Roman" w:eastAsia="仿宋_GB2312" w:cs="Times New Roman"/>
                <w:color w:val="auto"/>
                <w:kern w:val="2"/>
              </w:rPr>
              <w:t>5.建立护理服务风险管理机</w:t>
            </w:r>
            <w:bookmarkStart w:id="0" w:name="_GoBack"/>
            <w:bookmarkEnd w:id="0"/>
            <w:r>
              <w:rPr>
                <w:rFonts w:hint="eastAsia" w:ascii="Times New Roman" w:hAnsi="Times New Roman" w:eastAsia="仿宋_GB2312" w:cs="Times New Roman"/>
                <w:color w:val="auto"/>
                <w:kern w:val="2"/>
              </w:rPr>
              <w:t>制，能有效防范护理服务过程中的各类意外风险的，并为护理服务从业人员购买相应意外保险的，得2分。</w:t>
            </w:r>
            <w:r>
              <w:rPr>
                <w:rFonts w:hint="eastAsia" w:ascii="Times New Roman" w:hAnsi="Times New Roman" w:eastAsia="仿宋_GB2312" w:cs="Times New Roman"/>
                <w:color w:val="auto"/>
                <w:kern w:val="2"/>
              </w:rPr>
              <w:br w:type="textWrapping"/>
            </w:r>
            <w:r>
              <w:rPr>
                <w:rFonts w:hint="eastAsia" w:ascii="Times New Roman" w:hAnsi="Times New Roman" w:eastAsia="仿宋_GB2312" w:cs="Times New Roman"/>
                <w:color w:val="auto"/>
                <w:kern w:val="2"/>
              </w:rPr>
              <w:t>6.申请机构定期组织护理员参加急救等相关安全教育培训，护理员熟悉急救知识，掌握急救技能的（须提供培训记录、考核记录等），得2分。</w:t>
            </w:r>
          </w:p>
        </w:tc>
        <w:tc>
          <w:tcPr>
            <w:tcW w:w="567" w:type="dxa"/>
            <w:vAlign w:val="center"/>
          </w:tcPr>
          <w:p w14:paraId="02C599E7">
            <w:pPr>
              <w:widowControl w:val="0"/>
              <w:kinsoku/>
              <w:topLinePunct/>
              <w:autoSpaceDE/>
              <w:autoSpaceDN/>
              <w:spacing w:line="360" w:lineRule="exact"/>
              <w:jc w:val="center"/>
              <w:rPr>
                <w:rFonts w:ascii="Times New Roman" w:hAnsi="Times New Roman" w:eastAsia="仿宋_GB2312" w:cs="Times New Roman"/>
                <w:color w:val="000000" w:themeColor="text1"/>
                <w:kern w:val="2"/>
                <w:highlight w:val="yellow"/>
              </w:rPr>
            </w:pPr>
            <w:r>
              <w:rPr>
                <w:rFonts w:hint="eastAsia" w:ascii="Times New Roman" w:hAnsi="Times New Roman" w:eastAsia="仿宋_GB2312" w:cs="Times New Roman"/>
                <w:color w:val="000000" w:themeColor="text1"/>
                <w:kern w:val="2"/>
              </w:rPr>
              <w:t>15</w:t>
            </w:r>
          </w:p>
        </w:tc>
        <w:tc>
          <w:tcPr>
            <w:tcW w:w="1011" w:type="dxa"/>
            <w:vAlign w:val="center"/>
          </w:tcPr>
          <w:p w14:paraId="71ADF17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3915EF3A">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3729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80" w:type="dxa"/>
            <w:vAlign w:val="center"/>
          </w:tcPr>
          <w:p w14:paraId="776459B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20</w:t>
            </w:r>
          </w:p>
        </w:tc>
        <w:tc>
          <w:tcPr>
            <w:tcW w:w="1406" w:type="dxa"/>
            <w:vMerge w:val="restart"/>
            <w:vAlign w:val="center"/>
          </w:tcPr>
          <w:p w14:paraId="5FD3F317">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信息化支撑能力能够满足长期护理保险信息化要求</w:t>
            </w:r>
          </w:p>
        </w:tc>
        <w:tc>
          <w:tcPr>
            <w:tcW w:w="1218" w:type="dxa"/>
            <w:vAlign w:val="center"/>
          </w:tcPr>
          <w:p w14:paraId="6121993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60FEAC7D">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使用全国统一的医保信息平台长期护理保险相关功能，与医保信息平台长期护理保险功能模块按接口标准进行对接等条件，在环境内实行专机专用、专网专用，按照国家相关法律要求，提供必要的网信安全保障措施。</w:t>
            </w:r>
          </w:p>
        </w:tc>
        <w:tc>
          <w:tcPr>
            <w:tcW w:w="567" w:type="dxa"/>
            <w:vAlign w:val="center"/>
          </w:tcPr>
          <w:p w14:paraId="252C2063">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28E33BC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3079E60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4F7ADACF">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7861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80" w:type="dxa"/>
            <w:vAlign w:val="center"/>
          </w:tcPr>
          <w:p w14:paraId="3E03B85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21</w:t>
            </w:r>
          </w:p>
        </w:tc>
        <w:tc>
          <w:tcPr>
            <w:tcW w:w="1406" w:type="dxa"/>
            <w:vMerge w:val="continue"/>
            <w:vAlign w:val="center"/>
          </w:tcPr>
          <w:p w14:paraId="2FC456B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1A3ECA20">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p>
          <w:p w14:paraId="75DCF0D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（共</w:t>
            </w:r>
            <w:r>
              <w:rPr>
                <w:rFonts w:ascii="Times New Roman" w:hAnsi="Times New Roman" w:eastAsia="仿宋_GB2312" w:cs="Times New Roman"/>
                <w:color w:val="000000" w:themeColor="text1"/>
                <w:kern w:val="2"/>
                <w:sz w:val="24"/>
                <w:szCs w:val="24"/>
              </w:rPr>
              <w:t>10</w:t>
            </w:r>
            <w:r>
              <w:rPr>
                <w:rFonts w:hint="eastAsia" w:ascii="Times New Roman" w:hAnsi="Times New Roman" w:eastAsia="仿宋_GB2312" w:cs="Times New Roman"/>
                <w:color w:val="000000" w:themeColor="text1"/>
                <w:kern w:val="2"/>
                <w:sz w:val="24"/>
                <w:szCs w:val="24"/>
              </w:rPr>
              <w:t>分）</w:t>
            </w:r>
          </w:p>
        </w:tc>
        <w:tc>
          <w:tcPr>
            <w:tcW w:w="7507" w:type="dxa"/>
            <w:vAlign w:val="center"/>
          </w:tcPr>
          <w:p w14:paraId="381018F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1.具备与国家医保信息平台长期护理模块对接的技术能力（需提供技术能力相关证明材料），得2分。能在成为定点服务机构后1个月内完成本机构与国家医保信息平台长期护理模块技术改造工作，加2分。</w:t>
            </w:r>
          </w:p>
          <w:p w14:paraId="5C9A5953">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2.有专门的信息技术管理维护人员，得2分。故障发生时及时处理，响应时长≤1小时，加1分。</w:t>
            </w:r>
          </w:p>
          <w:p w14:paraId="2861BBB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3.具备通过医保</w:t>
            </w:r>
            <w:r>
              <w:rPr>
                <w:rFonts w:hint="eastAsia" w:ascii="Times New Roman" w:hAnsi="Times New Roman" w:eastAsia="仿宋_GB2312" w:cs="Times New Roman"/>
                <w:color w:val="auto"/>
                <w:kern w:val="2"/>
              </w:rPr>
              <w:t>专网接入国家医保信息平台长期护</w:t>
            </w:r>
            <w:r>
              <w:rPr>
                <w:rFonts w:hint="eastAsia" w:ascii="Times New Roman" w:hAnsi="Times New Roman" w:eastAsia="仿宋_GB2312" w:cs="Times New Roman"/>
                <w:color w:val="000000" w:themeColor="text1"/>
                <w:kern w:val="2"/>
              </w:rPr>
              <w:t>理管理系统，并与互联网物理隔离，配备防火墙、入侵检测、数据备份等安全防护设施，符合医保网络安全保护要求，得3分。</w:t>
            </w:r>
          </w:p>
        </w:tc>
        <w:tc>
          <w:tcPr>
            <w:tcW w:w="567" w:type="dxa"/>
            <w:vAlign w:val="center"/>
          </w:tcPr>
          <w:p w14:paraId="486A366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10</w:t>
            </w:r>
          </w:p>
        </w:tc>
        <w:tc>
          <w:tcPr>
            <w:tcW w:w="1011" w:type="dxa"/>
            <w:vAlign w:val="center"/>
          </w:tcPr>
          <w:p w14:paraId="2DB6546E">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46D1C43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2876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580" w:type="dxa"/>
            <w:vAlign w:val="center"/>
          </w:tcPr>
          <w:p w14:paraId="5020C75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22</w:t>
            </w:r>
          </w:p>
        </w:tc>
        <w:tc>
          <w:tcPr>
            <w:tcW w:w="1406" w:type="dxa"/>
            <w:vMerge w:val="restart"/>
            <w:vAlign w:val="center"/>
          </w:tcPr>
          <w:p w14:paraId="148B6A4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具备长期护理保险档案管理条件</w:t>
            </w:r>
          </w:p>
        </w:tc>
        <w:tc>
          <w:tcPr>
            <w:tcW w:w="1218" w:type="dxa"/>
            <w:vAlign w:val="center"/>
          </w:tcPr>
          <w:p w14:paraId="43792FA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1B2648A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推进长护险“一人一档”建设，档案由专人负责管理、固定存放区域、一人一档且标识清楚，能根据工作要求及时调阅。</w:t>
            </w:r>
          </w:p>
        </w:tc>
        <w:tc>
          <w:tcPr>
            <w:tcW w:w="567" w:type="dxa"/>
            <w:vAlign w:val="center"/>
          </w:tcPr>
          <w:p w14:paraId="26BD00FC">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3BDB9BBD">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72F2737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5A451D02">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214D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580" w:type="dxa"/>
            <w:vAlign w:val="center"/>
          </w:tcPr>
          <w:p w14:paraId="6F02FF4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23</w:t>
            </w:r>
          </w:p>
        </w:tc>
        <w:tc>
          <w:tcPr>
            <w:tcW w:w="1406" w:type="dxa"/>
            <w:vMerge w:val="continue"/>
            <w:vAlign w:val="center"/>
          </w:tcPr>
          <w:p w14:paraId="6108079B">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c>
          <w:tcPr>
            <w:tcW w:w="1218" w:type="dxa"/>
            <w:vAlign w:val="center"/>
          </w:tcPr>
          <w:p w14:paraId="0C18A3CC">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二级指标</w:t>
            </w:r>
          </w:p>
          <w:p w14:paraId="28507E76">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（共5分）</w:t>
            </w:r>
          </w:p>
        </w:tc>
        <w:tc>
          <w:tcPr>
            <w:tcW w:w="7507" w:type="dxa"/>
            <w:vAlign w:val="center"/>
          </w:tcPr>
          <w:p w14:paraId="331034EF">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具备护理服务对象“一人一档”的全周期档案管理条件，得2分，实行电子化档案管理的，加3分。</w:t>
            </w:r>
          </w:p>
        </w:tc>
        <w:tc>
          <w:tcPr>
            <w:tcW w:w="567" w:type="dxa"/>
            <w:vAlign w:val="center"/>
          </w:tcPr>
          <w:p w14:paraId="0FCB73EB">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w:t>
            </w:r>
          </w:p>
        </w:tc>
        <w:tc>
          <w:tcPr>
            <w:tcW w:w="1011" w:type="dxa"/>
            <w:vAlign w:val="center"/>
          </w:tcPr>
          <w:p w14:paraId="0B2AAF9A">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得    分</w:t>
            </w:r>
          </w:p>
        </w:tc>
        <w:tc>
          <w:tcPr>
            <w:tcW w:w="665" w:type="dxa"/>
            <w:vAlign w:val="center"/>
          </w:tcPr>
          <w:p w14:paraId="7F9F6761">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661E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0" w:hRule="atLeast"/>
        </w:trPr>
        <w:tc>
          <w:tcPr>
            <w:tcW w:w="580" w:type="dxa"/>
            <w:vAlign w:val="center"/>
          </w:tcPr>
          <w:p w14:paraId="47DDD6D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24</w:t>
            </w:r>
          </w:p>
        </w:tc>
        <w:tc>
          <w:tcPr>
            <w:tcW w:w="1406" w:type="dxa"/>
            <w:vAlign w:val="center"/>
          </w:tcPr>
          <w:p w14:paraId="248772A9">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无不予受理的情况</w:t>
            </w:r>
          </w:p>
        </w:tc>
        <w:tc>
          <w:tcPr>
            <w:tcW w:w="1218" w:type="dxa"/>
            <w:vAlign w:val="center"/>
          </w:tcPr>
          <w:p w14:paraId="7B468998">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r>
              <w:rPr>
                <w:rFonts w:hint="eastAsia" w:ascii="Times New Roman" w:hAnsi="Times New Roman" w:eastAsia="仿宋_GB2312" w:cs="Times New Roman"/>
                <w:color w:val="000000" w:themeColor="text1"/>
                <w:kern w:val="2"/>
                <w:sz w:val="24"/>
                <w:szCs w:val="24"/>
              </w:rPr>
              <w:t>一级指标</w:t>
            </w:r>
          </w:p>
        </w:tc>
        <w:tc>
          <w:tcPr>
            <w:tcW w:w="7507" w:type="dxa"/>
            <w:vAlign w:val="center"/>
          </w:tcPr>
          <w:p w14:paraId="5C198201">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无以下不予受理情形：</w:t>
            </w:r>
          </w:p>
          <w:p w14:paraId="599D4EE2">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1.受到相关行政部门行政处罚（处理），但未完全履行处罚（处理）责任；</w:t>
            </w:r>
          </w:p>
          <w:p w14:paraId="02E80ADF">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2.以弄虚作假等不正当手段申请定点管理，自发现之日起未满3年；</w:t>
            </w:r>
          </w:p>
          <w:p w14:paraId="1AF5CD87">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3.因违法违规或者严重违反协议约定而被解除协议未满3年，或者已满3年但未完全履行违约责任；</w:t>
            </w:r>
          </w:p>
          <w:p w14:paraId="62DA7694">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4.法定代表人、主要负责人、实际控制人或者股东设立长期护理保险失能等级评估机构；</w:t>
            </w:r>
          </w:p>
          <w:p w14:paraId="720407FE">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5.法定代表人、主要负责人或者实际控制人被列入严重失信名单；</w:t>
            </w:r>
          </w:p>
          <w:p w14:paraId="1FB3A19F">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6.法定代表人、主要负责人或者实际控制人因严重违法违规造成长期护理保险基金重大损失或者严重不良社会影响，被禁止从事定点长护服务机构管理活动不满5年；</w:t>
            </w:r>
          </w:p>
          <w:p w14:paraId="494C1E76">
            <w:pPr>
              <w:widowControl w:val="0"/>
              <w:kinsoku/>
              <w:topLinePunct/>
              <w:autoSpaceDE/>
              <w:autoSpaceDN/>
              <w:spacing w:line="360" w:lineRule="exact"/>
              <w:jc w:val="both"/>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7.法律法规和规章规定的其他不予受理的情形。</w:t>
            </w:r>
          </w:p>
        </w:tc>
        <w:tc>
          <w:tcPr>
            <w:tcW w:w="567" w:type="dxa"/>
            <w:vAlign w:val="center"/>
          </w:tcPr>
          <w:p w14:paraId="08397C92">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hint="eastAsia" w:ascii="Times New Roman" w:hAnsi="Times New Roman" w:eastAsia="仿宋_GB2312" w:cs="Times New Roman"/>
                <w:color w:val="000000" w:themeColor="text1"/>
                <w:kern w:val="2"/>
              </w:rPr>
              <w:t>／</w:t>
            </w:r>
          </w:p>
        </w:tc>
        <w:tc>
          <w:tcPr>
            <w:tcW w:w="1011" w:type="dxa"/>
            <w:vAlign w:val="center"/>
          </w:tcPr>
          <w:p w14:paraId="206CAF81">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符合</w:t>
            </w:r>
            <w:r>
              <w:rPr>
                <w:rFonts w:hint="eastAsia" w:ascii="Times New Roman" w:hAnsi="Times New Roman" w:eastAsia="仿宋_GB2312" w:cs="Times New Roman"/>
                <w:color w:val="000000" w:themeColor="text1"/>
                <w:kern w:val="2"/>
              </w:rPr>
              <w:sym w:font="Wingdings 2" w:char="00A3"/>
            </w:r>
          </w:p>
          <w:p w14:paraId="04959FC4">
            <w:pPr>
              <w:widowControl w:val="0"/>
              <w:kinsoku/>
              <w:topLinePunct/>
              <w:autoSpaceDE/>
              <w:autoSpaceDN/>
              <w:spacing w:line="360" w:lineRule="exact"/>
              <w:jc w:val="center"/>
              <w:rPr>
                <w:rFonts w:ascii="Times New Roman" w:hAnsi="Times New Roman" w:eastAsia="仿宋_GB2312" w:cs="Times New Roman"/>
                <w:color w:val="000000" w:themeColor="text1"/>
                <w:kern w:val="2"/>
              </w:rPr>
            </w:pPr>
            <w:r>
              <w:rPr>
                <w:rFonts w:ascii="Times New Roman" w:hAnsi="Times New Roman" w:eastAsia="仿宋_GB2312" w:cs="Times New Roman"/>
                <w:color w:val="000000" w:themeColor="text1"/>
                <w:kern w:val="2"/>
              </w:rPr>
              <w:t>不符合</w:t>
            </w:r>
            <w:r>
              <w:rPr>
                <w:rFonts w:hint="eastAsia" w:ascii="Times New Roman" w:hAnsi="Times New Roman" w:eastAsia="仿宋_GB2312" w:cs="Times New Roman"/>
                <w:color w:val="000000" w:themeColor="text1"/>
                <w:kern w:val="2"/>
              </w:rPr>
              <w:sym w:font="Wingdings 2" w:char="00A3"/>
            </w:r>
          </w:p>
        </w:tc>
        <w:tc>
          <w:tcPr>
            <w:tcW w:w="665" w:type="dxa"/>
            <w:vAlign w:val="center"/>
          </w:tcPr>
          <w:p w14:paraId="7B1EC2A5">
            <w:pPr>
              <w:widowControl w:val="0"/>
              <w:kinsoku/>
              <w:topLinePunct/>
              <w:autoSpaceDE/>
              <w:autoSpaceDN/>
              <w:spacing w:line="360" w:lineRule="exact"/>
              <w:jc w:val="center"/>
              <w:rPr>
                <w:rFonts w:ascii="Times New Roman" w:hAnsi="Times New Roman" w:eastAsia="仿宋_GB2312" w:cs="Times New Roman"/>
                <w:color w:val="000000" w:themeColor="text1"/>
                <w:kern w:val="2"/>
                <w:sz w:val="24"/>
                <w:szCs w:val="24"/>
              </w:rPr>
            </w:pPr>
          </w:p>
        </w:tc>
      </w:tr>
      <w:tr w14:paraId="5569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2954" w:type="dxa"/>
            <w:gridSpan w:val="7"/>
            <w:vAlign w:val="center"/>
          </w:tcPr>
          <w:p w14:paraId="2DC0B844">
            <w:pPr>
              <w:widowControl w:val="0"/>
              <w:autoSpaceDE/>
              <w:autoSpaceDN/>
              <w:spacing w:line="360" w:lineRule="exact"/>
              <w:ind w:firstLine="720" w:firstLineChars="300"/>
              <w:jc w:val="both"/>
              <w:rPr>
                <w:rFonts w:hint="eastAsia" w:ascii="FangSong" w:hAnsi="FangSong" w:eastAsia="FangSong" w:cs="FangSong"/>
                <w:color w:val="auto"/>
                <w:kern w:val="2"/>
                <w:sz w:val="24"/>
                <w:szCs w:val="24"/>
              </w:rPr>
            </w:pPr>
            <w:r>
              <w:rPr>
                <w:rFonts w:hint="eastAsia" w:ascii="FangSong" w:hAnsi="FangSong" w:eastAsia="FangSong" w:cs="FangSong"/>
                <w:color w:val="auto"/>
                <w:kern w:val="2"/>
                <w:sz w:val="24"/>
                <w:szCs w:val="24"/>
              </w:rPr>
              <w:t>评估结果：一级指标：符合</w:t>
            </w:r>
            <w:r>
              <w:rPr>
                <w:rFonts w:hint="eastAsia" w:ascii="Times New Roman" w:hAnsi="Times New Roman" w:eastAsia="仿宋_GB2312" w:cs="Times New Roman"/>
                <w:color w:val="000000" w:themeColor="text1"/>
                <w:kern w:val="2"/>
              </w:rPr>
              <w:sym w:font="Wingdings 2" w:char="00A3"/>
            </w:r>
            <w:r>
              <w:rPr>
                <w:rFonts w:hint="eastAsia" w:ascii="Times New Roman" w:hAnsi="Times New Roman" w:eastAsia="仿宋_GB2312" w:cs="Times New Roman"/>
                <w:color w:val="000000" w:themeColor="text1"/>
                <w:kern w:val="2"/>
              </w:rPr>
              <w:t>，</w:t>
            </w:r>
            <w:r>
              <w:rPr>
                <w:rFonts w:hint="eastAsia" w:ascii="FangSong" w:hAnsi="FangSong" w:eastAsia="FangSong" w:cs="FangSong"/>
                <w:color w:val="auto"/>
                <w:kern w:val="2"/>
                <w:sz w:val="24"/>
                <w:szCs w:val="24"/>
              </w:rPr>
              <w:t>不符合</w:t>
            </w:r>
            <w:r>
              <w:rPr>
                <w:rFonts w:hint="eastAsia" w:ascii="Times New Roman" w:hAnsi="Times New Roman" w:eastAsia="仿宋_GB2312" w:cs="Times New Roman"/>
                <w:color w:val="000000" w:themeColor="text1"/>
                <w:kern w:val="2"/>
              </w:rPr>
              <w:sym w:font="Wingdings 2" w:char="00A3"/>
            </w:r>
            <w:r>
              <w:rPr>
                <w:rFonts w:hint="eastAsia" w:ascii="Times New Roman" w:hAnsi="Times New Roman" w:eastAsia="仿宋_GB2312" w:cs="Times New Roman"/>
                <w:color w:val="000000" w:themeColor="text1"/>
                <w:kern w:val="2"/>
              </w:rPr>
              <w:t>；</w:t>
            </w:r>
            <w:r>
              <w:rPr>
                <w:rFonts w:hint="eastAsia" w:ascii="FangSong" w:hAnsi="FangSong" w:eastAsia="FangSong" w:cs="FangSong"/>
                <w:color w:val="auto"/>
                <w:kern w:val="2"/>
                <w:sz w:val="24"/>
                <w:szCs w:val="24"/>
              </w:rPr>
              <w:t>二级指标共得</w:t>
            </w:r>
            <w:r>
              <w:rPr>
                <w:rFonts w:hint="eastAsia" w:ascii="FangSong" w:hAnsi="FangSong" w:eastAsia="FangSong" w:cs="FangSong"/>
                <w:color w:val="auto"/>
                <w:kern w:val="2"/>
                <w:sz w:val="24"/>
                <w:szCs w:val="24"/>
                <w:u w:val="single"/>
              </w:rPr>
              <w:t xml:space="preserve">    </w:t>
            </w:r>
            <w:r>
              <w:rPr>
                <w:rFonts w:hint="eastAsia" w:ascii="FangSong" w:hAnsi="FangSong" w:eastAsia="FangSong" w:cs="FangSong"/>
                <w:color w:val="auto"/>
                <w:kern w:val="2"/>
                <w:sz w:val="24"/>
                <w:szCs w:val="24"/>
              </w:rPr>
              <w:t>分。</w:t>
            </w:r>
          </w:p>
        </w:tc>
      </w:tr>
    </w:tbl>
    <w:p w14:paraId="55A41407">
      <w:pPr>
        <w:pStyle w:val="12"/>
        <w:ind w:firstLine="548"/>
        <w:rPr>
          <w:sz w:val="28"/>
          <w:szCs w:val="28"/>
        </w:rPr>
      </w:pPr>
      <w:r>
        <w:rPr>
          <w:sz w:val="28"/>
          <w:szCs w:val="28"/>
        </w:rPr>
        <w:t>备注：</w:t>
      </w:r>
    </w:p>
    <w:p w14:paraId="12A12CDC">
      <w:pPr>
        <w:pStyle w:val="12"/>
        <w:ind w:firstLine="548"/>
        <w:rPr>
          <w:sz w:val="28"/>
          <w:szCs w:val="28"/>
        </w:rPr>
      </w:pPr>
      <w:r>
        <w:rPr>
          <w:color w:val="000000" w:themeColor="text1"/>
          <w:sz w:val="28"/>
          <w:szCs w:val="28"/>
        </w:rPr>
        <w:t>1</w:t>
      </w:r>
      <w:r>
        <w:rPr>
          <w:sz w:val="28"/>
          <w:szCs w:val="28"/>
        </w:rPr>
        <w:t>.一级指标有一项不符合，评估结果即为不合格；一级指标全部符合，二级指标按得分从高到低顺序择优确定拟纳入定点的长护服务机构。</w:t>
      </w:r>
    </w:p>
    <w:p w14:paraId="4C429F01">
      <w:pPr>
        <w:pStyle w:val="12"/>
        <w:ind w:firstLine="548"/>
        <w:rPr>
          <w:sz w:val="28"/>
          <w:szCs w:val="28"/>
        </w:rPr>
      </w:pPr>
      <w:r>
        <w:rPr>
          <w:sz w:val="28"/>
          <w:szCs w:val="28"/>
        </w:rPr>
        <w:t>2.本表格一式两份，申请机构、经办机构各留存一份。</w:t>
      </w:r>
    </w:p>
    <w:p w14:paraId="32DAD436">
      <w:pPr>
        <w:pStyle w:val="12"/>
        <w:ind w:firstLine="0" w:firstLineChars="0"/>
        <w:rPr>
          <w:color w:val="000000" w:themeColor="text1"/>
          <w:sz w:val="24"/>
          <w:szCs w:val="24"/>
        </w:rPr>
      </w:pPr>
    </w:p>
    <w:p w14:paraId="100BF635">
      <w:pPr>
        <w:pStyle w:val="12"/>
        <w:ind w:firstLine="0" w:firstLineChars="0"/>
        <w:rPr>
          <w:color w:val="000000" w:themeColor="text1"/>
          <w:sz w:val="24"/>
          <w:szCs w:val="24"/>
        </w:rPr>
      </w:pPr>
    </w:p>
    <w:p w14:paraId="35F119E2">
      <w:pPr>
        <w:rPr>
          <w:rFonts w:ascii="Times New Roman" w:eastAsia="仿宋_GB2312" w:cs="Times New Roman"/>
          <w:sz w:val="28"/>
          <w:szCs w:val="28"/>
        </w:rPr>
      </w:pPr>
      <w:r>
        <w:rPr>
          <w:rFonts w:ascii="Times New Roman" w:eastAsia="仿宋_GB2312" w:cs="Times New Roman"/>
          <w:sz w:val="28"/>
          <w:szCs w:val="28"/>
        </w:rPr>
        <w:t>现场评估人员签字确认：</w:t>
      </w:r>
      <w:r>
        <w:rPr>
          <w:rFonts w:hint="eastAsia" w:ascii="Times New Roman" w:eastAsia="仿宋_GB2312" w:cs="Times New Roman"/>
          <w:sz w:val="28"/>
          <w:szCs w:val="28"/>
        </w:rPr>
        <w:t xml:space="preserve">                                                                         </w:t>
      </w:r>
      <w:r>
        <w:rPr>
          <w:rFonts w:ascii="Times New Roman" w:eastAsia="仿宋_GB2312" w:cs="Times New Roman"/>
          <w:sz w:val="28"/>
          <w:szCs w:val="28"/>
        </w:rPr>
        <w:t>申请机构签字确认（盖章）：</w:t>
      </w:r>
    </w:p>
    <w:sectPr>
      <w:headerReference r:id="rId3" w:type="default"/>
      <w:footerReference r:id="rId4" w:type="default"/>
      <w:pgSz w:w="16820" w:h="11900" w:orient="landscape"/>
      <w:pgMar w:top="1587" w:right="2098" w:bottom="1474" w:left="1984" w:header="851" w:footer="1417" w:gutter="0"/>
      <w:cols w:space="0"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
    <w:panose1 w:val="02010609060101010101"/>
    <w:charset w:val="86"/>
    <w:family w:val="modern"/>
    <w:pitch w:val="default"/>
    <w:sig w:usb0="800002BF" w:usb1="38CF7CFA" w:usb2="00000016" w:usb3="00000000" w:csb0="00040001" w:csb1="00000000"/>
  </w:font>
  <w:font w:name="方正黑体_GBK">
    <w:panose1 w:val="02000000000000000000"/>
    <w:charset w:val="86"/>
    <w:family w:val="script"/>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1D493">
    <w:pPr>
      <w:spacing w:line="14" w:lineRule="auto"/>
      <w:rPr>
        <w:sz w:val="2"/>
      </w:rPr>
    </w:pPr>
    <w:r>
      <w:rPr>
        <w:sz w:val="2"/>
      </w:rPr>
      <w:pict>
        <v:shape id="_x0000_s1027" o:spid="_x0000_s1027" o:spt="202" type="#_x0000_t202" style="position:absolute;left:0pt;margin-left:-27.8pt;height:144pt;width:144pt;mso-position-horizontal-relative:margin;mso-position-vertical:outside;mso-position-vertical-relative:margin;mso-wrap-style:none;z-index:251659264;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1mVotYAAAAIAQAADwAAAAAAAAABACAAAAAiAAAAZHJzL2Rvd25yZXYu&#10;eG1sUEsBAhQAFAAAAAgAh07iQEdhVsY2AgAAYQQAAA4AAAAAAAAAAQAgAAAAJQEAAGRycy9lMm9E&#10;b2MueG1sUEsFBgAAAAAGAAYAWQEAAM0FAAAAAA==&#10;">
          <v:path/>
          <v:fill on="f" focussize="0,0"/>
          <v:stroke on="f" weight="0.5pt" joinstyle="miter"/>
          <v:imagedata o:title=""/>
          <o:lock v:ext="edit"/>
          <v:textbox inset="0mm,16pt,0mm,16pt" style="layout-flow:vertical-ideographic;mso-fit-shape-to-text:t;">
            <w:txbxContent>
              <w:p w14:paraId="372076C6">
                <w:pPr>
                  <w:pStyle w:val="13"/>
                  <w:rPr>
                    <w:rFonts w:hint="eastAsia" w:ascii="宋体" w:hAnsi="宋体" w:eastAsia="宋体"/>
                    <w:sz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CBD8">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enforcement="0"/>
  <w:defaultTabStop w:val="420"/>
  <w:drawingGridHorizontalSpacing w:val="105"/>
  <w:drawingGridVerticalSpacing w:val="156"/>
  <w:noPunctuationKerning w:val="1"/>
  <w:characterSpacingControl w:val="doNotCompress"/>
  <w:hdrShapeDefaults>
    <o:shapelayout v:ext="edit">
      <o:idmap v:ext="edit" data="1"/>
    </o:shapelayout>
  </w:hdrShapeDefaults>
  <w:compat>
    <w:spaceForUL/>
    <w:ulTrailSpace/>
    <w:doNotExpandShiftReturn/>
    <w:useFELayout/>
    <w:compatSetting w:name="compatibilityMode" w:uri="http://schemas.microsoft.com/office/word" w:val="12"/>
  </w:compat>
  <w:docVars>
    <w:docVar w:name="KGWebUrl" w:val="http://10.3.1.25:80/seeyon/officeservlet"/>
  </w:docVars>
  <w:rsids>
    <w:rsidRoot w:val="000D40AD"/>
    <w:rsid w:val="00035CF6"/>
    <w:rsid w:val="00083E0F"/>
    <w:rsid w:val="000856C1"/>
    <w:rsid w:val="000D40AD"/>
    <w:rsid w:val="000E0B23"/>
    <w:rsid w:val="000E233E"/>
    <w:rsid w:val="00102A12"/>
    <w:rsid w:val="001066F9"/>
    <w:rsid w:val="00133887"/>
    <w:rsid w:val="001360D5"/>
    <w:rsid w:val="0019406E"/>
    <w:rsid w:val="001F055F"/>
    <w:rsid w:val="00215C4A"/>
    <w:rsid w:val="00255BF7"/>
    <w:rsid w:val="002C4161"/>
    <w:rsid w:val="00313FAF"/>
    <w:rsid w:val="00350BFA"/>
    <w:rsid w:val="0035377C"/>
    <w:rsid w:val="003B4767"/>
    <w:rsid w:val="003B5EE2"/>
    <w:rsid w:val="003C559F"/>
    <w:rsid w:val="00426FCA"/>
    <w:rsid w:val="00445854"/>
    <w:rsid w:val="00465C88"/>
    <w:rsid w:val="0047705E"/>
    <w:rsid w:val="004928A4"/>
    <w:rsid w:val="004D64BD"/>
    <w:rsid w:val="00530920"/>
    <w:rsid w:val="00550CDA"/>
    <w:rsid w:val="00556FDC"/>
    <w:rsid w:val="005B20A5"/>
    <w:rsid w:val="005C2249"/>
    <w:rsid w:val="005D0BDE"/>
    <w:rsid w:val="005E5451"/>
    <w:rsid w:val="00604631"/>
    <w:rsid w:val="006343FD"/>
    <w:rsid w:val="006350DD"/>
    <w:rsid w:val="00655821"/>
    <w:rsid w:val="006B6DD0"/>
    <w:rsid w:val="006C4859"/>
    <w:rsid w:val="006F0DA3"/>
    <w:rsid w:val="0073047D"/>
    <w:rsid w:val="007503E2"/>
    <w:rsid w:val="00752110"/>
    <w:rsid w:val="00797E6B"/>
    <w:rsid w:val="007B3DDD"/>
    <w:rsid w:val="007C61A8"/>
    <w:rsid w:val="007E0128"/>
    <w:rsid w:val="007F58FC"/>
    <w:rsid w:val="00800643"/>
    <w:rsid w:val="00816374"/>
    <w:rsid w:val="00846A66"/>
    <w:rsid w:val="00870091"/>
    <w:rsid w:val="00872A3F"/>
    <w:rsid w:val="008747D4"/>
    <w:rsid w:val="00881698"/>
    <w:rsid w:val="008B638D"/>
    <w:rsid w:val="008C1B7D"/>
    <w:rsid w:val="008D7A82"/>
    <w:rsid w:val="00932A92"/>
    <w:rsid w:val="00951904"/>
    <w:rsid w:val="009759A9"/>
    <w:rsid w:val="00993EEB"/>
    <w:rsid w:val="009A77CF"/>
    <w:rsid w:val="009D2990"/>
    <w:rsid w:val="00A05ACD"/>
    <w:rsid w:val="00A14715"/>
    <w:rsid w:val="00A24EEC"/>
    <w:rsid w:val="00A41A71"/>
    <w:rsid w:val="00A5133A"/>
    <w:rsid w:val="00A8277F"/>
    <w:rsid w:val="00AB3804"/>
    <w:rsid w:val="00AB69D9"/>
    <w:rsid w:val="00AC169C"/>
    <w:rsid w:val="00AC444B"/>
    <w:rsid w:val="00AD5188"/>
    <w:rsid w:val="00AF52E9"/>
    <w:rsid w:val="00B014B5"/>
    <w:rsid w:val="00B41077"/>
    <w:rsid w:val="00B74D98"/>
    <w:rsid w:val="00B75A1C"/>
    <w:rsid w:val="00B770D3"/>
    <w:rsid w:val="00B949EE"/>
    <w:rsid w:val="00BB01BF"/>
    <w:rsid w:val="00BB5C89"/>
    <w:rsid w:val="00BE1BBF"/>
    <w:rsid w:val="00BE33CE"/>
    <w:rsid w:val="00BE4628"/>
    <w:rsid w:val="00BF149F"/>
    <w:rsid w:val="00BF5330"/>
    <w:rsid w:val="00BF6135"/>
    <w:rsid w:val="00C2644F"/>
    <w:rsid w:val="00C40AB1"/>
    <w:rsid w:val="00C7661B"/>
    <w:rsid w:val="00C85A5F"/>
    <w:rsid w:val="00C92FB3"/>
    <w:rsid w:val="00CA071C"/>
    <w:rsid w:val="00CB1F94"/>
    <w:rsid w:val="00CC0A9A"/>
    <w:rsid w:val="00CD6EE0"/>
    <w:rsid w:val="00CE6273"/>
    <w:rsid w:val="00D10A70"/>
    <w:rsid w:val="00D25BE6"/>
    <w:rsid w:val="00D44D30"/>
    <w:rsid w:val="00D86561"/>
    <w:rsid w:val="00DC6A1A"/>
    <w:rsid w:val="00E00D12"/>
    <w:rsid w:val="00E00D53"/>
    <w:rsid w:val="00E03EA6"/>
    <w:rsid w:val="00E06793"/>
    <w:rsid w:val="00E327D8"/>
    <w:rsid w:val="00E534CD"/>
    <w:rsid w:val="00E54189"/>
    <w:rsid w:val="00E575D8"/>
    <w:rsid w:val="00E74715"/>
    <w:rsid w:val="00E92786"/>
    <w:rsid w:val="00EC0794"/>
    <w:rsid w:val="00EC7E64"/>
    <w:rsid w:val="00EE1F59"/>
    <w:rsid w:val="00F22671"/>
    <w:rsid w:val="00F55F23"/>
    <w:rsid w:val="00F60B5A"/>
    <w:rsid w:val="00F66836"/>
    <w:rsid w:val="00F71501"/>
    <w:rsid w:val="00F765A4"/>
    <w:rsid w:val="00F90DB9"/>
    <w:rsid w:val="00F923A2"/>
    <w:rsid w:val="00FA0AC3"/>
    <w:rsid w:val="00FA12F6"/>
    <w:rsid w:val="00FB5F41"/>
    <w:rsid w:val="00FF377E"/>
    <w:rsid w:val="00FF6CE7"/>
    <w:rsid w:val="07DC3FCA"/>
    <w:rsid w:val="10C758B1"/>
    <w:rsid w:val="16213B5B"/>
    <w:rsid w:val="16F87D15"/>
    <w:rsid w:val="172E3AB6"/>
    <w:rsid w:val="24F97E75"/>
    <w:rsid w:val="273D6E5A"/>
    <w:rsid w:val="29686BF8"/>
    <w:rsid w:val="2B1226F6"/>
    <w:rsid w:val="2F6F2F61"/>
    <w:rsid w:val="399734E1"/>
    <w:rsid w:val="3AA6584E"/>
    <w:rsid w:val="44644D47"/>
    <w:rsid w:val="464F1F5D"/>
    <w:rsid w:val="48AA2CA3"/>
    <w:rsid w:val="51C03E02"/>
    <w:rsid w:val="51CA08CA"/>
    <w:rsid w:val="58FA118E"/>
    <w:rsid w:val="5B0074DB"/>
    <w:rsid w:val="5BAC5385"/>
    <w:rsid w:val="5F835356"/>
    <w:rsid w:val="706B6FC3"/>
    <w:rsid w:val="76036E07"/>
    <w:rsid w:val="7B1A08BF"/>
    <w:rsid w:val="DEBF6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next w:val="1"/>
    <w:link w:val="44"/>
    <w:qFormat/>
    <w:uiPriority w:val="9"/>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43"/>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link w:val="42"/>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qFormat/>
    <w:uiPriority w:val="0"/>
    <w:pPr>
      <w:tabs>
        <w:tab w:val="center" w:pos="4153"/>
        <w:tab w:val="right" w:pos="8307"/>
      </w:tabs>
    </w:pPr>
    <w:rPr>
      <w:sz w:val="18"/>
      <w:szCs w:val="18"/>
    </w:rPr>
  </w:style>
  <w:style w:type="paragraph" w:styleId="14">
    <w:name w:val="header"/>
    <w:basedOn w:val="1"/>
    <w:qFormat/>
    <w:uiPriority w:val="0"/>
    <w:pPr>
      <w:pBdr>
        <w:bottom w:val="single" w:color="auto" w:sz="6" w:space="1"/>
      </w:pBdr>
      <w:tabs>
        <w:tab w:val="center" w:pos="4153"/>
        <w:tab w:val="right" w:pos="8307"/>
      </w:tabs>
      <w:jc w:val="center"/>
    </w:pPr>
    <w:rPr>
      <w:sz w:val="18"/>
      <w:szCs w:val="18"/>
    </w:rPr>
  </w:style>
  <w:style w:type="paragraph" w:styleId="15">
    <w:name w:val="toc 1"/>
    <w:basedOn w:val="1"/>
    <w:next w:val="1"/>
    <w:qFormat/>
    <w:uiPriority w:val="0"/>
  </w:style>
  <w:style w:type="paragraph" w:styleId="16">
    <w:name w:val="Subtitle"/>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qFormat/>
    <w:uiPriority w:val="99"/>
    <w:pPr>
      <w:kinsoku/>
      <w:autoSpaceDE/>
      <w:autoSpaceDN/>
      <w:adjustRightInd/>
      <w:snapToGrid/>
      <w:spacing w:beforeAutospacing="1" w:afterAutospacing="1"/>
      <w:textAlignment w:val="auto"/>
    </w:pPr>
    <w:rPr>
      <w:rFonts w:ascii="宋体" w:hAnsi="宋体" w:cs="宋体"/>
      <w:snapToGrid/>
      <w:color w:val="auto"/>
      <w:sz w:val="24"/>
      <w:szCs w:val="24"/>
    </w:rPr>
  </w:style>
  <w:style w:type="paragraph" w:styleId="18">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9">
    <w:name w:val="annotation subject"/>
    <w:basedOn w:val="11"/>
    <w:next w:val="11"/>
    <w:qFormat/>
    <w:uiPriority w:val="0"/>
    <w:rPr>
      <w:b/>
      <w:bCs/>
    </w:rPr>
  </w:style>
  <w:style w:type="paragraph" w:styleId="20">
    <w:name w:val="Body Text First Indent"/>
    <w:basedOn w:val="12"/>
    <w:next w:val="12"/>
    <w:qFormat/>
    <w:uiPriority w:val="0"/>
    <w:pPr>
      <w:ind w:firstLine="10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annotation reference"/>
    <w:basedOn w:val="23"/>
    <w:qFormat/>
    <w:uiPriority w:val="0"/>
    <w:rPr>
      <w:sz w:val="21"/>
      <w:szCs w:val="21"/>
    </w:rPr>
  </w:style>
  <w:style w:type="paragraph" w:customStyle="1" w:styleId="26">
    <w:name w:val="Table Text"/>
    <w:basedOn w:val="1"/>
    <w:qFormat/>
    <w:uiPriority w:val="0"/>
  </w:style>
  <w:style w:type="paragraph" w:customStyle="1" w:styleId="27">
    <w:name w:val="修订1"/>
    <w:qFormat/>
    <w:uiPriority w:val="0"/>
    <w:rPr>
      <w:rFonts w:ascii="Arial" w:hAnsi="Arial" w:eastAsia="Arial" w:cs="Arial"/>
      <w:snapToGrid w:val="0"/>
      <w:color w:val="000000"/>
      <w:sz w:val="21"/>
      <w:szCs w:val="21"/>
      <w:lang w:val="en-US" w:eastAsia="zh-CN" w:bidi="ar-SA"/>
    </w:rPr>
  </w:style>
  <w:style w:type="paragraph" w:customStyle="1" w:styleId="28">
    <w:name w:val="修订2"/>
    <w:hidden/>
    <w:semiHidden/>
    <w:qFormat/>
    <w:uiPriority w:val="99"/>
    <w:rPr>
      <w:rFonts w:ascii="Arial" w:hAnsi="Arial" w:eastAsia="Arial" w:cs="Arial"/>
      <w:snapToGrid w:val="0"/>
      <w:color w:val="000000"/>
      <w:sz w:val="21"/>
      <w:szCs w:val="21"/>
      <w:lang w:val="en-US" w:eastAsia="zh-CN" w:bidi="ar-SA"/>
    </w:rPr>
  </w:style>
  <w:style w:type="paragraph" w:customStyle="1" w:styleId="29">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character" w:customStyle="1" w:styleId="30">
    <w:name w:val="标题 2 Char"/>
    <w:qFormat/>
    <w:uiPriority w:val="9"/>
    <w:rPr>
      <w:rFonts w:ascii="Times New Roman" w:hAnsi="Times New Roman" w:eastAsia="楷体_GB2312" w:cs="楷体_GB2312"/>
      <w:sz w:val="32"/>
      <w:szCs w:val="32"/>
    </w:rPr>
  </w:style>
  <w:style w:type="character" w:customStyle="1" w:styleId="31">
    <w:name w:val="标题 1 Char"/>
    <w:qFormat/>
    <w:uiPriority w:val="9"/>
    <w:rPr>
      <w:rFonts w:ascii="黑体" w:hAnsi="黑体" w:eastAsia="黑体" w:cs="黑体"/>
      <w:kern w:val="44"/>
      <w:sz w:val="32"/>
      <w:szCs w:val="32"/>
    </w:rPr>
  </w:style>
  <w:style w:type="character" w:customStyle="1" w:styleId="32">
    <w:name w:val="font11"/>
    <w:basedOn w:val="23"/>
    <w:qFormat/>
    <w:uiPriority w:val="0"/>
    <w:rPr>
      <w:rFonts w:hint="eastAsia" w:ascii="宋体" w:hAnsi="宋体" w:eastAsia="宋体" w:cs="宋体"/>
      <w:b/>
      <w:bCs/>
      <w:color w:val="000000"/>
      <w:sz w:val="22"/>
      <w:szCs w:val="22"/>
      <w:u w:val="none"/>
    </w:rPr>
  </w:style>
  <w:style w:type="character" w:customStyle="1" w:styleId="33">
    <w:name w:val="font21"/>
    <w:basedOn w:val="23"/>
    <w:qFormat/>
    <w:uiPriority w:val="0"/>
    <w:rPr>
      <w:rFonts w:hint="eastAsia" w:ascii="宋体" w:hAnsi="宋体" w:eastAsia="宋体" w:cs="宋体"/>
      <w:b/>
      <w:bCs/>
      <w:color w:val="FF0000"/>
      <w:sz w:val="22"/>
      <w:szCs w:val="22"/>
      <w:u w:val="none"/>
    </w:rPr>
  </w:style>
  <w:style w:type="character" w:customStyle="1" w:styleId="34">
    <w:name w:val="标题 3 字符"/>
    <w:qFormat/>
    <w:uiPriority w:val="9"/>
    <w:rPr>
      <w:rFonts w:ascii="Times New Roman" w:hAnsi="Times New Roman" w:eastAsia="仿宋_GB2312" w:cs="仿宋_GB2312"/>
      <w:sz w:val="32"/>
      <w:szCs w:val="32"/>
    </w:rPr>
  </w:style>
  <w:style w:type="character" w:customStyle="1" w:styleId="35">
    <w:name w:val="标题 2 字符"/>
    <w:qFormat/>
    <w:uiPriority w:val="0"/>
    <w:rPr>
      <w:rFonts w:ascii="Times New Roman" w:hAnsi="Times New Roman" w:eastAsia="楷体_GB2312" w:cs="楷体_GB2312"/>
      <w:sz w:val="32"/>
      <w:szCs w:val="32"/>
    </w:rPr>
  </w:style>
  <w:style w:type="character" w:customStyle="1" w:styleId="36">
    <w:name w:val="标题 1 字符"/>
    <w:qFormat/>
    <w:uiPriority w:val="9"/>
    <w:rPr>
      <w:rFonts w:ascii="黑体" w:hAnsi="黑体" w:eastAsia="黑体" w:cs="黑体"/>
      <w:kern w:val="44"/>
      <w:sz w:val="32"/>
      <w:szCs w:val="32"/>
    </w:rPr>
  </w:style>
  <w:style w:type="paragraph" w:customStyle="1" w:styleId="37">
    <w:name w:val="修订3"/>
    <w:hidden/>
    <w:unhideWhenUsed/>
    <w:qFormat/>
    <w:uiPriority w:val="99"/>
    <w:rPr>
      <w:rFonts w:ascii="Arial" w:hAnsi="Arial" w:eastAsia="Arial" w:cs="Arial"/>
      <w:snapToGrid w:val="0"/>
      <w:color w:val="000000"/>
      <w:sz w:val="21"/>
      <w:szCs w:val="21"/>
      <w:lang w:val="en-US" w:eastAsia="zh-CN" w:bidi="ar-SA"/>
    </w:rPr>
  </w:style>
  <w:style w:type="character" w:customStyle="1" w:styleId="38">
    <w:name w:val="标题 1 字符1"/>
    <w:qFormat/>
    <w:uiPriority w:val="9"/>
    <w:rPr>
      <w:rFonts w:ascii="黑体" w:hAnsi="黑体" w:eastAsia="黑体" w:cs="黑体"/>
      <w:kern w:val="44"/>
      <w:sz w:val="32"/>
      <w:szCs w:val="32"/>
    </w:rPr>
  </w:style>
  <w:style w:type="character" w:customStyle="1" w:styleId="39">
    <w:name w:val="标题 3 字符1"/>
    <w:qFormat/>
    <w:uiPriority w:val="9"/>
    <w:rPr>
      <w:rFonts w:ascii="Times New Roman" w:hAnsi="Times New Roman" w:eastAsia="仿宋_GB2312" w:cs="仿宋_GB2312"/>
      <w:sz w:val="32"/>
      <w:szCs w:val="32"/>
    </w:rPr>
  </w:style>
  <w:style w:type="character" w:customStyle="1" w:styleId="40">
    <w:name w:val="标题 2 字符1"/>
    <w:qFormat/>
    <w:uiPriority w:val="9"/>
    <w:rPr>
      <w:rFonts w:ascii="Times New Roman" w:hAnsi="Times New Roman" w:eastAsia="楷体_GB2312" w:cs="楷体_GB2312"/>
      <w:sz w:val="32"/>
      <w:szCs w:val="32"/>
    </w:rPr>
  </w:style>
  <w:style w:type="paragraph" w:customStyle="1" w:styleId="41">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character" w:customStyle="1" w:styleId="42">
    <w:name w:val="标题 3 字符2"/>
    <w:link w:val="4"/>
    <w:qFormat/>
    <w:uiPriority w:val="9"/>
    <w:rPr>
      <w:rFonts w:ascii="Times New Roman" w:hAnsi="Times New Roman" w:eastAsia="仿宋_GB2312" w:cs="仿宋_GB2312"/>
      <w:sz w:val="32"/>
      <w:szCs w:val="32"/>
    </w:rPr>
  </w:style>
  <w:style w:type="character" w:customStyle="1" w:styleId="43">
    <w:name w:val="标题 2 字符2"/>
    <w:link w:val="3"/>
    <w:qFormat/>
    <w:uiPriority w:val="0"/>
    <w:rPr>
      <w:rFonts w:ascii="Times New Roman" w:hAnsi="Times New Roman" w:eastAsia="楷体_GB2312" w:cs="楷体_GB2312"/>
      <w:sz w:val="32"/>
      <w:szCs w:val="32"/>
    </w:rPr>
  </w:style>
  <w:style w:type="character" w:customStyle="1" w:styleId="44">
    <w:name w:val="标题 1 字符2"/>
    <w:link w:val="2"/>
    <w:qFormat/>
    <w:uiPriority w:val="9"/>
    <w:rPr>
      <w:rFonts w:ascii="黑体" w:hAnsi="黑体" w:eastAsia="黑体" w:cs="黑体"/>
      <w:kern w:val="44"/>
      <w:sz w:val="32"/>
      <w:szCs w:val="32"/>
    </w:rPr>
  </w:style>
  <w:style w:type="paragraph" w:customStyle="1" w:styleId="45">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customProps>
</customData>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26315515-1a0d-4f4d-b3a6-ec6c36a77d96</errorID>
      <errorWord xmlns="http://schemas.wps.cn/vas-ai-hub/contract-review">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准具</item>
      </candidateList>
      <explain xmlns="http://schemas.wps.cn/vas-ai-hub/contract-review"/>
      <paraID xmlns="http://schemas.wps.cn/vas-ai-hub/contract-review">36479323</paraID>
      <start xmlns="http://schemas.wps.cn/vas-ai-hub/contract-review">51</start>
      <end xmlns="http://schemas.wps.cn/vas-ai-hub/contract-review">52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1C75BF-48AE-49CE-B2E1-0FE221A43E3A}">
  <ds:schemaRefs/>
</ds:datastoreItem>
</file>

<file path=customXml/itemProps3.xml><?xml version="1.0" encoding="utf-8"?>
<ds:datastoreItem xmlns:ds="http://schemas.openxmlformats.org/officeDocument/2006/customXml" ds:itemID="{FB75B462-04A2-44E7-8373-E2ABA6D225D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2065</Words>
  <Characters>11776</Characters>
  <Lines>98</Lines>
  <Paragraphs>27</Paragraphs>
  <TotalTime>2</TotalTime>
  <ScaleCrop>false</ScaleCrop>
  <LinksUpToDate>false</LinksUpToDate>
  <CharactersWithSpaces>13814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2026-07-21T10:14:00Z</dcterms:created>
  <dc:creator>user</dc:creator>
  <cp:lastModifiedBy>user</cp:lastModifiedBy>
  <cp:lastPrinted>2026-07-15T11:28:00Z</cp:lastPrinted>
  <dcterms:modified xsi:type="dcterms:W3CDTF">2026-07-21T11:26:14Z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2025-06-24T16:00:00Z</vt:filetime>
  </property>
  <property fmtid="{D5CDD505-2E9C-101B-9397-08002B2CF9AE}" pid="4" name="UsrData">
    <vt:lpwstr>685b71dbd1d70e001f2d165cwl</vt:lpwstr>
  </property>
  <property fmtid="{D5CDD505-2E9C-101B-9397-08002B2CF9AE}" pid="5" name="KSOProductBuildVer">
    <vt:lpwstr>2052-12.8.2.1119</vt:lpwstr>
  </property>
  <property fmtid="{D5CDD505-2E9C-101B-9397-08002B2CF9AE}" pid="6" name="KSOTemplateDocerSaveRecord">
    <vt:lpwstr>eyJoZGlkIjoiZTljNGI5YmUwOWFjN2U3N2IwZjQ0M2M1OGJhMTJkYjQiLCJ1c2VySWQiOiIzOTA3NzI2MTkifQ==</vt:lpwstr>
  </property>
  <property fmtid="{D5CDD505-2E9C-101B-9397-08002B2CF9AE}" pid="7" name="ICV">
    <vt:lpwstr>7B4A6BD829EB41F580FB1B56A7D39292_13</vt:lpwstr>
  </property>
</Properties>
</file>