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B6B1C">
      <w:pPr>
        <w:pStyle w:val="29"/>
      </w:pPr>
      <w:bookmarkStart w:id="0" w:name="_Toc1246111082"/>
      <w:r>
        <w:t>附件5</w:t>
      </w:r>
    </w:p>
    <w:p w14:paraId="6FDC8814">
      <w:pPr>
        <w:rPr>
          <w:rFonts w:hint="eastAsia"/>
        </w:rPr>
      </w:pPr>
      <w:bookmarkStart w:id="1" w:name="_GoBack"/>
      <w:bookmarkEnd w:id="1"/>
    </w:p>
    <w:p w14:paraId="5788E6AA">
      <w:pPr>
        <w:pStyle w:val="18"/>
        <w:rPr>
          <w:rFonts w:hint="eastAsia"/>
        </w:rPr>
      </w:pPr>
      <w:r>
        <w:t>攀枝花市长期护理保险定点护理服务机构（机构护理）评估表</w:t>
      </w:r>
      <w:bookmarkEnd w:id="0"/>
    </w:p>
    <w:p w14:paraId="3A05EB43">
      <w:pPr>
        <w:autoSpaceDE/>
        <w:autoSpaceDN/>
        <w:spacing w:line="600" w:lineRule="exact"/>
        <w:ind w:firstLine="240" w:firstLineChars="100"/>
        <w:rPr>
          <w:rFonts w:hint="eastAsia" w:ascii="黑体" w:hAnsi="黑体" w:eastAsia="黑体" w:cs="黑体"/>
          <w:color w:val="auto"/>
          <w:kern w:val="2"/>
          <w:sz w:val="40"/>
          <w:szCs w:val="40"/>
        </w:rPr>
      </w:pPr>
      <w:r>
        <w:rPr>
          <w:rFonts w:hint="eastAsia" w:ascii="FangSong" w:hAnsi="FangSong" w:eastAsia="FangSong" w:cs="FangSong"/>
          <w:color w:val="auto"/>
          <w:kern w:val="2"/>
          <w:sz w:val="24"/>
          <w:szCs w:val="24"/>
        </w:rPr>
        <w:t>机构名称：                               地址：                                    评估时间：</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1204"/>
        <w:gridCol w:w="982"/>
        <w:gridCol w:w="7560"/>
        <w:gridCol w:w="588"/>
        <w:gridCol w:w="1132"/>
        <w:gridCol w:w="893"/>
      </w:tblGrid>
      <w:tr w14:paraId="1E17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 w:type="pct"/>
            <w:vAlign w:val="center"/>
          </w:tcPr>
          <w:p w14:paraId="101F4B93">
            <w:pPr>
              <w:widowControl w:val="0"/>
              <w:kinsoku/>
              <w:topLinePunct/>
              <w:autoSpaceDE/>
              <w:autoSpaceDN/>
              <w:spacing w:line="360" w:lineRule="exact"/>
              <w:jc w:val="center"/>
              <w:rPr>
                <w:rFonts w:hint="eastAsia" w:ascii="方正黑体_GBK" w:hAnsi="方正黑体_GBK" w:eastAsia="方正黑体_GBK" w:cs="方正黑体_GBK"/>
                <w:color w:val="auto"/>
                <w:kern w:val="2"/>
                <w:sz w:val="24"/>
                <w:szCs w:val="24"/>
              </w:rPr>
            </w:pPr>
            <w:r>
              <w:rPr>
                <w:rFonts w:hint="eastAsia" w:ascii="方正黑体_GBK" w:hAnsi="方正黑体_GBK" w:eastAsia="方正黑体_GBK" w:cs="方正黑体_GBK"/>
                <w:color w:val="auto"/>
                <w:kern w:val="2"/>
                <w:sz w:val="24"/>
                <w:szCs w:val="24"/>
              </w:rPr>
              <w:t>序号</w:t>
            </w:r>
          </w:p>
        </w:tc>
        <w:tc>
          <w:tcPr>
            <w:tcW w:w="465" w:type="pct"/>
            <w:vAlign w:val="center"/>
          </w:tcPr>
          <w:p w14:paraId="1BA2FEE7">
            <w:pPr>
              <w:widowControl w:val="0"/>
              <w:kinsoku/>
              <w:topLinePunct/>
              <w:autoSpaceDE/>
              <w:autoSpaceDN/>
              <w:spacing w:line="360" w:lineRule="exact"/>
              <w:jc w:val="center"/>
              <w:rPr>
                <w:rFonts w:hint="eastAsia" w:ascii="方正黑体_GBK" w:hAnsi="方正黑体_GBK" w:eastAsia="方正黑体_GBK" w:cs="方正黑体_GBK"/>
                <w:color w:val="auto"/>
                <w:kern w:val="2"/>
                <w:sz w:val="24"/>
                <w:szCs w:val="24"/>
              </w:rPr>
            </w:pPr>
            <w:r>
              <w:rPr>
                <w:rFonts w:hint="eastAsia" w:ascii="方正黑体_GBK" w:hAnsi="方正黑体_GBK" w:eastAsia="方正黑体_GBK" w:cs="方正黑体_GBK"/>
                <w:color w:val="auto"/>
                <w:kern w:val="2"/>
                <w:sz w:val="24"/>
                <w:szCs w:val="24"/>
              </w:rPr>
              <w:t>评估内容</w:t>
            </w:r>
          </w:p>
        </w:tc>
        <w:tc>
          <w:tcPr>
            <w:tcW w:w="379" w:type="pct"/>
            <w:vAlign w:val="center"/>
          </w:tcPr>
          <w:p w14:paraId="571995BF">
            <w:pPr>
              <w:widowControl w:val="0"/>
              <w:kinsoku/>
              <w:topLinePunct/>
              <w:autoSpaceDE/>
              <w:autoSpaceDN/>
              <w:spacing w:line="360" w:lineRule="exact"/>
              <w:jc w:val="center"/>
              <w:rPr>
                <w:rFonts w:hint="eastAsia" w:ascii="方正黑体_GBK" w:hAnsi="方正黑体_GBK" w:eastAsia="方正黑体_GBK" w:cs="方正黑体_GBK"/>
                <w:color w:val="auto"/>
                <w:kern w:val="2"/>
                <w:sz w:val="24"/>
                <w:szCs w:val="24"/>
              </w:rPr>
            </w:pPr>
            <w:r>
              <w:rPr>
                <w:rFonts w:hint="eastAsia" w:ascii="方正黑体_GBK" w:hAnsi="方正黑体_GBK" w:eastAsia="方正黑体_GBK" w:cs="方正黑体_GBK"/>
                <w:color w:val="auto"/>
                <w:kern w:val="2"/>
                <w:sz w:val="24"/>
                <w:szCs w:val="24"/>
              </w:rPr>
              <w:t>指标类型</w:t>
            </w:r>
          </w:p>
        </w:tc>
        <w:tc>
          <w:tcPr>
            <w:tcW w:w="2919" w:type="pct"/>
            <w:vAlign w:val="center"/>
          </w:tcPr>
          <w:p w14:paraId="0B929236">
            <w:pPr>
              <w:widowControl w:val="0"/>
              <w:kinsoku/>
              <w:topLinePunct/>
              <w:autoSpaceDE/>
              <w:autoSpaceDN/>
              <w:spacing w:line="360" w:lineRule="exact"/>
              <w:jc w:val="center"/>
              <w:rPr>
                <w:rFonts w:hint="eastAsia" w:ascii="方正黑体_GBK" w:hAnsi="方正黑体_GBK" w:eastAsia="方正黑体_GBK" w:cs="方正黑体_GBK"/>
                <w:color w:val="auto"/>
                <w:kern w:val="2"/>
                <w:sz w:val="24"/>
                <w:szCs w:val="24"/>
              </w:rPr>
            </w:pPr>
            <w:r>
              <w:rPr>
                <w:rFonts w:hint="eastAsia" w:ascii="方正黑体_GBK" w:hAnsi="方正黑体_GBK" w:eastAsia="方正黑体_GBK" w:cs="方正黑体_GBK"/>
                <w:color w:val="auto"/>
                <w:kern w:val="2"/>
                <w:sz w:val="24"/>
                <w:szCs w:val="24"/>
              </w:rPr>
              <w:t>评估标准</w:t>
            </w:r>
          </w:p>
        </w:tc>
        <w:tc>
          <w:tcPr>
            <w:tcW w:w="227" w:type="pct"/>
            <w:vAlign w:val="center"/>
          </w:tcPr>
          <w:p w14:paraId="10FFE295">
            <w:pPr>
              <w:widowControl w:val="0"/>
              <w:kinsoku/>
              <w:topLinePunct/>
              <w:autoSpaceDE/>
              <w:autoSpaceDN/>
              <w:spacing w:line="360" w:lineRule="exact"/>
              <w:jc w:val="center"/>
              <w:rPr>
                <w:rFonts w:hint="eastAsia" w:ascii="方正黑体_GBK" w:hAnsi="方正黑体_GBK" w:eastAsia="方正黑体_GBK" w:cs="方正黑体_GBK"/>
                <w:color w:val="auto"/>
                <w:kern w:val="2"/>
                <w:sz w:val="24"/>
                <w:szCs w:val="24"/>
              </w:rPr>
            </w:pPr>
            <w:r>
              <w:rPr>
                <w:rFonts w:hint="eastAsia" w:ascii="方正黑体_GBK" w:hAnsi="方正黑体_GBK" w:eastAsia="方正黑体_GBK" w:cs="方正黑体_GBK"/>
                <w:color w:val="auto"/>
                <w:kern w:val="2"/>
                <w:sz w:val="24"/>
                <w:szCs w:val="24"/>
              </w:rPr>
              <w:t>分值</w:t>
            </w:r>
          </w:p>
        </w:tc>
        <w:tc>
          <w:tcPr>
            <w:tcW w:w="437" w:type="pct"/>
            <w:vAlign w:val="center"/>
          </w:tcPr>
          <w:p w14:paraId="43A4341D">
            <w:pPr>
              <w:widowControl w:val="0"/>
              <w:kinsoku/>
              <w:topLinePunct/>
              <w:autoSpaceDE/>
              <w:autoSpaceDN/>
              <w:spacing w:line="360" w:lineRule="exact"/>
              <w:jc w:val="center"/>
              <w:rPr>
                <w:rFonts w:hint="eastAsia" w:ascii="方正黑体_GBK" w:hAnsi="方正黑体_GBK" w:eastAsia="方正黑体_GBK" w:cs="方正黑体_GBK"/>
                <w:color w:val="auto"/>
                <w:kern w:val="2"/>
                <w:sz w:val="24"/>
                <w:szCs w:val="24"/>
              </w:rPr>
            </w:pPr>
            <w:r>
              <w:rPr>
                <w:rFonts w:hint="eastAsia" w:ascii="方正黑体_GBK" w:hAnsi="方正黑体_GBK" w:eastAsia="方正黑体_GBK" w:cs="方正黑体_GBK"/>
                <w:color w:val="auto"/>
                <w:kern w:val="2"/>
                <w:sz w:val="24"/>
                <w:szCs w:val="24"/>
              </w:rPr>
              <w:t>评估情况</w:t>
            </w:r>
          </w:p>
        </w:tc>
        <w:tc>
          <w:tcPr>
            <w:tcW w:w="342" w:type="pct"/>
            <w:vAlign w:val="center"/>
          </w:tcPr>
          <w:p w14:paraId="0D70090A">
            <w:pPr>
              <w:widowControl w:val="0"/>
              <w:kinsoku/>
              <w:topLinePunct/>
              <w:autoSpaceDE/>
              <w:autoSpaceDN/>
              <w:spacing w:line="360" w:lineRule="exact"/>
              <w:jc w:val="center"/>
              <w:rPr>
                <w:rFonts w:hint="eastAsia" w:ascii="方正黑体_GBK" w:hAnsi="方正黑体_GBK" w:eastAsia="方正黑体_GBK" w:cs="方正黑体_GBK"/>
                <w:color w:val="auto"/>
                <w:kern w:val="2"/>
                <w:sz w:val="24"/>
                <w:szCs w:val="24"/>
              </w:rPr>
            </w:pPr>
            <w:r>
              <w:rPr>
                <w:rFonts w:hint="eastAsia" w:ascii="方正黑体_GBK" w:hAnsi="方正黑体_GBK" w:eastAsia="方正黑体_GBK" w:cs="方正黑体_GBK"/>
                <w:color w:val="auto"/>
                <w:kern w:val="2"/>
                <w:sz w:val="24"/>
                <w:szCs w:val="24"/>
              </w:rPr>
              <w:t>备注</w:t>
            </w:r>
          </w:p>
        </w:tc>
      </w:tr>
      <w:tr w14:paraId="6C25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228" w:type="pct"/>
            <w:vAlign w:val="center"/>
          </w:tcPr>
          <w:p w14:paraId="08055DB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1</w:t>
            </w:r>
          </w:p>
        </w:tc>
        <w:tc>
          <w:tcPr>
            <w:tcW w:w="465" w:type="pct"/>
            <w:vMerge w:val="restart"/>
            <w:vAlign w:val="center"/>
          </w:tcPr>
          <w:p w14:paraId="50E8E762">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具备行业主管部门确认的服务资质，并在本省依法注册登记</w:t>
            </w:r>
          </w:p>
        </w:tc>
        <w:tc>
          <w:tcPr>
            <w:tcW w:w="379" w:type="pct"/>
            <w:vMerge w:val="restart"/>
            <w:vAlign w:val="center"/>
          </w:tcPr>
          <w:p w14:paraId="12017365">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一级指标</w:t>
            </w:r>
          </w:p>
        </w:tc>
        <w:tc>
          <w:tcPr>
            <w:tcW w:w="2919" w:type="pct"/>
            <w:vAlign w:val="center"/>
          </w:tcPr>
          <w:p w14:paraId="5CB4A688">
            <w:pPr>
              <w:pStyle w:val="12"/>
              <w:widowControl w:val="0"/>
              <w:topLinePunct/>
              <w:spacing w:line="360" w:lineRule="exact"/>
              <w:ind w:right="141" w:firstLine="0" w:firstLineChars="0"/>
              <w:rPr>
                <w:rFonts w:cs="Times New Roman"/>
                <w:color w:val="000000" w:themeColor="text1"/>
                <w:kern w:val="2"/>
                <w:sz w:val="21"/>
                <w:szCs w:val="21"/>
              </w:rPr>
            </w:pPr>
            <w:r>
              <w:rPr>
                <w:rFonts w:hint="eastAsia" w:cs="Times New Roman"/>
                <w:color w:val="000000" w:themeColor="text1"/>
                <w:kern w:val="2"/>
                <w:sz w:val="21"/>
                <w:szCs w:val="21"/>
              </w:rPr>
              <w:t>养老机构提供《民办非企业登记证书》《养老机构设立许可证》或备案证明，或《营业执照》等原件及复印件。医疗机构提供《医疗机构执业许可证》等原件及复印件。其他服务机构提供《营业执照》等原件及复印件。不具备医疗资质的，可通过与医疗机构合作的方式提供医疗护理类服务，同时提供与医疗机构签订的合作协议原件及复印件。</w:t>
            </w:r>
          </w:p>
        </w:tc>
        <w:tc>
          <w:tcPr>
            <w:tcW w:w="227" w:type="pct"/>
            <w:vAlign w:val="center"/>
          </w:tcPr>
          <w:p w14:paraId="19659C21">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6A2366F7">
            <w:pPr>
              <w:widowControl w:val="0"/>
              <w:kinsoku/>
              <w:topLinePunct/>
              <w:autoSpaceDE/>
              <w:autoSpaceDN/>
              <w:spacing w:line="360" w:lineRule="exact"/>
              <w:jc w:val="center"/>
              <w:rPr>
                <w:rFonts w:hint="eastAsia" w:ascii="仿宋_GB2312" w:hAnsi="仿宋_GB2312" w:eastAsia="仿宋_GB2312" w:cs="仿宋_GB2312"/>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6B320EC9">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7A6E14ED">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6842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8" w:type="pct"/>
            <w:vAlign w:val="center"/>
          </w:tcPr>
          <w:p w14:paraId="7DA224D3">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2</w:t>
            </w:r>
          </w:p>
        </w:tc>
        <w:tc>
          <w:tcPr>
            <w:tcW w:w="465" w:type="pct"/>
            <w:vMerge w:val="continue"/>
            <w:vAlign w:val="center"/>
          </w:tcPr>
          <w:p w14:paraId="506BA644">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Merge w:val="continue"/>
            <w:vAlign w:val="center"/>
          </w:tcPr>
          <w:p w14:paraId="4CD66308">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p>
        </w:tc>
        <w:tc>
          <w:tcPr>
            <w:tcW w:w="2919" w:type="pct"/>
            <w:vAlign w:val="center"/>
          </w:tcPr>
          <w:p w14:paraId="57A20C10">
            <w:pPr>
              <w:widowControl w:val="0"/>
              <w:kinsoku/>
              <w:topLinePunct/>
              <w:autoSpaceDE/>
              <w:autoSpaceDN/>
              <w:spacing w:line="360" w:lineRule="exact"/>
              <w:jc w:val="both"/>
              <w:rPr>
                <w:rFonts w:ascii="Times New Roman" w:hAnsi="Times New Roman" w:eastAsia="仿宋_GB2312" w:cs="Times New Roman"/>
                <w:color w:val="000000" w:themeColor="text1"/>
                <w:spacing w:val="-6"/>
                <w:kern w:val="2"/>
              </w:rPr>
            </w:pPr>
            <w:r>
              <w:rPr>
                <w:rFonts w:ascii="Times New Roman" w:hAnsi="Times New Roman" w:eastAsia="仿宋_GB2312" w:cs="Times New Roman"/>
                <w:color w:val="000000" w:themeColor="text1"/>
                <w:spacing w:val="-6"/>
                <w:kern w:val="2"/>
              </w:rPr>
              <w:t>具备法人资格。</w:t>
            </w:r>
          </w:p>
        </w:tc>
        <w:tc>
          <w:tcPr>
            <w:tcW w:w="227" w:type="pct"/>
            <w:vAlign w:val="center"/>
          </w:tcPr>
          <w:p w14:paraId="7EB599B3">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17D66AB4">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17C84CD7">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7A389896">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3355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228" w:type="pct"/>
            <w:vAlign w:val="center"/>
          </w:tcPr>
          <w:p w14:paraId="61EAE71E">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3</w:t>
            </w:r>
          </w:p>
        </w:tc>
        <w:tc>
          <w:tcPr>
            <w:tcW w:w="465" w:type="pct"/>
            <w:vMerge w:val="continue"/>
            <w:vAlign w:val="center"/>
          </w:tcPr>
          <w:p w14:paraId="0BB1476A">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Align w:val="center"/>
          </w:tcPr>
          <w:p w14:paraId="2B0D54FF">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hint="eastAsia" w:ascii="Times New Roman" w:hAnsi="Times New Roman" w:eastAsia="仿宋_GB2312" w:cs="Times New Roman"/>
                <w:color w:val="000000" w:themeColor="text1"/>
                <w:kern w:val="2"/>
                <w:sz w:val="22"/>
                <w:szCs w:val="22"/>
              </w:rPr>
              <w:t>二级指标（5分）</w:t>
            </w:r>
          </w:p>
        </w:tc>
        <w:tc>
          <w:tcPr>
            <w:tcW w:w="2919" w:type="pct"/>
            <w:vAlign w:val="center"/>
          </w:tcPr>
          <w:p w14:paraId="398289E9">
            <w:pPr>
              <w:widowControl w:val="0"/>
              <w:kinsoku/>
              <w:topLinePunct/>
              <w:autoSpaceDE/>
              <w:autoSpaceDN/>
              <w:spacing w:line="360" w:lineRule="exact"/>
              <w:jc w:val="both"/>
              <w:rPr>
                <w:rFonts w:ascii="Times New Roman" w:hAnsi="Times New Roman" w:eastAsia="仿宋_GB2312" w:cs="Times New Roman"/>
                <w:color w:val="auto"/>
                <w:spacing w:val="-6"/>
                <w:kern w:val="2"/>
                <w:highlight w:val="yellow"/>
              </w:rPr>
            </w:pPr>
            <w:r>
              <w:rPr>
                <w:rFonts w:hint="eastAsia" w:ascii="Times New Roman" w:hAnsi="Times New Roman" w:eastAsia="仿宋_GB2312" w:cs="Times New Roman"/>
                <w:color w:val="auto"/>
                <w:spacing w:val="-6"/>
                <w:kern w:val="2"/>
              </w:rPr>
              <w:t>申请</w:t>
            </w:r>
            <w:r>
              <w:rPr>
                <w:rFonts w:ascii="Times New Roman" w:hAnsi="Times New Roman" w:eastAsia="仿宋_GB2312" w:cs="Times New Roman"/>
                <w:color w:val="auto"/>
                <w:spacing w:val="-6"/>
                <w:kern w:val="2"/>
              </w:rPr>
              <w:t>机构持有医疗资质的，</w:t>
            </w:r>
            <w:r>
              <w:rPr>
                <w:rFonts w:hint="eastAsia" w:ascii="Times New Roman" w:hAnsi="Times New Roman" w:eastAsia="仿宋_GB2312" w:cs="Times New Roman"/>
                <w:color w:val="auto"/>
                <w:spacing w:val="-6"/>
                <w:kern w:val="2"/>
              </w:rPr>
              <w:t>得</w:t>
            </w:r>
            <w:r>
              <w:rPr>
                <w:rFonts w:ascii="Times New Roman" w:hAnsi="Times New Roman" w:eastAsia="仿宋_GB2312" w:cs="Times New Roman"/>
                <w:color w:val="auto"/>
                <w:spacing w:val="-6"/>
                <w:kern w:val="2"/>
              </w:rPr>
              <w:t>5分；与</w:t>
            </w:r>
            <w:r>
              <w:rPr>
                <w:rFonts w:hint="eastAsia" w:ascii="Times New Roman" w:hAnsi="Times New Roman" w:eastAsia="仿宋_GB2312" w:cs="Times New Roman"/>
                <w:color w:val="auto"/>
                <w:spacing w:val="-6"/>
                <w:kern w:val="2"/>
              </w:rPr>
              <w:t>我市</w:t>
            </w:r>
            <w:r>
              <w:rPr>
                <w:rFonts w:ascii="Times New Roman" w:hAnsi="Times New Roman" w:eastAsia="仿宋_GB2312" w:cs="Times New Roman"/>
                <w:color w:val="auto"/>
                <w:spacing w:val="-6"/>
                <w:kern w:val="2"/>
              </w:rPr>
              <w:t>定点医疗机构达成合作协议并具备医疗服务能力的，</w:t>
            </w:r>
            <w:r>
              <w:rPr>
                <w:rFonts w:hint="eastAsia" w:ascii="Times New Roman" w:hAnsi="Times New Roman" w:eastAsia="仿宋_GB2312" w:cs="Times New Roman"/>
                <w:color w:val="auto"/>
                <w:spacing w:val="-6"/>
                <w:kern w:val="2"/>
              </w:rPr>
              <w:t>得</w:t>
            </w:r>
            <w:r>
              <w:rPr>
                <w:rFonts w:ascii="Times New Roman" w:hAnsi="Times New Roman" w:eastAsia="仿宋_GB2312" w:cs="Times New Roman"/>
                <w:color w:val="auto"/>
                <w:spacing w:val="-6"/>
                <w:kern w:val="2"/>
              </w:rPr>
              <w:t>3分；与非定点医疗机构合作并具备能力的，</w:t>
            </w:r>
            <w:r>
              <w:rPr>
                <w:rFonts w:hint="eastAsia" w:ascii="Times New Roman" w:hAnsi="Times New Roman" w:eastAsia="仿宋_GB2312" w:cs="Times New Roman"/>
                <w:color w:val="auto"/>
                <w:spacing w:val="-6"/>
                <w:kern w:val="2"/>
              </w:rPr>
              <w:t>得</w:t>
            </w:r>
            <w:r>
              <w:rPr>
                <w:rFonts w:ascii="Times New Roman" w:hAnsi="Times New Roman" w:eastAsia="仿宋_GB2312" w:cs="Times New Roman"/>
                <w:color w:val="auto"/>
                <w:spacing w:val="-6"/>
                <w:kern w:val="2"/>
              </w:rPr>
              <w:t>1分。</w:t>
            </w:r>
          </w:p>
        </w:tc>
        <w:tc>
          <w:tcPr>
            <w:tcW w:w="227" w:type="pct"/>
            <w:vAlign w:val="center"/>
          </w:tcPr>
          <w:p w14:paraId="5FF1903A">
            <w:pPr>
              <w:widowControl w:val="0"/>
              <w:kinsoku/>
              <w:topLinePunct/>
              <w:autoSpaceDE/>
              <w:autoSpaceDN/>
              <w:spacing w:line="360" w:lineRule="exact"/>
              <w:jc w:val="center"/>
              <w:rPr>
                <w:rFonts w:ascii="Times New Roman" w:hAnsi="Times New Roman" w:eastAsia="仿宋_GB2312" w:cs="Times New Roman"/>
                <w:color w:val="000000" w:themeColor="text1"/>
              </w:rPr>
            </w:pPr>
            <w:r>
              <w:rPr>
                <w:rFonts w:hint="eastAsia" w:ascii="Times New Roman" w:hAnsi="Times New Roman" w:eastAsia="仿宋_GB2312" w:cs="Times New Roman"/>
                <w:color w:val="000000" w:themeColor="text1"/>
              </w:rPr>
              <w:t>5</w:t>
            </w:r>
          </w:p>
        </w:tc>
        <w:tc>
          <w:tcPr>
            <w:tcW w:w="437" w:type="pct"/>
            <w:vAlign w:val="center"/>
          </w:tcPr>
          <w:p w14:paraId="5136E014">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413F4565">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7FCC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28" w:type="pct"/>
            <w:vAlign w:val="center"/>
          </w:tcPr>
          <w:p w14:paraId="04E22825">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4</w:t>
            </w:r>
          </w:p>
        </w:tc>
        <w:tc>
          <w:tcPr>
            <w:tcW w:w="465" w:type="pct"/>
            <w:vMerge w:val="restart"/>
            <w:vAlign w:val="center"/>
          </w:tcPr>
          <w:p w14:paraId="732AD261">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p w14:paraId="4CD5C341">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p w14:paraId="3FB083B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p w14:paraId="71BA8515">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p w14:paraId="1B9062E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p w14:paraId="0D2EFD88">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具备长期护理保险服务基础硬件设备和服务能力</w:t>
            </w:r>
          </w:p>
          <w:p w14:paraId="5EC0F411">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p w14:paraId="2B6009B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p w14:paraId="1E618DA5">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p w14:paraId="1F83B674">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Merge w:val="restart"/>
            <w:vAlign w:val="center"/>
          </w:tcPr>
          <w:p w14:paraId="1AFB4CDF">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p>
          <w:p w14:paraId="35C0BA7D">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一级指标</w:t>
            </w:r>
          </w:p>
          <w:p w14:paraId="3DBF1F15">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p>
        </w:tc>
        <w:tc>
          <w:tcPr>
            <w:tcW w:w="2919" w:type="pct"/>
            <w:vAlign w:val="center"/>
          </w:tcPr>
          <w:p w14:paraId="68184204">
            <w:pPr>
              <w:pStyle w:val="12"/>
              <w:widowControl w:val="0"/>
              <w:topLinePunct/>
              <w:spacing w:line="360" w:lineRule="exact"/>
              <w:ind w:right="141" w:firstLine="0" w:firstLineChars="0"/>
              <w:rPr>
                <w:rFonts w:cs="Times New Roman"/>
                <w:color w:val="000000" w:themeColor="text1"/>
                <w:kern w:val="2"/>
                <w:sz w:val="21"/>
                <w:szCs w:val="21"/>
              </w:rPr>
            </w:pPr>
            <w:r>
              <w:rPr>
                <w:rFonts w:cs="Times New Roman"/>
                <w:color w:val="000000" w:themeColor="text1"/>
                <w:kern w:val="2"/>
                <w:sz w:val="21"/>
                <w:szCs w:val="21"/>
              </w:rPr>
              <w:t>提供业务用房产权证明或租赁合同，租赁合同有效使用期限不少于1年。</w:t>
            </w:r>
          </w:p>
        </w:tc>
        <w:tc>
          <w:tcPr>
            <w:tcW w:w="227" w:type="pct"/>
            <w:vAlign w:val="center"/>
          </w:tcPr>
          <w:p w14:paraId="05A9880C">
            <w:pPr>
              <w:widowControl w:val="0"/>
              <w:kinsoku/>
              <w:topLinePunct/>
              <w:autoSpaceDE/>
              <w:autoSpaceDN/>
              <w:spacing w:line="360" w:lineRule="exact"/>
              <w:jc w:val="center"/>
              <w:rPr>
                <w:rFonts w:ascii="Times New Roman" w:hAnsi="Times New Roman" w:eastAsia="仿宋_GB2312" w:cs="Times New Roman"/>
                <w:color w:val="000000" w:themeColor="text1"/>
              </w:rPr>
            </w:pPr>
            <w:r>
              <w:rPr>
                <w:rFonts w:hint="eastAsia" w:ascii="Times New Roman" w:hAnsi="Times New Roman" w:eastAsia="仿宋_GB2312" w:cs="Times New Roman"/>
                <w:color w:val="000000" w:themeColor="text1"/>
              </w:rPr>
              <w:t>／</w:t>
            </w:r>
          </w:p>
        </w:tc>
        <w:tc>
          <w:tcPr>
            <w:tcW w:w="437" w:type="pct"/>
            <w:vAlign w:val="center"/>
          </w:tcPr>
          <w:p w14:paraId="53D4D9BF">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27B266B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021BCE75">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7CF0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8" w:type="pct"/>
            <w:vAlign w:val="center"/>
          </w:tcPr>
          <w:p w14:paraId="520E850A">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5</w:t>
            </w:r>
          </w:p>
        </w:tc>
        <w:tc>
          <w:tcPr>
            <w:tcW w:w="465" w:type="pct"/>
            <w:vMerge w:val="continue"/>
            <w:vAlign w:val="center"/>
          </w:tcPr>
          <w:p w14:paraId="1212B2B8">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Merge w:val="continue"/>
            <w:vAlign w:val="center"/>
          </w:tcPr>
          <w:p w14:paraId="725EE766">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p>
        </w:tc>
        <w:tc>
          <w:tcPr>
            <w:tcW w:w="2919" w:type="pct"/>
            <w:vAlign w:val="center"/>
          </w:tcPr>
          <w:p w14:paraId="3DE03ADA">
            <w:pPr>
              <w:pStyle w:val="12"/>
              <w:widowControl w:val="0"/>
              <w:topLinePunct/>
              <w:spacing w:line="360" w:lineRule="exact"/>
              <w:ind w:right="141" w:firstLine="0" w:firstLineChars="0"/>
              <w:rPr>
                <w:rFonts w:cs="Times New Roman"/>
                <w:color w:val="000000" w:themeColor="text1"/>
                <w:kern w:val="2"/>
                <w:sz w:val="21"/>
                <w:szCs w:val="21"/>
              </w:rPr>
            </w:pPr>
            <w:r>
              <w:rPr>
                <w:rFonts w:cs="Times New Roman"/>
                <w:color w:val="000000" w:themeColor="text1"/>
                <w:kern w:val="2"/>
                <w:sz w:val="21"/>
                <w:szCs w:val="21"/>
              </w:rPr>
              <w:t>具备长期护理保险服务基础硬件设备和服务能力。有固定的经营场所，且场所内部具有合理的区域规划和清晰的功能分区。</w:t>
            </w:r>
            <w:r>
              <w:rPr>
                <w:rFonts w:hint="eastAsia" w:cs="Times New Roman"/>
                <w:color w:val="000000" w:themeColor="text1"/>
                <w:kern w:val="2"/>
                <w:sz w:val="21"/>
                <w:szCs w:val="21"/>
              </w:rPr>
              <w:t>如</w:t>
            </w:r>
            <w:r>
              <w:rPr>
                <w:rFonts w:cs="Times New Roman"/>
                <w:color w:val="000000" w:themeColor="text1"/>
                <w:kern w:val="2"/>
                <w:sz w:val="21"/>
                <w:szCs w:val="21"/>
              </w:rPr>
              <w:t>可</w:t>
            </w:r>
            <w:r>
              <w:rPr>
                <w:rFonts w:hint="eastAsia" w:cs="Times New Roman"/>
                <w:color w:val="000000" w:themeColor="text1"/>
                <w:kern w:val="2"/>
                <w:sz w:val="21"/>
                <w:szCs w:val="21"/>
              </w:rPr>
              <w:t>设置独立的咨询服务区、业务办公区（需配合符合要求的电脑设施设备）、实名制档案管理区、实操培训区、物资存放区或消毒灭菌区</w:t>
            </w:r>
            <w:r>
              <w:rPr>
                <w:rFonts w:cs="Times New Roman"/>
                <w:color w:val="000000" w:themeColor="text1"/>
                <w:kern w:val="2"/>
                <w:sz w:val="21"/>
                <w:szCs w:val="21"/>
              </w:rPr>
              <w:t>等；服务设施、设备器材、机构设置等能够保证护理服务业务的正常开展。具有消防安全证明材料。</w:t>
            </w:r>
          </w:p>
        </w:tc>
        <w:tc>
          <w:tcPr>
            <w:tcW w:w="227" w:type="pct"/>
            <w:vAlign w:val="center"/>
          </w:tcPr>
          <w:p w14:paraId="5E3E8E57">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20E794F2">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6F49CC9F">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7D3BDF4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56A0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8" w:type="pct"/>
            <w:vAlign w:val="center"/>
          </w:tcPr>
          <w:p w14:paraId="37001344">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6</w:t>
            </w:r>
          </w:p>
        </w:tc>
        <w:tc>
          <w:tcPr>
            <w:tcW w:w="465" w:type="pct"/>
            <w:vMerge w:val="continue"/>
            <w:vAlign w:val="center"/>
          </w:tcPr>
          <w:p w14:paraId="18EFE628">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Merge w:val="continue"/>
            <w:vAlign w:val="center"/>
          </w:tcPr>
          <w:p w14:paraId="465D46D3">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p>
        </w:tc>
        <w:tc>
          <w:tcPr>
            <w:tcW w:w="2919" w:type="pct"/>
            <w:vAlign w:val="center"/>
          </w:tcPr>
          <w:p w14:paraId="0372F2A2">
            <w:pPr>
              <w:widowControl w:val="0"/>
              <w:kinsoku/>
              <w:topLinePunct/>
              <w:autoSpaceDE/>
              <w:autoSpaceDN/>
              <w:spacing w:line="360" w:lineRule="exact"/>
              <w:jc w:val="both"/>
              <w:rPr>
                <w:rFonts w:ascii="Times New Roman" w:hAnsi="Times New Roman" w:eastAsia="仿宋_GB2312" w:cs="Times New Roman"/>
                <w:color w:val="000000" w:themeColor="text1"/>
                <w:spacing w:val="-6"/>
                <w:kern w:val="2"/>
              </w:rPr>
            </w:pPr>
            <w:r>
              <w:rPr>
                <w:rFonts w:ascii="Times New Roman" w:hAnsi="Times New Roman" w:eastAsia="仿宋_GB2312" w:cs="Times New Roman"/>
                <w:color w:val="000000" w:themeColor="text1"/>
                <w:spacing w:val="-6"/>
                <w:kern w:val="2"/>
              </w:rPr>
              <w:t>制定符合长期护理服务和结算管理要求的工作流程。</w:t>
            </w:r>
          </w:p>
        </w:tc>
        <w:tc>
          <w:tcPr>
            <w:tcW w:w="227" w:type="pct"/>
            <w:vAlign w:val="center"/>
          </w:tcPr>
          <w:p w14:paraId="6BD2EC7E">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15C78E18">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23A2ECFC">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3C6A5737">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58B7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28" w:type="pct"/>
            <w:vAlign w:val="center"/>
          </w:tcPr>
          <w:p w14:paraId="6B35D3C6">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7</w:t>
            </w:r>
          </w:p>
        </w:tc>
        <w:tc>
          <w:tcPr>
            <w:tcW w:w="465" w:type="pct"/>
            <w:vMerge w:val="continue"/>
            <w:vAlign w:val="center"/>
          </w:tcPr>
          <w:p w14:paraId="0B0A3CA8">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Merge w:val="restart"/>
            <w:vAlign w:val="center"/>
          </w:tcPr>
          <w:p w14:paraId="22C5B7E6">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p>
          <w:p w14:paraId="162CB53E">
            <w:pPr>
              <w:widowControl w:val="0"/>
              <w:kinsoku/>
              <w:topLinePunct/>
              <w:autoSpaceDE/>
              <w:autoSpaceDN/>
              <w:spacing w:line="360" w:lineRule="exact"/>
              <w:jc w:val="both"/>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二级指标（2</w:t>
            </w:r>
            <w:r>
              <w:rPr>
                <w:rFonts w:hint="eastAsia" w:ascii="Times New Roman" w:hAnsi="Times New Roman" w:eastAsia="仿宋_GB2312" w:cs="Times New Roman"/>
                <w:color w:val="000000" w:themeColor="text1"/>
                <w:kern w:val="2"/>
                <w:sz w:val="22"/>
                <w:szCs w:val="22"/>
              </w:rPr>
              <w:t>2</w:t>
            </w:r>
            <w:r>
              <w:rPr>
                <w:rFonts w:ascii="Times New Roman" w:hAnsi="Times New Roman" w:eastAsia="仿宋_GB2312" w:cs="Times New Roman"/>
                <w:color w:val="000000" w:themeColor="text1"/>
                <w:kern w:val="2"/>
                <w:sz w:val="22"/>
                <w:szCs w:val="22"/>
              </w:rPr>
              <w:t>分）</w:t>
            </w:r>
          </w:p>
          <w:p w14:paraId="4C31D853">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p>
        </w:tc>
        <w:tc>
          <w:tcPr>
            <w:tcW w:w="2919" w:type="pct"/>
            <w:vAlign w:val="center"/>
          </w:tcPr>
          <w:p w14:paraId="2F44C8F6">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配备单独办公场地及规范标识，设立长期护理保险咨询服务台和意见箱，得</w:t>
            </w:r>
            <w:r>
              <w:rPr>
                <w:rFonts w:hint="eastAsia" w:ascii="Times New Roman" w:hAnsi="Times New Roman" w:eastAsia="仿宋_GB2312" w:cs="Times New Roman"/>
                <w:color w:val="000000" w:themeColor="text1"/>
                <w:kern w:val="2"/>
              </w:rPr>
              <w:t>2</w:t>
            </w:r>
            <w:r>
              <w:rPr>
                <w:rFonts w:ascii="Times New Roman" w:hAnsi="Times New Roman" w:eastAsia="仿宋_GB2312" w:cs="Times New Roman"/>
                <w:color w:val="000000" w:themeColor="text1"/>
                <w:kern w:val="2"/>
              </w:rPr>
              <w:t>分。</w:t>
            </w:r>
          </w:p>
        </w:tc>
        <w:tc>
          <w:tcPr>
            <w:tcW w:w="227" w:type="pct"/>
            <w:vAlign w:val="center"/>
          </w:tcPr>
          <w:p w14:paraId="7CDE52E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2</w:t>
            </w:r>
          </w:p>
        </w:tc>
        <w:tc>
          <w:tcPr>
            <w:tcW w:w="437" w:type="pct"/>
            <w:vAlign w:val="center"/>
          </w:tcPr>
          <w:p w14:paraId="781FDB22">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79269891">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24C9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228" w:type="pct"/>
            <w:vAlign w:val="center"/>
          </w:tcPr>
          <w:p w14:paraId="20D4172E">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8</w:t>
            </w:r>
          </w:p>
        </w:tc>
        <w:tc>
          <w:tcPr>
            <w:tcW w:w="465" w:type="pct"/>
            <w:vMerge w:val="continue"/>
            <w:vAlign w:val="center"/>
          </w:tcPr>
          <w:p w14:paraId="038A1296">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Merge w:val="continue"/>
            <w:vAlign w:val="center"/>
          </w:tcPr>
          <w:p w14:paraId="62F7B3EC">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p>
        </w:tc>
        <w:tc>
          <w:tcPr>
            <w:tcW w:w="2919" w:type="pct"/>
            <w:vAlign w:val="center"/>
          </w:tcPr>
          <w:p w14:paraId="53BE3DC0">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1.在现营业场所正式运营1年以内，得</w:t>
            </w:r>
            <w:r>
              <w:rPr>
                <w:rFonts w:hint="eastAsia" w:ascii="Times New Roman" w:hAnsi="Times New Roman" w:eastAsia="仿宋_GB2312" w:cs="Times New Roman"/>
                <w:color w:val="000000" w:themeColor="text1"/>
                <w:kern w:val="2"/>
              </w:rPr>
              <w:t>1</w:t>
            </w:r>
            <w:r>
              <w:rPr>
                <w:rFonts w:ascii="Times New Roman" w:hAnsi="Times New Roman" w:eastAsia="仿宋_GB2312" w:cs="Times New Roman"/>
                <w:color w:val="000000" w:themeColor="text1"/>
                <w:kern w:val="2"/>
              </w:rPr>
              <w:t>分；正式运营1年以上的，得</w:t>
            </w:r>
            <w:r>
              <w:rPr>
                <w:rFonts w:hint="eastAsia" w:ascii="Times New Roman" w:hAnsi="Times New Roman" w:eastAsia="仿宋_GB2312" w:cs="Times New Roman"/>
                <w:color w:val="000000" w:themeColor="text1"/>
                <w:kern w:val="2"/>
              </w:rPr>
              <w:t>2</w:t>
            </w:r>
            <w:r>
              <w:rPr>
                <w:rFonts w:ascii="Times New Roman" w:hAnsi="Times New Roman" w:eastAsia="仿宋_GB2312" w:cs="Times New Roman"/>
                <w:color w:val="000000" w:themeColor="text1"/>
                <w:kern w:val="2"/>
              </w:rPr>
              <w:t>分；2年以上的，得</w:t>
            </w:r>
            <w:r>
              <w:rPr>
                <w:rFonts w:hint="eastAsia" w:ascii="Times New Roman" w:hAnsi="Times New Roman" w:eastAsia="仿宋_GB2312" w:cs="Times New Roman"/>
                <w:color w:val="000000" w:themeColor="text1"/>
                <w:kern w:val="2"/>
              </w:rPr>
              <w:t>3</w:t>
            </w:r>
            <w:r>
              <w:rPr>
                <w:rFonts w:ascii="Times New Roman" w:hAnsi="Times New Roman" w:eastAsia="仿宋_GB2312" w:cs="Times New Roman"/>
                <w:color w:val="000000" w:themeColor="text1"/>
                <w:kern w:val="2"/>
              </w:rPr>
              <w:t>分；</w:t>
            </w:r>
            <w:r>
              <w:rPr>
                <w:rFonts w:ascii="Times New Roman" w:hAnsi="Times New Roman" w:eastAsia="仿宋_GB2312" w:cs="Times New Roman"/>
                <w:color w:val="000000" w:themeColor="text1"/>
                <w:kern w:val="2"/>
              </w:rPr>
              <w:br w:type="textWrapping"/>
            </w:r>
            <w:r>
              <w:rPr>
                <w:rFonts w:ascii="Times New Roman" w:hAnsi="Times New Roman" w:eastAsia="仿宋_GB2312" w:cs="Times New Roman"/>
                <w:color w:val="000000" w:themeColor="text1"/>
                <w:kern w:val="2"/>
              </w:rPr>
              <w:t>2.具有与开展业务相适应的固定经营场所</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300</w:t>
            </w:r>
            <w:r>
              <w:rPr>
                <w:rFonts w:hint="eastAsia" w:ascii="Times New Roman" w:hAnsi="Times New Roman" w:eastAsia="仿宋_GB2312" w:cs="Times New Roman"/>
                <w:color w:val="000000" w:themeColor="text1"/>
                <w:kern w:val="2"/>
              </w:rPr>
              <w:t>平方米≤建筑面积＜</w:t>
            </w:r>
            <w:r>
              <w:rPr>
                <w:rFonts w:ascii="Times New Roman" w:hAnsi="Times New Roman" w:eastAsia="仿宋_GB2312" w:cs="Times New Roman"/>
                <w:color w:val="000000" w:themeColor="text1"/>
                <w:kern w:val="2"/>
              </w:rPr>
              <w:t>500平方米，得</w:t>
            </w:r>
            <w:r>
              <w:rPr>
                <w:rFonts w:hint="eastAsia" w:ascii="Times New Roman" w:hAnsi="Times New Roman" w:eastAsia="仿宋_GB2312" w:cs="Times New Roman"/>
                <w:color w:val="000000" w:themeColor="text1"/>
                <w:kern w:val="2"/>
              </w:rPr>
              <w:t>1</w:t>
            </w:r>
            <w:r>
              <w:rPr>
                <w:rFonts w:ascii="Times New Roman" w:hAnsi="Times New Roman" w:eastAsia="仿宋_GB2312" w:cs="Times New Roman"/>
                <w:color w:val="000000" w:themeColor="text1"/>
                <w:kern w:val="2"/>
              </w:rPr>
              <w:t>分；建筑面积</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500平方米得</w:t>
            </w:r>
            <w:r>
              <w:rPr>
                <w:rFonts w:hint="eastAsia" w:ascii="Times New Roman" w:hAnsi="Times New Roman" w:eastAsia="仿宋_GB2312" w:cs="Times New Roman"/>
                <w:color w:val="000000" w:themeColor="text1"/>
                <w:kern w:val="2"/>
              </w:rPr>
              <w:t>3</w:t>
            </w:r>
            <w:r>
              <w:rPr>
                <w:rFonts w:ascii="Times New Roman" w:hAnsi="Times New Roman" w:eastAsia="仿宋_GB2312" w:cs="Times New Roman"/>
                <w:color w:val="000000" w:themeColor="text1"/>
                <w:kern w:val="2"/>
              </w:rPr>
              <w:t>分</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在此基础上每增加100平方米加1分，最高</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加</w:t>
            </w:r>
            <w:r>
              <w:rPr>
                <w:rFonts w:hint="eastAsia" w:ascii="Times New Roman" w:hAnsi="Times New Roman" w:eastAsia="仿宋_GB2312" w:cs="Times New Roman"/>
                <w:color w:val="000000" w:themeColor="text1"/>
                <w:kern w:val="2"/>
              </w:rPr>
              <w:t>5</w:t>
            </w:r>
            <w:r>
              <w:rPr>
                <w:rFonts w:ascii="Times New Roman" w:hAnsi="Times New Roman" w:eastAsia="仿宋_GB2312" w:cs="Times New Roman"/>
                <w:color w:val="000000" w:themeColor="text1"/>
                <w:kern w:val="2"/>
              </w:rPr>
              <w:t>分。</w:t>
            </w:r>
          </w:p>
        </w:tc>
        <w:tc>
          <w:tcPr>
            <w:tcW w:w="227" w:type="pct"/>
            <w:vAlign w:val="center"/>
          </w:tcPr>
          <w:p w14:paraId="4453C07F">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1</w:t>
            </w:r>
            <w:r>
              <w:rPr>
                <w:rFonts w:hint="eastAsia" w:ascii="Times New Roman" w:hAnsi="Times New Roman" w:eastAsia="仿宋_GB2312" w:cs="Times New Roman"/>
                <w:color w:val="000000" w:themeColor="text1"/>
                <w:kern w:val="2"/>
              </w:rPr>
              <w:t>1</w:t>
            </w:r>
          </w:p>
        </w:tc>
        <w:tc>
          <w:tcPr>
            <w:tcW w:w="437" w:type="pct"/>
            <w:vAlign w:val="center"/>
          </w:tcPr>
          <w:p w14:paraId="5C0CA87E">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6CA8DA3D">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5075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228" w:type="pct"/>
            <w:vAlign w:val="center"/>
          </w:tcPr>
          <w:p w14:paraId="58F4F71F">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9</w:t>
            </w:r>
          </w:p>
        </w:tc>
        <w:tc>
          <w:tcPr>
            <w:tcW w:w="465" w:type="pct"/>
            <w:vMerge w:val="continue"/>
            <w:vAlign w:val="center"/>
          </w:tcPr>
          <w:p w14:paraId="48B952E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Merge w:val="continue"/>
            <w:vAlign w:val="center"/>
          </w:tcPr>
          <w:p w14:paraId="08AE3E50">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p>
        </w:tc>
        <w:tc>
          <w:tcPr>
            <w:tcW w:w="2919" w:type="pct"/>
            <w:vAlign w:val="center"/>
          </w:tcPr>
          <w:p w14:paraId="1F99471A">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具备开展《国家长期护理保险服务项目目录》中明确的长期护理服务项目</w:t>
            </w:r>
            <w:r>
              <w:rPr>
                <w:rFonts w:ascii="Times New Roman" w:hAnsi="Times New Roman" w:eastAsia="仿宋_GB2312" w:cs="Times New Roman"/>
                <w:color w:val="000000" w:themeColor="text1"/>
                <w:kern w:val="2"/>
              </w:rPr>
              <w:t>36</w:t>
            </w:r>
            <w:r>
              <w:rPr>
                <w:rFonts w:hint="eastAsia" w:ascii="Times New Roman" w:hAnsi="Times New Roman" w:eastAsia="仿宋_GB2312" w:cs="Times New Roman"/>
                <w:color w:val="000000" w:themeColor="text1"/>
                <w:kern w:val="2"/>
              </w:rPr>
              <w:t>项服务能力，生活照护类项目</w:t>
            </w:r>
            <w:r>
              <w:rPr>
                <w:rFonts w:ascii="Times New Roman" w:hAnsi="Times New Roman" w:eastAsia="仿宋_GB2312" w:cs="Times New Roman"/>
                <w:color w:val="000000" w:themeColor="text1"/>
                <w:kern w:val="2"/>
              </w:rPr>
              <w:t>20</w:t>
            </w:r>
            <w:r>
              <w:rPr>
                <w:rFonts w:hint="eastAsia" w:ascii="Times New Roman" w:hAnsi="Times New Roman" w:eastAsia="仿宋_GB2312" w:cs="Times New Roman"/>
                <w:color w:val="000000" w:themeColor="text1"/>
                <w:kern w:val="2"/>
              </w:rPr>
              <w:t>项（含饮食照护、排泄照护、清洁照护、穿脱衣物、功能维护、对症护理、生命体征监测、安全护理</w:t>
            </w:r>
            <w:r>
              <w:rPr>
                <w:rFonts w:ascii="Times New Roman" w:hAnsi="Times New Roman" w:eastAsia="仿宋_GB2312" w:cs="Times New Roman"/>
                <w:color w:val="000000" w:themeColor="text1"/>
                <w:kern w:val="2"/>
              </w:rPr>
              <w:t>8</w:t>
            </w:r>
            <w:r>
              <w:rPr>
                <w:rFonts w:hint="eastAsia" w:ascii="Times New Roman" w:hAnsi="Times New Roman" w:eastAsia="仿宋_GB2312" w:cs="Times New Roman"/>
                <w:color w:val="000000" w:themeColor="text1"/>
                <w:kern w:val="2"/>
              </w:rPr>
              <w:t>个项目类别），每个项目类别</w:t>
            </w:r>
            <w:r>
              <w:rPr>
                <w:rFonts w:ascii="Times New Roman" w:hAnsi="Times New Roman" w:eastAsia="仿宋_GB2312" w:cs="Times New Roman"/>
                <w:color w:val="000000" w:themeColor="text1"/>
                <w:kern w:val="2"/>
              </w:rPr>
              <w:t>0.25</w:t>
            </w:r>
            <w:r>
              <w:rPr>
                <w:rFonts w:hint="eastAsia" w:ascii="Times New Roman" w:hAnsi="Times New Roman" w:eastAsia="仿宋_GB2312" w:cs="Times New Roman"/>
                <w:color w:val="000000" w:themeColor="text1"/>
                <w:kern w:val="2"/>
              </w:rPr>
              <w:t>分，总分</w:t>
            </w:r>
            <w:r>
              <w:rPr>
                <w:rFonts w:ascii="Times New Roman" w:hAnsi="Times New Roman" w:eastAsia="仿宋_GB2312" w:cs="Times New Roman"/>
                <w:color w:val="000000" w:themeColor="text1"/>
                <w:kern w:val="2"/>
              </w:rPr>
              <w:t>2</w:t>
            </w:r>
            <w:r>
              <w:rPr>
                <w:rFonts w:hint="eastAsia" w:ascii="Times New Roman" w:hAnsi="Times New Roman" w:eastAsia="仿宋_GB2312" w:cs="Times New Roman"/>
                <w:color w:val="000000" w:themeColor="text1"/>
                <w:kern w:val="2"/>
              </w:rPr>
              <w:t>分；医疗护理类项目</w:t>
            </w:r>
            <w:r>
              <w:rPr>
                <w:rFonts w:ascii="Times New Roman" w:hAnsi="Times New Roman" w:eastAsia="仿宋_GB2312" w:cs="Times New Roman"/>
                <w:color w:val="000000" w:themeColor="text1"/>
                <w:kern w:val="2"/>
              </w:rPr>
              <w:t>16</w:t>
            </w:r>
            <w:r>
              <w:rPr>
                <w:rFonts w:hint="eastAsia" w:ascii="Times New Roman" w:hAnsi="Times New Roman" w:eastAsia="仿宋_GB2312" w:cs="Times New Roman"/>
                <w:color w:val="000000" w:themeColor="text1"/>
                <w:kern w:val="2"/>
              </w:rPr>
              <w:t>项（含一般检查护理、基础护理、专项护理、康复</w:t>
            </w:r>
            <w:r>
              <w:rPr>
                <w:rFonts w:ascii="Times New Roman" w:hAnsi="Times New Roman" w:eastAsia="仿宋_GB2312" w:cs="Times New Roman"/>
                <w:color w:val="000000" w:themeColor="text1"/>
                <w:kern w:val="2"/>
              </w:rPr>
              <w:t>4</w:t>
            </w:r>
            <w:r>
              <w:rPr>
                <w:rFonts w:hint="eastAsia" w:ascii="Times New Roman" w:hAnsi="Times New Roman" w:eastAsia="仿宋_GB2312" w:cs="Times New Roman"/>
                <w:color w:val="000000" w:themeColor="text1"/>
                <w:kern w:val="2"/>
              </w:rPr>
              <w:t>个项目类别），每个项目类别</w:t>
            </w:r>
            <w:r>
              <w:rPr>
                <w:rFonts w:ascii="Times New Roman" w:hAnsi="Times New Roman" w:eastAsia="仿宋_GB2312" w:cs="Times New Roman"/>
                <w:color w:val="000000" w:themeColor="text1"/>
                <w:kern w:val="2"/>
              </w:rPr>
              <w:t>0.5</w:t>
            </w:r>
            <w:r>
              <w:rPr>
                <w:rFonts w:hint="eastAsia" w:ascii="Times New Roman" w:hAnsi="Times New Roman" w:eastAsia="仿宋_GB2312" w:cs="Times New Roman"/>
                <w:color w:val="000000" w:themeColor="text1"/>
                <w:kern w:val="2"/>
              </w:rPr>
              <w:t>分，总分</w:t>
            </w:r>
            <w:r>
              <w:rPr>
                <w:rFonts w:ascii="Times New Roman" w:hAnsi="Times New Roman" w:eastAsia="仿宋_GB2312" w:cs="Times New Roman"/>
                <w:color w:val="000000" w:themeColor="text1"/>
                <w:kern w:val="2"/>
              </w:rPr>
              <w:t>2</w:t>
            </w:r>
            <w:r>
              <w:rPr>
                <w:rFonts w:hint="eastAsia" w:ascii="Times New Roman" w:hAnsi="Times New Roman" w:eastAsia="仿宋_GB2312" w:cs="Times New Roman"/>
                <w:color w:val="000000" w:themeColor="text1"/>
                <w:kern w:val="2"/>
              </w:rPr>
              <w:t>分。</w:t>
            </w:r>
          </w:p>
        </w:tc>
        <w:tc>
          <w:tcPr>
            <w:tcW w:w="227" w:type="pct"/>
            <w:vAlign w:val="center"/>
          </w:tcPr>
          <w:p w14:paraId="56496139">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4</w:t>
            </w:r>
          </w:p>
        </w:tc>
        <w:tc>
          <w:tcPr>
            <w:tcW w:w="437" w:type="pct"/>
            <w:vAlign w:val="center"/>
          </w:tcPr>
          <w:p w14:paraId="5823AB1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6B66591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78E8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8" w:type="pct"/>
            <w:vAlign w:val="center"/>
          </w:tcPr>
          <w:p w14:paraId="3E548D16">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10</w:t>
            </w:r>
          </w:p>
        </w:tc>
        <w:tc>
          <w:tcPr>
            <w:tcW w:w="465" w:type="pct"/>
            <w:vMerge w:val="continue"/>
            <w:vAlign w:val="center"/>
          </w:tcPr>
          <w:p w14:paraId="4CB55DD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Merge w:val="continue"/>
            <w:vAlign w:val="center"/>
          </w:tcPr>
          <w:p w14:paraId="64DE84BB">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p>
        </w:tc>
        <w:tc>
          <w:tcPr>
            <w:tcW w:w="2919" w:type="pct"/>
            <w:vAlign w:val="center"/>
          </w:tcPr>
          <w:p w14:paraId="4796E289">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rPr>
              <w:t>1.申请机构是医疗机构的，卫生健康部门认定的一级及以下医疗机构，得3分；二级医疗机构，得4分；三级医疗机构，得5分；</w:t>
            </w:r>
          </w:p>
          <w:p w14:paraId="027D6B21">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2.申请机构是养老机构的，民政部门认定的三星级及以下养老机构，得3分；四星级的，得4分；五星级的，得5分；</w:t>
            </w:r>
          </w:p>
          <w:p w14:paraId="20837DCC">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3.申请机构是其他服务机构的，</w:t>
            </w:r>
            <w:r>
              <w:rPr>
                <w:rFonts w:hint="eastAsia" w:ascii="Times New Roman" w:hAnsi="Times New Roman" w:eastAsia="仿宋_GB2312" w:cs="Times New Roman"/>
                <w:color w:val="000000" w:themeColor="text1"/>
                <w:kern w:val="2"/>
              </w:rPr>
              <w:t>综合评判机构护理服务能力后按</w:t>
            </w:r>
            <w:r>
              <w:rPr>
                <w:rFonts w:ascii="Times New Roman" w:hAnsi="Times New Roman" w:eastAsia="仿宋_GB2312" w:cs="Times New Roman"/>
                <w:color w:val="000000" w:themeColor="text1"/>
                <w:kern w:val="2"/>
              </w:rPr>
              <w:t>1</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5</w:t>
            </w:r>
            <w:r>
              <w:rPr>
                <w:rFonts w:hint="eastAsia" w:ascii="Times New Roman" w:hAnsi="Times New Roman" w:eastAsia="仿宋_GB2312" w:cs="Times New Roman"/>
                <w:color w:val="000000" w:themeColor="text1"/>
                <w:kern w:val="2"/>
              </w:rPr>
              <w:t>分评分</w:t>
            </w:r>
            <w:r>
              <w:rPr>
                <w:rFonts w:ascii="Times New Roman" w:hAnsi="Times New Roman" w:eastAsia="仿宋_GB2312" w:cs="Times New Roman"/>
                <w:color w:val="000000" w:themeColor="text1"/>
                <w:kern w:val="2"/>
              </w:rPr>
              <w:t>。</w:t>
            </w:r>
          </w:p>
        </w:tc>
        <w:tc>
          <w:tcPr>
            <w:tcW w:w="227" w:type="pct"/>
            <w:vAlign w:val="center"/>
          </w:tcPr>
          <w:p w14:paraId="6F7DC669">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5</w:t>
            </w:r>
          </w:p>
        </w:tc>
        <w:tc>
          <w:tcPr>
            <w:tcW w:w="437" w:type="pct"/>
            <w:vAlign w:val="center"/>
          </w:tcPr>
          <w:p w14:paraId="4731B00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583B604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4A93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28" w:type="pct"/>
            <w:vAlign w:val="center"/>
          </w:tcPr>
          <w:p w14:paraId="038450A5">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11</w:t>
            </w:r>
          </w:p>
        </w:tc>
        <w:tc>
          <w:tcPr>
            <w:tcW w:w="465" w:type="pct"/>
            <w:vMerge w:val="restart"/>
            <w:vAlign w:val="center"/>
          </w:tcPr>
          <w:p w14:paraId="061670AF">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设立长期护理保险专区</w:t>
            </w:r>
          </w:p>
        </w:tc>
        <w:tc>
          <w:tcPr>
            <w:tcW w:w="379" w:type="pct"/>
            <w:vMerge w:val="restart"/>
            <w:vAlign w:val="center"/>
          </w:tcPr>
          <w:p w14:paraId="25ED9988">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一级指标</w:t>
            </w:r>
          </w:p>
        </w:tc>
        <w:tc>
          <w:tcPr>
            <w:tcW w:w="2919" w:type="pct"/>
            <w:vAlign w:val="center"/>
          </w:tcPr>
          <w:p w14:paraId="2727B37A">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具有设置长期护理专区，并有长期护理专区标识。</w:t>
            </w:r>
            <w:r>
              <w:rPr>
                <w:rFonts w:ascii="Times New Roman" w:hAnsi="Times New Roman" w:eastAsia="仿宋_GB2312" w:cs="Times New Roman"/>
                <w:color w:val="000000" w:themeColor="text1"/>
                <w:kern w:val="2"/>
              </w:rPr>
              <w:t>申请提供机构护理的提供长期护理的床位数不少于10张。</w:t>
            </w:r>
          </w:p>
        </w:tc>
        <w:tc>
          <w:tcPr>
            <w:tcW w:w="227" w:type="pct"/>
            <w:vAlign w:val="center"/>
          </w:tcPr>
          <w:p w14:paraId="391D0438">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2937BB53">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5A1A36F8">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3ABB9D7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2593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28" w:type="pct"/>
            <w:vAlign w:val="center"/>
          </w:tcPr>
          <w:p w14:paraId="1D845317">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1</w:t>
            </w:r>
            <w:r>
              <w:rPr>
                <w:rFonts w:hint="eastAsia" w:ascii="Times New Roman" w:hAnsi="Times New Roman" w:eastAsia="仿宋_GB2312" w:cs="Times New Roman"/>
                <w:color w:val="000000" w:themeColor="text1"/>
                <w:sz w:val="24"/>
                <w:szCs w:val="24"/>
              </w:rPr>
              <w:t>2</w:t>
            </w:r>
          </w:p>
        </w:tc>
        <w:tc>
          <w:tcPr>
            <w:tcW w:w="465" w:type="pct"/>
            <w:vMerge w:val="continue"/>
            <w:vAlign w:val="center"/>
          </w:tcPr>
          <w:p w14:paraId="78745119">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p>
        </w:tc>
        <w:tc>
          <w:tcPr>
            <w:tcW w:w="379" w:type="pct"/>
            <w:vMerge w:val="continue"/>
            <w:vAlign w:val="center"/>
          </w:tcPr>
          <w:p w14:paraId="215831AE">
            <w:pPr>
              <w:widowControl w:val="0"/>
              <w:kinsoku/>
              <w:topLinePunct/>
              <w:autoSpaceDE/>
              <w:autoSpaceDN/>
              <w:spacing w:line="360" w:lineRule="exact"/>
              <w:jc w:val="center"/>
              <w:rPr>
                <w:rFonts w:ascii="Times New Roman" w:hAnsi="Times New Roman" w:eastAsia="仿宋_GB2312" w:cs="Times New Roman"/>
                <w:color w:val="000000" w:themeColor="text1"/>
                <w:sz w:val="22"/>
                <w:szCs w:val="22"/>
              </w:rPr>
            </w:pPr>
          </w:p>
        </w:tc>
        <w:tc>
          <w:tcPr>
            <w:tcW w:w="2919" w:type="pct"/>
            <w:vAlign w:val="center"/>
          </w:tcPr>
          <w:p w14:paraId="4F76B4F4">
            <w:pPr>
              <w:pStyle w:val="12"/>
              <w:widowControl w:val="0"/>
              <w:topLinePunct/>
              <w:spacing w:line="360" w:lineRule="exact"/>
              <w:ind w:firstLine="0" w:firstLineChars="0"/>
              <w:rPr>
                <w:rFonts w:cs="Times New Roman"/>
                <w:color w:val="000000" w:themeColor="text1"/>
                <w:kern w:val="2"/>
                <w:sz w:val="21"/>
                <w:szCs w:val="21"/>
              </w:rPr>
            </w:pPr>
            <w:r>
              <w:rPr>
                <w:rFonts w:cs="Times New Roman"/>
                <w:color w:val="000000" w:themeColor="text1"/>
                <w:kern w:val="2"/>
                <w:sz w:val="21"/>
                <w:szCs w:val="21"/>
              </w:rPr>
              <w:t>申请提供机构护理服务的应当配备长期照护师等护理服务人员及设备设施，其中具备医疗资质的，医师和护士</w:t>
            </w:r>
            <w:r>
              <w:rPr>
                <w:rFonts w:hint="eastAsia" w:cs="Times New Roman"/>
                <w:color w:val="000000" w:themeColor="text1"/>
                <w:kern w:val="2"/>
                <w:sz w:val="21"/>
                <w:szCs w:val="21"/>
              </w:rPr>
              <w:t>（</w:t>
            </w:r>
            <w:r>
              <w:rPr>
                <w:rFonts w:cs="Times New Roman"/>
                <w:color w:val="000000" w:themeColor="text1"/>
                <w:kern w:val="2"/>
                <w:sz w:val="21"/>
                <w:szCs w:val="21"/>
              </w:rPr>
              <w:t>师</w:t>
            </w:r>
            <w:r>
              <w:rPr>
                <w:rFonts w:hint="eastAsia" w:cs="Times New Roman"/>
                <w:color w:val="000000" w:themeColor="text1"/>
                <w:kern w:val="2"/>
                <w:sz w:val="21"/>
                <w:szCs w:val="21"/>
              </w:rPr>
              <w:t>）</w:t>
            </w:r>
            <w:r>
              <w:rPr>
                <w:rFonts w:cs="Times New Roman"/>
                <w:color w:val="000000" w:themeColor="text1"/>
                <w:kern w:val="2"/>
                <w:sz w:val="21"/>
                <w:szCs w:val="21"/>
              </w:rPr>
              <w:t>各不少于2人。长期护理服务能力在100</w:t>
            </w:r>
            <w:r>
              <w:rPr>
                <w:rFonts w:hint="eastAsia" w:cs="Times New Roman"/>
                <w:color w:val="000000" w:themeColor="text1"/>
                <w:kern w:val="2"/>
                <w:sz w:val="21"/>
                <w:szCs w:val="21"/>
              </w:rPr>
              <w:t>（</w:t>
            </w:r>
            <w:r>
              <w:rPr>
                <w:rFonts w:cs="Times New Roman"/>
                <w:color w:val="000000" w:themeColor="text1"/>
                <w:kern w:val="2"/>
                <w:sz w:val="21"/>
                <w:szCs w:val="21"/>
              </w:rPr>
              <w:t>含</w:t>
            </w:r>
            <w:r>
              <w:rPr>
                <w:rFonts w:hint="eastAsia" w:cs="Times New Roman"/>
                <w:color w:val="000000" w:themeColor="text1"/>
                <w:kern w:val="2"/>
                <w:sz w:val="21"/>
                <w:szCs w:val="21"/>
              </w:rPr>
              <w:t>）</w:t>
            </w:r>
            <w:r>
              <w:rPr>
                <w:rFonts w:cs="Times New Roman"/>
                <w:color w:val="000000" w:themeColor="text1"/>
                <w:kern w:val="2"/>
                <w:sz w:val="21"/>
                <w:szCs w:val="21"/>
              </w:rPr>
              <w:t>人以上的，应当成立长护管理内设工作机构并配备专职管理人员。</w:t>
            </w:r>
          </w:p>
        </w:tc>
        <w:tc>
          <w:tcPr>
            <w:tcW w:w="227" w:type="pct"/>
            <w:vAlign w:val="center"/>
          </w:tcPr>
          <w:p w14:paraId="1808DF31">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27671985">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394AB811">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02843939">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3F5B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8" w:type="pct"/>
            <w:vAlign w:val="center"/>
          </w:tcPr>
          <w:p w14:paraId="38D3B904">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1</w:t>
            </w:r>
            <w:r>
              <w:rPr>
                <w:rFonts w:hint="eastAsia" w:ascii="Times New Roman" w:hAnsi="Times New Roman" w:eastAsia="仿宋_GB2312" w:cs="Times New Roman"/>
                <w:color w:val="000000" w:themeColor="text1"/>
                <w:sz w:val="24"/>
                <w:szCs w:val="24"/>
              </w:rPr>
              <w:t>3</w:t>
            </w:r>
          </w:p>
        </w:tc>
        <w:tc>
          <w:tcPr>
            <w:tcW w:w="465" w:type="pct"/>
            <w:vMerge w:val="continue"/>
            <w:vAlign w:val="center"/>
          </w:tcPr>
          <w:p w14:paraId="2D6D9BB5">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p>
        </w:tc>
        <w:tc>
          <w:tcPr>
            <w:tcW w:w="379" w:type="pct"/>
            <w:vMerge w:val="continue"/>
            <w:vAlign w:val="center"/>
          </w:tcPr>
          <w:p w14:paraId="60FB2CA5">
            <w:pPr>
              <w:widowControl w:val="0"/>
              <w:kinsoku/>
              <w:topLinePunct/>
              <w:autoSpaceDE/>
              <w:autoSpaceDN/>
              <w:spacing w:line="360" w:lineRule="exact"/>
              <w:jc w:val="center"/>
              <w:rPr>
                <w:rFonts w:ascii="Times New Roman" w:hAnsi="Times New Roman" w:eastAsia="仿宋_GB2312" w:cs="Times New Roman"/>
                <w:color w:val="000000" w:themeColor="text1"/>
                <w:sz w:val="22"/>
                <w:szCs w:val="22"/>
              </w:rPr>
            </w:pPr>
          </w:p>
        </w:tc>
        <w:tc>
          <w:tcPr>
            <w:tcW w:w="2919" w:type="pct"/>
            <w:vAlign w:val="center"/>
          </w:tcPr>
          <w:p w14:paraId="1EEC9122">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所配备的长期护理保险护理服务人员只在申请机构开展机构护理服务。</w:t>
            </w:r>
          </w:p>
        </w:tc>
        <w:tc>
          <w:tcPr>
            <w:tcW w:w="227" w:type="pct"/>
            <w:vAlign w:val="center"/>
          </w:tcPr>
          <w:p w14:paraId="74887AFF">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32E38AF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5E55EE3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21A12D7E">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3E17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28" w:type="pct"/>
            <w:vAlign w:val="center"/>
          </w:tcPr>
          <w:p w14:paraId="236965C3">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1</w:t>
            </w:r>
            <w:r>
              <w:rPr>
                <w:rFonts w:hint="eastAsia" w:ascii="Times New Roman" w:hAnsi="Times New Roman" w:eastAsia="仿宋_GB2312" w:cs="Times New Roman"/>
                <w:color w:val="000000" w:themeColor="text1"/>
                <w:kern w:val="2"/>
                <w:sz w:val="24"/>
                <w:szCs w:val="24"/>
              </w:rPr>
              <w:t>4</w:t>
            </w:r>
          </w:p>
        </w:tc>
        <w:tc>
          <w:tcPr>
            <w:tcW w:w="465" w:type="pct"/>
            <w:vMerge w:val="continue"/>
            <w:vAlign w:val="center"/>
          </w:tcPr>
          <w:p w14:paraId="1D71B0CD">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Merge w:val="restart"/>
            <w:vAlign w:val="center"/>
          </w:tcPr>
          <w:p w14:paraId="2D985C79">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二级指标</w:t>
            </w:r>
          </w:p>
          <w:p w14:paraId="49206A0B">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（55分）</w:t>
            </w:r>
          </w:p>
        </w:tc>
        <w:tc>
          <w:tcPr>
            <w:tcW w:w="2919" w:type="pct"/>
            <w:vAlign w:val="center"/>
          </w:tcPr>
          <w:p w14:paraId="7B910AE6">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1.无障碍设施齐全（坡道、扶手、防滑地面等）、设计合理，无明显缺陷，得2分</w:t>
            </w:r>
            <w:r>
              <w:rPr>
                <w:rFonts w:hint="eastAsia" w:ascii="Times New Roman" w:hAnsi="Times New Roman" w:eastAsia="仿宋_GB2312" w:cs="Times New Roman"/>
                <w:color w:val="000000" w:themeColor="text1"/>
                <w:kern w:val="2"/>
              </w:rPr>
              <w:t>；</w:t>
            </w:r>
          </w:p>
          <w:p w14:paraId="065C10C5">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2.长期护理服务专区居室环境安全、干净、通风良好、安静的，得2分；</w:t>
            </w:r>
            <w:r>
              <w:rPr>
                <w:rFonts w:ascii="Times New Roman" w:hAnsi="Times New Roman" w:eastAsia="仿宋_GB2312" w:cs="Times New Roman"/>
                <w:color w:val="000000" w:themeColor="text1"/>
                <w:kern w:val="2"/>
              </w:rPr>
              <w:br w:type="textWrapping"/>
            </w:r>
            <w:r>
              <w:rPr>
                <w:rFonts w:ascii="Times New Roman" w:hAnsi="Times New Roman" w:eastAsia="仿宋_GB2312" w:cs="Times New Roman"/>
                <w:color w:val="000000" w:themeColor="text1"/>
                <w:kern w:val="2"/>
              </w:rPr>
              <w:t>3.有生命体征监测，如电子血压计、血糖仪、</w:t>
            </w:r>
            <w:r>
              <w:rPr>
                <w:rFonts w:hint="eastAsia" w:ascii="Times New Roman" w:hAnsi="Times New Roman" w:eastAsia="仿宋_GB2312" w:cs="Times New Roman"/>
                <w:color w:val="000000" w:themeColor="text1"/>
                <w:kern w:val="2"/>
              </w:rPr>
              <w:t>体温计</w:t>
            </w:r>
            <w:r>
              <w:rPr>
                <w:rFonts w:ascii="Times New Roman" w:hAnsi="Times New Roman" w:eastAsia="仿宋_GB2312" w:cs="Times New Roman"/>
                <w:color w:val="000000" w:themeColor="text1"/>
                <w:kern w:val="2"/>
              </w:rPr>
              <w:t>、血氧饱和度仪等，得2分；</w:t>
            </w:r>
            <w:r>
              <w:rPr>
                <w:rFonts w:ascii="Times New Roman" w:hAnsi="Times New Roman" w:eastAsia="仿宋_GB2312" w:cs="Times New Roman"/>
                <w:color w:val="000000" w:themeColor="text1"/>
                <w:kern w:val="2"/>
              </w:rPr>
              <w:br w:type="textWrapping"/>
            </w:r>
            <w:r>
              <w:rPr>
                <w:rFonts w:ascii="Times New Roman" w:hAnsi="Times New Roman" w:eastAsia="仿宋_GB2312" w:cs="Times New Roman"/>
                <w:color w:val="000000" w:themeColor="text1"/>
                <w:kern w:val="2"/>
              </w:rPr>
              <w:t>4.有移动辅助设备：如转运床、轮椅、沐浴轮椅、护理椅等，得2分；</w:t>
            </w:r>
          </w:p>
          <w:p w14:paraId="14FC08BF">
            <w:pPr>
              <w:widowControl w:val="0"/>
              <w:kinsoku/>
              <w:topLinePunct/>
              <w:autoSpaceDE/>
              <w:autoSpaceDN/>
              <w:spacing w:line="360" w:lineRule="exact"/>
              <w:jc w:val="both"/>
              <w:rPr>
                <w:rFonts w:ascii="Times New Roman" w:hAnsi="Times New Roman" w:eastAsia="宋体" w:cs="Times New Roman"/>
                <w:color w:val="000000" w:themeColor="text1"/>
                <w:kern w:val="2"/>
              </w:rPr>
            </w:pPr>
            <w:r>
              <w:rPr>
                <w:rFonts w:ascii="Times New Roman" w:hAnsi="Times New Roman" w:eastAsia="仿宋_GB2312" w:cs="Times New Roman"/>
                <w:color w:val="000000" w:themeColor="text1"/>
                <w:kern w:val="2"/>
              </w:rPr>
              <w:t>5.有防压疮与日常生活辅助设备：如包括防压疮床垫、静态防压疮床垫及防褥疮坐垫、翻身三角垫、移位滑布、防水中单等，得2分。</w:t>
            </w:r>
          </w:p>
        </w:tc>
        <w:tc>
          <w:tcPr>
            <w:tcW w:w="227" w:type="pct"/>
            <w:vAlign w:val="center"/>
          </w:tcPr>
          <w:p w14:paraId="23E83D3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10</w:t>
            </w:r>
          </w:p>
        </w:tc>
        <w:tc>
          <w:tcPr>
            <w:tcW w:w="437" w:type="pct"/>
            <w:vAlign w:val="center"/>
          </w:tcPr>
          <w:p w14:paraId="1F801DF3">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1109C002">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2686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8" w:type="pct"/>
            <w:vAlign w:val="center"/>
          </w:tcPr>
          <w:p w14:paraId="30355C90">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1</w:t>
            </w:r>
            <w:r>
              <w:rPr>
                <w:rFonts w:hint="eastAsia" w:ascii="Times New Roman" w:hAnsi="Times New Roman" w:eastAsia="仿宋_GB2312" w:cs="Times New Roman"/>
                <w:color w:val="000000" w:themeColor="text1"/>
                <w:sz w:val="24"/>
                <w:szCs w:val="24"/>
              </w:rPr>
              <w:t>5</w:t>
            </w:r>
          </w:p>
        </w:tc>
        <w:tc>
          <w:tcPr>
            <w:tcW w:w="465" w:type="pct"/>
            <w:vMerge w:val="continue"/>
            <w:vAlign w:val="center"/>
          </w:tcPr>
          <w:p w14:paraId="0A2CD9B5">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p>
        </w:tc>
        <w:tc>
          <w:tcPr>
            <w:tcW w:w="379" w:type="pct"/>
            <w:vMerge w:val="continue"/>
            <w:vAlign w:val="center"/>
          </w:tcPr>
          <w:p w14:paraId="75A89C9D">
            <w:pPr>
              <w:widowControl w:val="0"/>
              <w:kinsoku/>
              <w:topLinePunct/>
              <w:autoSpaceDE/>
              <w:autoSpaceDN/>
              <w:spacing w:line="360" w:lineRule="exact"/>
              <w:jc w:val="center"/>
              <w:rPr>
                <w:rFonts w:ascii="Times New Roman" w:hAnsi="Times New Roman" w:eastAsia="仿宋_GB2312" w:cs="Times New Roman"/>
                <w:color w:val="000000" w:themeColor="text1"/>
                <w:sz w:val="22"/>
                <w:szCs w:val="22"/>
              </w:rPr>
            </w:pPr>
          </w:p>
        </w:tc>
        <w:tc>
          <w:tcPr>
            <w:tcW w:w="2919" w:type="pct"/>
            <w:vAlign w:val="center"/>
          </w:tcPr>
          <w:p w14:paraId="608D2526">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申请服务机构提供长期护理服务的床位数10</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20</w:t>
            </w:r>
            <w:r>
              <w:rPr>
                <w:rFonts w:hint="eastAsia" w:ascii="Times New Roman" w:hAnsi="Times New Roman" w:eastAsia="仿宋_GB2312" w:cs="Times New Roman"/>
                <w:color w:val="000000" w:themeColor="text1"/>
                <w:kern w:val="2"/>
              </w:rPr>
              <w:t>张，得</w:t>
            </w:r>
            <w:r>
              <w:rPr>
                <w:rFonts w:ascii="Times New Roman" w:hAnsi="Times New Roman" w:eastAsia="仿宋_GB2312" w:cs="Times New Roman"/>
                <w:color w:val="000000" w:themeColor="text1"/>
                <w:kern w:val="2"/>
              </w:rPr>
              <w:t>5</w:t>
            </w:r>
            <w:r>
              <w:rPr>
                <w:rFonts w:hint="eastAsia" w:ascii="Times New Roman" w:hAnsi="Times New Roman" w:eastAsia="仿宋_GB2312" w:cs="Times New Roman"/>
                <w:color w:val="000000" w:themeColor="text1"/>
                <w:kern w:val="2"/>
              </w:rPr>
              <w:t>分，</w:t>
            </w:r>
            <w:r>
              <w:rPr>
                <w:rFonts w:ascii="Times New Roman" w:hAnsi="Times New Roman" w:eastAsia="仿宋_GB2312" w:cs="Times New Roman"/>
                <w:color w:val="000000" w:themeColor="text1"/>
                <w:kern w:val="2"/>
              </w:rPr>
              <w:t>21</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50张得7分，51</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100张得8分，100张以上得10分。</w:t>
            </w:r>
          </w:p>
        </w:tc>
        <w:tc>
          <w:tcPr>
            <w:tcW w:w="227" w:type="pct"/>
            <w:vAlign w:val="center"/>
          </w:tcPr>
          <w:p w14:paraId="21D71539">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10</w:t>
            </w:r>
          </w:p>
        </w:tc>
        <w:tc>
          <w:tcPr>
            <w:tcW w:w="437" w:type="pct"/>
            <w:vAlign w:val="center"/>
          </w:tcPr>
          <w:p w14:paraId="5355ED32">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2279679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53C0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28" w:type="pct"/>
            <w:vAlign w:val="center"/>
          </w:tcPr>
          <w:p w14:paraId="1DB2E570">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1</w:t>
            </w:r>
            <w:r>
              <w:rPr>
                <w:rFonts w:hint="eastAsia" w:ascii="Times New Roman" w:hAnsi="Times New Roman" w:eastAsia="仿宋_GB2312" w:cs="Times New Roman"/>
                <w:color w:val="000000" w:themeColor="text1"/>
                <w:sz w:val="24"/>
                <w:szCs w:val="24"/>
              </w:rPr>
              <w:t>6</w:t>
            </w:r>
          </w:p>
        </w:tc>
        <w:tc>
          <w:tcPr>
            <w:tcW w:w="465" w:type="pct"/>
            <w:vMerge w:val="continue"/>
            <w:vAlign w:val="center"/>
          </w:tcPr>
          <w:p w14:paraId="7318BF11">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p>
        </w:tc>
        <w:tc>
          <w:tcPr>
            <w:tcW w:w="379" w:type="pct"/>
            <w:vMerge w:val="continue"/>
            <w:vAlign w:val="center"/>
          </w:tcPr>
          <w:p w14:paraId="1766F706">
            <w:pPr>
              <w:widowControl w:val="0"/>
              <w:kinsoku/>
              <w:topLinePunct/>
              <w:autoSpaceDE/>
              <w:autoSpaceDN/>
              <w:spacing w:line="360" w:lineRule="exact"/>
              <w:jc w:val="center"/>
              <w:rPr>
                <w:rFonts w:ascii="Times New Roman" w:hAnsi="Times New Roman" w:eastAsia="仿宋_GB2312" w:cs="Times New Roman"/>
                <w:color w:val="000000" w:themeColor="text1"/>
                <w:sz w:val="22"/>
                <w:szCs w:val="22"/>
              </w:rPr>
            </w:pPr>
          </w:p>
        </w:tc>
        <w:tc>
          <w:tcPr>
            <w:tcW w:w="2919" w:type="pct"/>
            <w:vAlign w:val="center"/>
          </w:tcPr>
          <w:p w14:paraId="641F60CB">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1.长期护理床，每有一张床具备辅助起坐功能，得0.2分，最高得2分；</w:t>
            </w:r>
            <w:r>
              <w:rPr>
                <w:rFonts w:ascii="Times New Roman" w:hAnsi="Times New Roman" w:eastAsia="仿宋_GB2312" w:cs="Times New Roman"/>
                <w:color w:val="000000" w:themeColor="text1"/>
                <w:kern w:val="2"/>
              </w:rPr>
              <w:br w:type="textWrapping"/>
            </w:r>
            <w:r>
              <w:rPr>
                <w:rFonts w:ascii="Times New Roman" w:hAnsi="Times New Roman" w:eastAsia="仿宋_GB2312" w:cs="Times New Roman"/>
                <w:color w:val="000000" w:themeColor="text1"/>
                <w:kern w:val="2"/>
              </w:rPr>
              <w:t>2.每有一张床具备辅助翻身的功能，得0.2分，最高得2分；</w:t>
            </w:r>
            <w:r>
              <w:rPr>
                <w:rFonts w:ascii="Times New Roman" w:hAnsi="Times New Roman" w:eastAsia="仿宋_GB2312" w:cs="Times New Roman"/>
                <w:color w:val="000000" w:themeColor="text1"/>
                <w:kern w:val="2"/>
              </w:rPr>
              <w:br w:type="textWrapping"/>
            </w:r>
            <w:r>
              <w:rPr>
                <w:rFonts w:ascii="Times New Roman" w:hAnsi="Times New Roman" w:eastAsia="仿宋_GB2312" w:cs="Times New Roman"/>
                <w:color w:val="000000" w:themeColor="text1"/>
                <w:kern w:val="2"/>
              </w:rPr>
              <w:t>3.每有一张床具备移动功能，得0.2分，最高得2分；</w:t>
            </w:r>
            <w:r>
              <w:rPr>
                <w:rFonts w:ascii="Times New Roman" w:hAnsi="Times New Roman" w:eastAsia="仿宋_GB2312" w:cs="Times New Roman"/>
                <w:color w:val="000000" w:themeColor="text1"/>
                <w:kern w:val="2"/>
              </w:rPr>
              <w:br w:type="textWrapping"/>
            </w:r>
            <w:r>
              <w:rPr>
                <w:rFonts w:ascii="Times New Roman" w:hAnsi="Times New Roman" w:eastAsia="仿宋_GB2312" w:cs="Times New Roman"/>
                <w:color w:val="000000" w:themeColor="text1"/>
                <w:kern w:val="2"/>
              </w:rPr>
              <w:t>4.每有一张床具备防止坠床功能，得0.2分，最高得2分；</w:t>
            </w:r>
            <w:r>
              <w:rPr>
                <w:rFonts w:ascii="Times New Roman" w:hAnsi="Times New Roman" w:eastAsia="仿宋_GB2312" w:cs="Times New Roman"/>
                <w:color w:val="000000" w:themeColor="text1"/>
                <w:kern w:val="2"/>
              </w:rPr>
              <w:br w:type="textWrapping"/>
            </w:r>
            <w:r>
              <w:rPr>
                <w:rFonts w:ascii="Times New Roman" w:hAnsi="Times New Roman" w:eastAsia="仿宋_GB2312" w:cs="Times New Roman"/>
                <w:color w:val="000000" w:themeColor="text1"/>
                <w:kern w:val="2"/>
              </w:rPr>
              <w:t>5.每有一张床具备紧急呼叫功能，得0.2分，最高得2分。</w:t>
            </w:r>
          </w:p>
        </w:tc>
        <w:tc>
          <w:tcPr>
            <w:tcW w:w="227" w:type="pct"/>
            <w:vAlign w:val="center"/>
          </w:tcPr>
          <w:p w14:paraId="22D12DC1">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10</w:t>
            </w:r>
          </w:p>
        </w:tc>
        <w:tc>
          <w:tcPr>
            <w:tcW w:w="437" w:type="pct"/>
            <w:vAlign w:val="center"/>
          </w:tcPr>
          <w:p w14:paraId="4DD50F11">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01AFE3BC">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05AB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28" w:type="pct"/>
            <w:vAlign w:val="center"/>
          </w:tcPr>
          <w:p w14:paraId="136F0B62">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r>
              <w:rPr>
                <w:rFonts w:hint="eastAsia" w:ascii="Times New Roman" w:hAnsi="Times New Roman" w:eastAsia="仿宋_GB2312" w:cs="Times New Roman"/>
                <w:color w:val="000000" w:themeColor="text1"/>
                <w:sz w:val="24"/>
                <w:szCs w:val="24"/>
              </w:rPr>
              <w:t>17</w:t>
            </w:r>
          </w:p>
        </w:tc>
        <w:tc>
          <w:tcPr>
            <w:tcW w:w="465" w:type="pct"/>
            <w:vMerge w:val="continue"/>
            <w:vAlign w:val="center"/>
          </w:tcPr>
          <w:p w14:paraId="26147CAE">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p>
        </w:tc>
        <w:tc>
          <w:tcPr>
            <w:tcW w:w="379" w:type="pct"/>
            <w:vMerge w:val="continue"/>
            <w:vAlign w:val="center"/>
          </w:tcPr>
          <w:p w14:paraId="7AFFDD06">
            <w:pPr>
              <w:widowControl w:val="0"/>
              <w:kinsoku/>
              <w:topLinePunct/>
              <w:autoSpaceDE/>
              <w:autoSpaceDN/>
              <w:spacing w:line="360" w:lineRule="exact"/>
              <w:jc w:val="center"/>
              <w:rPr>
                <w:rFonts w:ascii="Times New Roman" w:hAnsi="Times New Roman" w:eastAsia="仿宋_GB2312" w:cs="Times New Roman"/>
                <w:color w:val="000000" w:themeColor="text1"/>
                <w:sz w:val="22"/>
                <w:szCs w:val="22"/>
              </w:rPr>
            </w:pPr>
          </w:p>
        </w:tc>
        <w:tc>
          <w:tcPr>
            <w:tcW w:w="2919" w:type="pct"/>
            <w:vAlign w:val="center"/>
          </w:tcPr>
          <w:p w14:paraId="44CF29C3">
            <w:pPr>
              <w:pStyle w:val="12"/>
              <w:widowControl w:val="0"/>
              <w:topLinePunct/>
              <w:spacing w:line="360" w:lineRule="exact"/>
              <w:ind w:firstLine="0" w:firstLineChars="0"/>
              <w:rPr>
                <w:rFonts w:cs="Times New Roman"/>
                <w:b/>
                <w:bCs/>
                <w:color w:val="000000" w:themeColor="text1"/>
                <w:kern w:val="2"/>
                <w:sz w:val="21"/>
                <w:szCs w:val="21"/>
              </w:rPr>
            </w:pPr>
            <w:r>
              <w:rPr>
                <w:rFonts w:cs="Times New Roman"/>
                <w:color w:val="000000" w:themeColor="text1"/>
                <w:kern w:val="2"/>
                <w:sz w:val="21"/>
                <w:szCs w:val="21"/>
              </w:rPr>
              <w:t>1.具备医疗资质的医师和护士（师）配备各不少于2人，得5分；每增加1人，加0.5分，最高得5分；有相关中级证书或职称，每有1人，加0.5分，有相关高级证书或职称，每有1人，加1分，最高加5分。</w:t>
            </w:r>
            <w:r>
              <w:rPr>
                <w:rFonts w:hint="eastAsia" w:cs="Times New Roman"/>
                <w:color w:val="000000" w:themeColor="text1"/>
                <w:kern w:val="2"/>
                <w:sz w:val="21"/>
                <w:szCs w:val="21"/>
              </w:rPr>
              <w:t>（</w:t>
            </w:r>
            <w:r>
              <w:rPr>
                <w:rFonts w:cs="Times New Roman"/>
                <w:color w:val="000000" w:themeColor="text1"/>
                <w:kern w:val="2"/>
                <w:sz w:val="21"/>
                <w:szCs w:val="21"/>
              </w:rPr>
              <w:t>同一人员持有相关不同证书的，按最高等级加分</w:t>
            </w:r>
            <w:r>
              <w:rPr>
                <w:rFonts w:hint="eastAsia" w:cs="Times New Roman"/>
                <w:color w:val="000000" w:themeColor="text1"/>
                <w:kern w:val="2"/>
                <w:sz w:val="21"/>
                <w:szCs w:val="21"/>
              </w:rPr>
              <w:t>）</w:t>
            </w:r>
            <w:r>
              <w:rPr>
                <w:rFonts w:cs="Times New Roman"/>
                <w:color w:val="000000" w:themeColor="text1"/>
                <w:kern w:val="2"/>
                <w:sz w:val="21"/>
                <w:szCs w:val="21"/>
              </w:rPr>
              <w:br w:type="textWrapping"/>
            </w:r>
            <w:r>
              <w:rPr>
                <w:rFonts w:cs="Times New Roman"/>
                <w:color w:val="000000" w:themeColor="text1"/>
                <w:kern w:val="2"/>
                <w:sz w:val="21"/>
                <w:szCs w:val="21"/>
              </w:rPr>
              <w:t>2.机构的护理服务人员持证率低于60</w:t>
            </w:r>
            <w:r>
              <w:rPr>
                <w:rFonts w:hint="eastAsia" w:cs="Times New Roman"/>
                <w:color w:val="000000" w:themeColor="text1"/>
                <w:kern w:val="2"/>
                <w:sz w:val="21"/>
                <w:szCs w:val="21"/>
              </w:rPr>
              <w:t>％</w:t>
            </w:r>
            <w:r>
              <w:rPr>
                <w:rFonts w:cs="Times New Roman"/>
                <w:color w:val="000000" w:themeColor="text1"/>
                <w:kern w:val="2"/>
                <w:sz w:val="21"/>
                <w:szCs w:val="21"/>
              </w:rPr>
              <w:t>的，得1分；持证率在</w:t>
            </w:r>
            <w:r>
              <w:rPr>
                <w:rFonts w:hint="eastAsia" w:cs="Times New Roman"/>
                <w:color w:val="000000" w:themeColor="text1"/>
                <w:kern w:val="2"/>
                <w:sz w:val="21"/>
                <w:szCs w:val="21"/>
              </w:rPr>
              <w:t>60％—80％</w:t>
            </w:r>
            <w:r>
              <w:rPr>
                <w:rFonts w:cs="Times New Roman"/>
                <w:color w:val="000000" w:themeColor="text1"/>
                <w:kern w:val="2"/>
                <w:sz w:val="21"/>
                <w:szCs w:val="21"/>
              </w:rPr>
              <w:t>的，得3分；持证率90</w:t>
            </w:r>
            <w:r>
              <w:rPr>
                <w:rFonts w:hint="eastAsia" w:cs="Times New Roman"/>
                <w:color w:val="000000" w:themeColor="text1"/>
                <w:kern w:val="2"/>
                <w:sz w:val="21"/>
                <w:szCs w:val="21"/>
              </w:rPr>
              <w:t>％</w:t>
            </w:r>
            <w:r>
              <w:rPr>
                <w:rFonts w:cs="Times New Roman"/>
                <w:color w:val="000000" w:themeColor="text1"/>
                <w:kern w:val="2"/>
                <w:sz w:val="21"/>
                <w:szCs w:val="21"/>
              </w:rPr>
              <w:t>及以上的，得5分。</w:t>
            </w:r>
          </w:p>
        </w:tc>
        <w:tc>
          <w:tcPr>
            <w:tcW w:w="227" w:type="pct"/>
            <w:vAlign w:val="center"/>
          </w:tcPr>
          <w:p w14:paraId="5A81FDF9">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20</w:t>
            </w:r>
          </w:p>
        </w:tc>
        <w:tc>
          <w:tcPr>
            <w:tcW w:w="437" w:type="pct"/>
            <w:vAlign w:val="center"/>
          </w:tcPr>
          <w:p w14:paraId="47F91505">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39A8394F">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1DDA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28" w:type="pct"/>
            <w:vAlign w:val="center"/>
          </w:tcPr>
          <w:p w14:paraId="189D30C0">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1</w:t>
            </w:r>
            <w:r>
              <w:rPr>
                <w:rFonts w:hint="eastAsia" w:ascii="Times New Roman" w:hAnsi="Times New Roman" w:eastAsia="仿宋_GB2312" w:cs="Times New Roman"/>
                <w:color w:val="000000" w:themeColor="text1"/>
                <w:sz w:val="24"/>
                <w:szCs w:val="24"/>
              </w:rPr>
              <w:t>8</w:t>
            </w:r>
          </w:p>
        </w:tc>
        <w:tc>
          <w:tcPr>
            <w:tcW w:w="465" w:type="pct"/>
            <w:vMerge w:val="continue"/>
            <w:vAlign w:val="center"/>
          </w:tcPr>
          <w:p w14:paraId="6163FD3B">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p>
        </w:tc>
        <w:tc>
          <w:tcPr>
            <w:tcW w:w="379" w:type="pct"/>
            <w:vMerge w:val="continue"/>
            <w:vAlign w:val="center"/>
          </w:tcPr>
          <w:p w14:paraId="53F6A536">
            <w:pPr>
              <w:widowControl w:val="0"/>
              <w:kinsoku/>
              <w:topLinePunct/>
              <w:autoSpaceDE/>
              <w:autoSpaceDN/>
              <w:spacing w:line="360" w:lineRule="exact"/>
              <w:jc w:val="center"/>
              <w:rPr>
                <w:rFonts w:ascii="Times New Roman" w:hAnsi="Times New Roman" w:eastAsia="仿宋_GB2312" w:cs="Times New Roman"/>
                <w:color w:val="000000" w:themeColor="text1"/>
                <w:sz w:val="22"/>
                <w:szCs w:val="22"/>
              </w:rPr>
            </w:pPr>
          </w:p>
        </w:tc>
        <w:tc>
          <w:tcPr>
            <w:tcW w:w="2919" w:type="pct"/>
            <w:vAlign w:val="center"/>
          </w:tcPr>
          <w:p w14:paraId="382CEE39">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长期护理专区的护床比</w:t>
            </w:r>
            <w:r>
              <w:rPr>
                <w:rFonts w:hint="eastAsia" w:ascii="Times New Roman" w:hAnsi="Times New Roman" w:eastAsia="仿宋_GB2312" w:cs="Times New Roman"/>
                <w:color w:val="000000" w:themeColor="text1"/>
                <w:kern w:val="2"/>
              </w:rPr>
              <w:t>在</w:t>
            </w:r>
            <w:r>
              <w:rPr>
                <w:rFonts w:ascii="Times New Roman" w:hAnsi="Times New Roman" w:eastAsia="仿宋_GB2312" w:cs="Times New Roman"/>
                <w:color w:val="000000" w:themeColor="text1"/>
                <w:kern w:val="2"/>
              </w:rPr>
              <w:t>1:5及以下的，得1分；达到1:4的，得3分；</w:t>
            </w:r>
            <w:r>
              <w:rPr>
                <w:rFonts w:hint="eastAsia" w:ascii="Times New Roman" w:hAnsi="Times New Roman" w:eastAsia="仿宋_GB2312" w:cs="Times New Roman"/>
                <w:color w:val="000000" w:themeColor="text1"/>
                <w:kern w:val="2"/>
              </w:rPr>
              <w:t>达到</w:t>
            </w:r>
            <w:r>
              <w:rPr>
                <w:rFonts w:ascii="Times New Roman" w:hAnsi="Times New Roman" w:eastAsia="仿宋_GB2312" w:cs="Times New Roman"/>
                <w:color w:val="000000" w:themeColor="text1"/>
                <w:kern w:val="2"/>
              </w:rPr>
              <w:t>1:3及以上的，得5分。</w:t>
            </w:r>
          </w:p>
        </w:tc>
        <w:tc>
          <w:tcPr>
            <w:tcW w:w="227" w:type="pct"/>
            <w:vAlign w:val="center"/>
          </w:tcPr>
          <w:p w14:paraId="2EBBBFDF">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5</w:t>
            </w:r>
          </w:p>
        </w:tc>
        <w:tc>
          <w:tcPr>
            <w:tcW w:w="437" w:type="pct"/>
            <w:vAlign w:val="center"/>
          </w:tcPr>
          <w:p w14:paraId="73BCAC92">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28353FB9">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1718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228" w:type="pct"/>
            <w:vAlign w:val="center"/>
          </w:tcPr>
          <w:p w14:paraId="5C776F80">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19</w:t>
            </w:r>
          </w:p>
        </w:tc>
        <w:tc>
          <w:tcPr>
            <w:tcW w:w="465" w:type="pct"/>
            <w:vAlign w:val="center"/>
          </w:tcPr>
          <w:p w14:paraId="6CFD77CF">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有必要的医疗护理用具及消毒、灭菌设备</w:t>
            </w:r>
          </w:p>
        </w:tc>
        <w:tc>
          <w:tcPr>
            <w:tcW w:w="379" w:type="pct"/>
            <w:vAlign w:val="center"/>
          </w:tcPr>
          <w:p w14:paraId="52EA3922">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一级指标</w:t>
            </w:r>
          </w:p>
        </w:tc>
        <w:tc>
          <w:tcPr>
            <w:tcW w:w="2919" w:type="pct"/>
            <w:vAlign w:val="center"/>
          </w:tcPr>
          <w:p w14:paraId="7E9EADC8">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配备开展长期护理保险服务所需的医疗护理用具，具备必要的消毒、灭菌设备（或与符合资质的消毒供应中心签订合作协议）。配备医疗、护理垃圾处理设备，有规范处理使用后的护理耗材用品和防护用品的工作流程。</w:t>
            </w:r>
          </w:p>
        </w:tc>
        <w:tc>
          <w:tcPr>
            <w:tcW w:w="227" w:type="pct"/>
            <w:vAlign w:val="center"/>
          </w:tcPr>
          <w:p w14:paraId="287DC918">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7C9865DF">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7D891923">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0F96611C">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5AA4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228" w:type="pct"/>
            <w:vAlign w:val="center"/>
          </w:tcPr>
          <w:p w14:paraId="12919C04">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20</w:t>
            </w:r>
          </w:p>
        </w:tc>
        <w:tc>
          <w:tcPr>
            <w:tcW w:w="465" w:type="pct"/>
            <w:vMerge w:val="restart"/>
            <w:vAlign w:val="center"/>
          </w:tcPr>
          <w:p w14:paraId="771B04C4">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kern w:val="2"/>
                <w:sz w:val="24"/>
                <w:szCs w:val="24"/>
              </w:rPr>
              <w:t>具有符合协议管理要求的制度</w:t>
            </w:r>
          </w:p>
        </w:tc>
        <w:tc>
          <w:tcPr>
            <w:tcW w:w="379" w:type="pct"/>
            <w:vAlign w:val="center"/>
          </w:tcPr>
          <w:p w14:paraId="6292BFB3">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一级指标</w:t>
            </w:r>
          </w:p>
        </w:tc>
        <w:tc>
          <w:tcPr>
            <w:tcW w:w="2919" w:type="pct"/>
            <w:vAlign w:val="center"/>
          </w:tcPr>
          <w:p w14:paraId="32D11078">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具有与长期护理保险政策规定相适应的服务管理、财务管理、</w:t>
            </w:r>
            <w:r>
              <w:rPr>
                <w:rFonts w:hint="eastAsia" w:ascii="Times New Roman" w:hAnsi="Times New Roman" w:eastAsia="仿宋_GB2312" w:cs="Times New Roman"/>
                <w:color w:val="000000" w:themeColor="text1"/>
                <w:kern w:val="2"/>
              </w:rPr>
              <w:t>信息管理</w:t>
            </w:r>
            <w:r>
              <w:rPr>
                <w:rFonts w:ascii="Times New Roman" w:hAnsi="Times New Roman" w:eastAsia="仿宋_GB2312" w:cs="Times New Roman"/>
                <w:color w:val="000000" w:themeColor="text1"/>
                <w:kern w:val="2"/>
              </w:rPr>
              <w:t>、内控管理、人员管理、档案管理等制度。</w:t>
            </w:r>
          </w:p>
        </w:tc>
        <w:tc>
          <w:tcPr>
            <w:tcW w:w="227" w:type="pct"/>
            <w:vAlign w:val="center"/>
          </w:tcPr>
          <w:p w14:paraId="1971884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3386374E">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3F047C8F">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2A2B4FE5">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1291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228" w:type="pct"/>
            <w:vAlign w:val="center"/>
          </w:tcPr>
          <w:p w14:paraId="7E1DF628">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2</w:t>
            </w:r>
            <w:r>
              <w:rPr>
                <w:rFonts w:hint="eastAsia" w:ascii="Times New Roman" w:hAnsi="Times New Roman" w:eastAsia="仿宋_GB2312" w:cs="Times New Roman"/>
                <w:color w:val="000000" w:themeColor="text1"/>
                <w:sz w:val="24"/>
                <w:szCs w:val="24"/>
              </w:rPr>
              <w:t>1</w:t>
            </w:r>
          </w:p>
        </w:tc>
        <w:tc>
          <w:tcPr>
            <w:tcW w:w="465" w:type="pct"/>
            <w:vMerge w:val="continue"/>
            <w:vAlign w:val="center"/>
          </w:tcPr>
          <w:p w14:paraId="5E796400">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p>
        </w:tc>
        <w:tc>
          <w:tcPr>
            <w:tcW w:w="379" w:type="pct"/>
            <w:vAlign w:val="center"/>
          </w:tcPr>
          <w:p w14:paraId="71FE3D6C">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二级指标</w:t>
            </w:r>
          </w:p>
          <w:p w14:paraId="418747E1">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（5分）</w:t>
            </w:r>
          </w:p>
        </w:tc>
        <w:tc>
          <w:tcPr>
            <w:tcW w:w="2919" w:type="pct"/>
            <w:vAlign w:val="center"/>
          </w:tcPr>
          <w:p w14:paraId="7DDD4F16">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1.每有一项内部管理制度完整、合理、可操作落实，得0.5分，最高得3分。</w:t>
            </w:r>
          </w:p>
          <w:p w14:paraId="2E3002B8">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2.</w:t>
            </w:r>
            <w:r>
              <w:rPr>
                <w:rFonts w:ascii="Times New Roman" w:hAnsi="Times New Roman" w:eastAsia="仿宋_GB2312" w:cs="Times New Roman"/>
                <w:color w:val="000000" w:themeColor="text1"/>
              </w:rPr>
              <w:t>配备具备专业能力的兼职财务人员，得1分；配备具备专业能力的专职财务人员，得2分（提供人员相关资质等证明材料）</w:t>
            </w:r>
            <w:r>
              <w:rPr>
                <w:rFonts w:ascii="Times New Roman" w:hAnsi="Times New Roman" w:eastAsia="仿宋_GB2312" w:cs="Times New Roman"/>
                <w:color w:val="000000" w:themeColor="text1"/>
                <w:kern w:val="2"/>
              </w:rPr>
              <w:t>。</w:t>
            </w:r>
          </w:p>
        </w:tc>
        <w:tc>
          <w:tcPr>
            <w:tcW w:w="227" w:type="pct"/>
            <w:vAlign w:val="center"/>
          </w:tcPr>
          <w:p w14:paraId="02E50CE9">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5</w:t>
            </w:r>
          </w:p>
        </w:tc>
        <w:tc>
          <w:tcPr>
            <w:tcW w:w="437" w:type="pct"/>
            <w:vAlign w:val="center"/>
          </w:tcPr>
          <w:p w14:paraId="282D05BC">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6241D4E3">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4616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228" w:type="pct"/>
            <w:vAlign w:val="center"/>
          </w:tcPr>
          <w:p w14:paraId="60AA5DEE">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2</w:t>
            </w:r>
            <w:r>
              <w:rPr>
                <w:rFonts w:hint="eastAsia" w:ascii="Times New Roman" w:hAnsi="Times New Roman" w:eastAsia="仿宋_GB2312" w:cs="Times New Roman"/>
                <w:color w:val="000000" w:themeColor="text1"/>
                <w:kern w:val="2"/>
                <w:sz w:val="24"/>
                <w:szCs w:val="24"/>
              </w:rPr>
              <w:t>2</w:t>
            </w:r>
          </w:p>
        </w:tc>
        <w:tc>
          <w:tcPr>
            <w:tcW w:w="465" w:type="pct"/>
            <w:vMerge w:val="restart"/>
            <w:vAlign w:val="center"/>
          </w:tcPr>
          <w:p w14:paraId="02E25DA3">
            <w:pPr>
              <w:widowControl w:val="0"/>
              <w:kinsoku/>
              <w:topLinePunct/>
              <w:autoSpaceDE/>
              <w:autoSpaceDN/>
              <w:spacing w:line="360" w:lineRule="exact"/>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kern w:val="2"/>
                <w:sz w:val="24"/>
                <w:szCs w:val="24"/>
              </w:rPr>
              <w:t>信息化支撑能力能够满足长期护理保险信息化要求</w:t>
            </w:r>
          </w:p>
        </w:tc>
        <w:tc>
          <w:tcPr>
            <w:tcW w:w="379" w:type="pct"/>
            <w:vAlign w:val="center"/>
          </w:tcPr>
          <w:p w14:paraId="412EF874">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一级指标</w:t>
            </w:r>
          </w:p>
        </w:tc>
        <w:tc>
          <w:tcPr>
            <w:tcW w:w="2919" w:type="pct"/>
            <w:vAlign w:val="center"/>
          </w:tcPr>
          <w:p w14:paraId="41FE437F">
            <w:pPr>
              <w:widowControl w:val="0"/>
              <w:kinsoku/>
              <w:autoSpaceDE/>
              <w:autoSpaceDN/>
              <w:adjustRightInd/>
              <w:snapToGrid/>
              <w:spacing w:line="360" w:lineRule="exact"/>
              <w:jc w:val="both"/>
              <w:textAlignment w:val="auto"/>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rPr>
              <w:t>具备使用全国统一的医保信息平台长期护理保险相关功能，与医保信息平台长期护理保险功能模块按接口标准进行对接等条件</w:t>
            </w:r>
            <w:r>
              <w:rPr>
                <w:rFonts w:hint="eastAsia" w:ascii="Times New Roman" w:hAnsi="Times New Roman" w:eastAsia="仿宋_GB2312" w:cs="Times New Roman"/>
                <w:color w:val="000000" w:themeColor="text1"/>
              </w:rPr>
              <w:t>，在</w:t>
            </w:r>
            <w:r>
              <w:rPr>
                <w:rFonts w:ascii="Times New Roman" w:hAnsi="Times New Roman" w:eastAsia="仿宋_GB2312" w:cs="Times New Roman"/>
                <w:color w:val="000000" w:themeColor="text1"/>
              </w:rPr>
              <w:t>环境内实行专机专用、专网专用，按照国家相关法律要求，提供必要的网信安全保障措施。</w:t>
            </w:r>
          </w:p>
        </w:tc>
        <w:tc>
          <w:tcPr>
            <w:tcW w:w="227" w:type="pct"/>
            <w:vAlign w:val="center"/>
          </w:tcPr>
          <w:p w14:paraId="5270494F">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38B9444D">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367E0754">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1BEBF4B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1C34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28" w:type="pct"/>
            <w:vAlign w:val="center"/>
          </w:tcPr>
          <w:p w14:paraId="7419460D">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2</w:t>
            </w:r>
            <w:r>
              <w:rPr>
                <w:rFonts w:hint="eastAsia" w:ascii="Times New Roman" w:hAnsi="Times New Roman" w:eastAsia="仿宋_GB2312" w:cs="Times New Roman"/>
                <w:color w:val="000000" w:themeColor="text1"/>
                <w:kern w:val="2"/>
                <w:sz w:val="24"/>
                <w:szCs w:val="24"/>
              </w:rPr>
              <w:t>3</w:t>
            </w:r>
          </w:p>
        </w:tc>
        <w:tc>
          <w:tcPr>
            <w:tcW w:w="465" w:type="pct"/>
            <w:vMerge w:val="continue"/>
            <w:vAlign w:val="center"/>
          </w:tcPr>
          <w:p w14:paraId="08A15A56">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Align w:val="center"/>
          </w:tcPr>
          <w:p w14:paraId="3113413A">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二级指标</w:t>
            </w:r>
          </w:p>
          <w:p w14:paraId="4ABA1973">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w:t>
            </w:r>
            <w:r>
              <w:rPr>
                <w:rFonts w:hint="eastAsia" w:ascii="Times New Roman" w:hAnsi="Times New Roman" w:eastAsia="仿宋_GB2312" w:cs="Times New Roman"/>
                <w:color w:val="000000" w:themeColor="text1"/>
                <w:kern w:val="2"/>
                <w:sz w:val="22"/>
                <w:szCs w:val="22"/>
              </w:rPr>
              <w:t>8</w:t>
            </w:r>
            <w:r>
              <w:rPr>
                <w:rFonts w:ascii="Times New Roman" w:hAnsi="Times New Roman" w:eastAsia="仿宋_GB2312" w:cs="Times New Roman"/>
                <w:color w:val="000000" w:themeColor="text1"/>
                <w:kern w:val="2"/>
                <w:sz w:val="22"/>
                <w:szCs w:val="22"/>
              </w:rPr>
              <w:t>分）</w:t>
            </w:r>
          </w:p>
        </w:tc>
        <w:tc>
          <w:tcPr>
            <w:tcW w:w="2919" w:type="pct"/>
            <w:vAlign w:val="center"/>
          </w:tcPr>
          <w:p w14:paraId="606F2046">
            <w:pPr>
              <w:widowControl w:val="0"/>
              <w:kinsoku/>
              <w:autoSpaceDE/>
              <w:autoSpaceDN/>
              <w:adjustRightInd/>
              <w:snapToGrid/>
              <w:spacing w:line="360" w:lineRule="exact"/>
              <w:jc w:val="both"/>
              <w:textAlignment w:val="auto"/>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1.具备与国家医保信息平台长期护理模块对接的技术能力（需提供技术能力相关证明材料），得2分。</w:t>
            </w:r>
            <w:r>
              <w:rPr>
                <w:rFonts w:hint="eastAsia" w:ascii="Times New Roman" w:hAnsi="Times New Roman" w:eastAsia="仿宋_GB2312" w:cs="Times New Roman"/>
                <w:color w:val="000000" w:themeColor="text1"/>
              </w:rPr>
              <w:t>能</w:t>
            </w:r>
            <w:r>
              <w:rPr>
                <w:rFonts w:ascii="Times New Roman" w:hAnsi="Times New Roman" w:eastAsia="仿宋_GB2312" w:cs="Times New Roman"/>
                <w:color w:val="000000" w:themeColor="text1"/>
              </w:rPr>
              <w:t>在成为定点</w:t>
            </w:r>
            <w:r>
              <w:rPr>
                <w:rFonts w:hint="eastAsia" w:ascii="Times New Roman" w:hAnsi="Times New Roman" w:eastAsia="仿宋_GB2312" w:cs="Times New Roman"/>
                <w:color w:val="000000" w:themeColor="text1"/>
              </w:rPr>
              <w:t>服务</w:t>
            </w:r>
            <w:r>
              <w:rPr>
                <w:rFonts w:ascii="Times New Roman" w:hAnsi="Times New Roman" w:eastAsia="仿宋_GB2312" w:cs="Times New Roman"/>
                <w:color w:val="000000" w:themeColor="text1"/>
              </w:rPr>
              <w:t>机构后1个月内完成本机构与国家医保信息平台长期护理模块技术改造工作，加</w:t>
            </w:r>
            <w:r>
              <w:rPr>
                <w:rFonts w:hint="eastAsia" w:ascii="Times New Roman" w:hAnsi="Times New Roman" w:eastAsia="仿宋_GB2312" w:cs="Times New Roman"/>
                <w:color w:val="000000" w:themeColor="text1"/>
              </w:rPr>
              <w:t>1</w:t>
            </w:r>
            <w:r>
              <w:rPr>
                <w:rFonts w:ascii="Times New Roman" w:hAnsi="Times New Roman" w:eastAsia="仿宋_GB2312" w:cs="Times New Roman"/>
                <w:color w:val="000000" w:themeColor="text1"/>
              </w:rPr>
              <w:t>分。</w:t>
            </w:r>
          </w:p>
          <w:p w14:paraId="223612EB">
            <w:pPr>
              <w:widowControl w:val="0"/>
              <w:kinsoku/>
              <w:autoSpaceDE/>
              <w:autoSpaceDN/>
              <w:adjustRightInd/>
              <w:snapToGrid/>
              <w:spacing w:line="360" w:lineRule="exact"/>
              <w:jc w:val="both"/>
              <w:textAlignment w:val="auto"/>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2.有信息技术管理维护人员，得2分。故障发生时及时处理，响应时长</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rPr>
              <w:t>1小时，加</w:t>
            </w:r>
            <w:r>
              <w:rPr>
                <w:rFonts w:hint="eastAsia" w:ascii="Times New Roman" w:hAnsi="Times New Roman" w:eastAsia="仿宋_GB2312" w:cs="Times New Roman"/>
                <w:color w:val="000000" w:themeColor="text1"/>
              </w:rPr>
              <w:t>1</w:t>
            </w:r>
            <w:r>
              <w:rPr>
                <w:rFonts w:ascii="Times New Roman" w:hAnsi="Times New Roman" w:eastAsia="仿宋_GB2312" w:cs="Times New Roman"/>
                <w:color w:val="000000" w:themeColor="text1"/>
              </w:rPr>
              <w:t>分。</w:t>
            </w:r>
          </w:p>
          <w:p w14:paraId="0F809405">
            <w:pPr>
              <w:widowControl w:val="0"/>
              <w:kinsoku/>
              <w:autoSpaceDE/>
              <w:autoSpaceDN/>
              <w:adjustRightInd/>
              <w:snapToGrid/>
              <w:spacing w:line="360" w:lineRule="exact"/>
              <w:jc w:val="both"/>
              <w:textAlignment w:val="auto"/>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rPr>
              <w:t>3.具备通过医保专网接入国家医保信息平台长期护理管理系统，并与互联网物理隔离，配备防火墙、入侵检测、数据备份等安全防护设施，符合医保网络安全保护要求，得2分。</w:t>
            </w:r>
          </w:p>
        </w:tc>
        <w:tc>
          <w:tcPr>
            <w:tcW w:w="227" w:type="pct"/>
            <w:vAlign w:val="center"/>
          </w:tcPr>
          <w:p w14:paraId="52BB44B4">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8</w:t>
            </w:r>
          </w:p>
        </w:tc>
        <w:tc>
          <w:tcPr>
            <w:tcW w:w="437" w:type="pct"/>
            <w:vAlign w:val="center"/>
          </w:tcPr>
          <w:p w14:paraId="754792C4">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55D6603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2FB6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28" w:type="pct"/>
            <w:vAlign w:val="center"/>
          </w:tcPr>
          <w:p w14:paraId="37C236F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2</w:t>
            </w:r>
            <w:r>
              <w:rPr>
                <w:rFonts w:hint="eastAsia" w:ascii="Times New Roman" w:hAnsi="Times New Roman" w:eastAsia="仿宋_GB2312" w:cs="Times New Roman"/>
                <w:color w:val="000000" w:themeColor="text1"/>
                <w:kern w:val="2"/>
                <w:sz w:val="24"/>
                <w:szCs w:val="24"/>
              </w:rPr>
              <w:t>4</w:t>
            </w:r>
          </w:p>
        </w:tc>
        <w:tc>
          <w:tcPr>
            <w:tcW w:w="465" w:type="pct"/>
            <w:vMerge w:val="restart"/>
            <w:vAlign w:val="center"/>
          </w:tcPr>
          <w:p w14:paraId="30C401B1">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具备长期护理保险档案管理条件</w:t>
            </w:r>
          </w:p>
        </w:tc>
        <w:tc>
          <w:tcPr>
            <w:tcW w:w="379" w:type="pct"/>
            <w:vAlign w:val="center"/>
          </w:tcPr>
          <w:p w14:paraId="6A81BA37">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一级指标</w:t>
            </w:r>
          </w:p>
        </w:tc>
        <w:tc>
          <w:tcPr>
            <w:tcW w:w="2919" w:type="pct"/>
            <w:vAlign w:val="center"/>
          </w:tcPr>
          <w:p w14:paraId="0DD1C4CC">
            <w:pPr>
              <w:widowControl w:val="0"/>
              <w:kinsoku/>
              <w:autoSpaceDE/>
              <w:autoSpaceDN/>
              <w:adjustRightInd/>
              <w:snapToGrid/>
              <w:spacing w:line="360" w:lineRule="exact"/>
              <w:jc w:val="both"/>
              <w:textAlignment w:val="auto"/>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按照</w:t>
            </w:r>
            <w:r>
              <w:rPr>
                <w:rFonts w:ascii="Times New Roman" w:hAnsi="Times New Roman" w:eastAsia="仿宋_GB2312" w:cs="Times New Roman"/>
                <w:color w:val="000000" w:themeColor="text1"/>
              </w:rPr>
              <w:t>长护险“一人一档”建设</w:t>
            </w:r>
            <w:r>
              <w:rPr>
                <w:rFonts w:hint="eastAsia" w:ascii="Times New Roman" w:hAnsi="Times New Roman" w:eastAsia="仿宋_GB2312" w:cs="Times New Roman"/>
                <w:color w:val="000000" w:themeColor="text1"/>
              </w:rPr>
              <w:t>要求</w:t>
            </w:r>
            <w:r>
              <w:rPr>
                <w:rFonts w:ascii="Times New Roman" w:hAnsi="Times New Roman" w:eastAsia="仿宋_GB2312" w:cs="Times New Roman"/>
                <w:color w:val="000000" w:themeColor="text1"/>
              </w:rPr>
              <w:t>，档案由专人负责管理、固定存放区域、一人一档且标识清楚，能根据工作要求及时调阅。</w:t>
            </w:r>
          </w:p>
        </w:tc>
        <w:tc>
          <w:tcPr>
            <w:tcW w:w="227" w:type="pct"/>
            <w:vAlign w:val="center"/>
          </w:tcPr>
          <w:p w14:paraId="43778067">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5A85D565">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5B5865B2">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69424DF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7F3F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228" w:type="pct"/>
            <w:vAlign w:val="center"/>
          </w:tcPr>
          <w:p w14:paraId="068F755D">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2</w:t>
            </w:r>
            <w:r>
              <w:rPr>
                <w:rFonts w:hint="eastAsia" w:ascii="Times New Roman" w:hAnsi="Times New Roman" w:eastAsia="仿宋_GB2312" w:cs="Times New Roman"/>
                <w:color w:val="000000" w:themeColor="text1"/>
                <w:kern w:val="2"/>
                <w:sz w:val="24"/>
                <w:szCs w:val="24"/>
              </w:rPr>
              <w:t>5</w:t>
            </w:r>
          </w:p>
        </w:tc>
        <w:tc>
          <w:tcPr>
            <w:tcW w:w="465" w:type="pct"/>
            <w:vMerge w:val="continue"/>
            <w:vAlign w:val="center"/>
          </w:tcPr>
          <w:p w14:paraId="489615F3">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379" w:type="pct"/>
            <w:vAlign w:val="center"/>
          </w:tcPr>
          <w:p w14:paraId="40D4E8B7">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二级指标</w:t>
            </w:r>
          </w:p>
          <w:p w14:paraId="42F07B5D">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w:t>
            </w:r>
            <w:r>
              <w:rPr>
                <w:rFonts w:hint="eastAsia" w:ascii="Times New Roman" w:hAnsi="Times New Roman" w:eastAsia="仿宋_GB2312" w:cs="Times New Roman"/>
                <w:color w:val="000000" w:themeColor="text1"/>
                <w:kern w:val="2"/>
                <w:sz w:val="22"/>
                <w:szCs w:val="22"/>
              </w:rPr>
              <w:t>5</w:t>
            </w:r>
            <w:r>
              <w:rPr>
                <w:rFonts w:ascii="Times New Roman" w:hAnsi="Times New Roman" w:eastAsia="仿宋_GB2312" w:cs="Times New Roman"/>
                <w:color w:val="000000" w:themeColor="text1"/>
                <w:kern w:val="2"/>
                <w:sz w:val="22"/>
                <w:szCs w:val="22"/>
              </w:rPr>
              <w:t>分）</w:t>
            </w:r>
          </w:p>
        </w:tc>
        <w:tc>
          <w:tcPr>
            <w:tcW w:w="2919" w:type="pct"/>
            <w:vAlign w:val="center"/>
          </w:tcPr>
          <w:p w14:paraId="1EB9722F">
            <w:pPr>
              <w:widowControl w:val="0"/>
              <w:kinsoku/>
              <w:autoSpaceDE/>
              <w:autoSpaceDN/>
              <w:adjustRightInd/>
              <w:snapToGrid/>
              <w:spacing w:line="360" w:lineRule="exact"/>
              <w:jc w:val="both"/>
              <w:textAlignment w:val="auto"/>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rPr>
              <w:t>具备</w:t>
            </w:r>
            <w:r>
              <w:rPr>
                <w:rFonts w:hint="eastAsia" w:ascii="Times New Roman" w:hAnsi="Times New Roman" w:eastAsia="仿宋_GB2312" w:cs="Times New Roman"/>
                <w:color w:val="000000" w:themeColor="text1"/>
              </w:rPr>
              <w:t>护理服务</w:t>
            </w:r>
            <w:r>
              <w:rPr>
                <w:rFonts w:ascii="Times New Roman" w:hAnsi="Times New Roman" w:eastAsia="仿宋_GB2312" w:cs="Times New Roman"/>
                <w:color w:val="000000" w:themeColor="text1"/>
              </w:rPr>
              <w:t>对象“一人一档”的全周期档案管理条件，得</w:t>
            </w:r>
            <w:r>
              <w:rPr>
                <w:rFonts w:hint="eastAsia" w:ascii="Times New Roman" w:hAnsi="Times New Roman" w:eastAsia="仿宋_GB2312" w:cs="Times New Roman"/>
                <w:color w:val="000000" w:themeColor="text1"/>
              </w:rPr>
              <w:t>2</w:t>
            </w:r>
            <w:r>
              <w:rPr>
                <w:rFonts w:ascii="Times New Roman" w:hAnsi="Times New Roman" w:eastAsia="仿宋_GB2312" w:cs="Times New Roman"/>
                <w:color w:val="000000" w:themeColor="text1"/>
              </w:rPr>
              <w:t>分，实行电子化档案管理的，加</w:t>
            </w:r>
            <w:r>
              <w:rPr>
                <w:rFonts w:hint="eastAsia" w:ascii="Times New Roman" w:hAnsi="Times New Roman" w:eastAsia="仿宋_GB2312" w:cs="Times New Roman"/>
                <w:color w:val="000000" w:themeColor="text1"/>
              </w:rPr>
              <w:t>3</w:t>
            </w:r>
            <w:r>
              <w:rPr>
                <w:rFonts w:ascii="Times New Roman" w:hAnsi="Times New Roman" w:eastAsia="仿宋_GB2312" w:cs="Times New Roman"/>
                <w:color w:val="000000" w:themeColor="text1"/>
              </w:rPr>
              <w:t>分。</w:t>
            </w:r>
          </w:p>
        </w:tc>
        <w:tc>
          <w:tcPr>
            <w:tcW w:w="227" w:type="pct"/>
            <w:vAlign w:val="center"/>
          </w:tcPr>
          <w:p w14:paraId="4B5E2EE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5</w:t>
            </w:r>
          </w:p>
        </w:tc>
        <w:tc>
          <w:tcPr>
            <w:tcW w:w="437" w:type="pct"/>
            <w:vAlign w:val="center"/>
          </w:tcPr>
          <w:p w14:paraId="773ACFE6">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得</w:t>
            </w:r>
            <w:r>
              <w:rPr>
                <w:rFonts w:hint="eastAsia" w:ascii="Times New Roman" w:hAnsi="Times New Roman" w:eastAsia="仿宋_GB2312" w:cs="Times New Roman"/>
                <w:color w:val="000000" w:themeColor="text1"/>
                <w:kern w:val="2"/>
              </w:rPr>
              <w:t xml:space="preserve">    </w:t>
            </w:r>
            <w:r>
              <w:rPr>
                <w:rFonts w:ascii="Times New Roman" w:hAnsi="Times New Roman" w:eastAsia="仿宋_GB2312" w:cs="Times New Roman"/>
                <w:color w:val="000000" w:themeColor="text1"/>
                <w:kern w:val="2"/>
              </w:rPr>
              <w:t>分</w:t>
            </w:r>
          </w:p>
        </w:tc>
        <w:tc>
          <w:tcPr>
            <w:tcW w:w="342" w:type="pct"/>
            <w:vAlign w:val="center"/>
          </w:tcPr>
          <w:p w14:paraId="2646A54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2F0E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28" w:type="pct"/>
            <w:vAlign w:val="center"/>
          </w:tcPr>
          <w:p w14:paraId="4E1166E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2</w:t>
            </w:r>
            <w:r>
              <w:rPr>
                <w:rFonts w:hint="eastAsia" w:ascii="Times New Roman" w:hAnsi="Times New Roman" w:eastAsia="仿宋_GB2312" w:cs="Times New Roman"/>
                <w:color w:val="000000" w:themeColor="text1"/>
                <w:kern w:val="2"/>
                <w:sz w:val="24"/>
                <w:szCs w:val="24"/>
              </w:rPr>
              <w:t>6</w:t>
            </w:r>
          </w:p>
        </w:tc>
        <w:tc>
          <w:tcPr>
            <w:tcW w:w="465" w:type="pct"/>
            <w:vAlign w:val="center"/>
          </w:tcPr>
          <w:p w14:paraId="0CA61686">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无不予受理的情况</w:t>
            </w:r>
          </w:p>
        </w:tc>
        <w:tc>
          <w:tcPr>
            <w:tcW w:w="379" w:type="pct"/>
            <w:vAlign w:val="center"/>
          </w:tcPr>
          <w:p w14:paraId="5ABABB4A">
            <w:pPr>
              <w:widowControl w:val="0"/>
              <w:kinsoku/>
              <w:topLinePunct/>
              <w:autoSpaceDE/>
              <w:autoSpaceDN/>
              <w:spacing w:line="360" w:lineRule="exact"/>
              <w:jc w:val="center"/>
              <w:rPr>
                <w:rFonts w:ascii="Times New Roman" w:hAnsi="Times New Roman" w:eastAsia="仿宋_GB2312" w:cs="Times New Roman"/>
                <w:color w:val="000000" w:themeColor="text1"/>
                <w:kern w:val="2"/>
                <w:sz w:val="22"/>
                <w:szCs w:val="22"/>
              </w:rPr>
            </w:pPr>
            <w:r>
              <w:rPr>
                <w:rFonts w:ascii="Times New Roman" w:hAnsi="Times New Roman" w:eastAsia="仿宋_GB2312" w:cs="Times New Roman"/>
                <w:color w:val="000000" w:themeColor="text1"/>
                <w:kern w:val="2"/>
                <w:sz w:val="22"/>
                <w:szCs w:val="22"/>
              </w:rPr>
              <w:t>一级指标</w:t>
            </w:r>
          </w:p>
        </w:tc>
        <w:tc>
          <w:tcPr>
            <w:tcW w:w="2919" w:type="pct"/>
            <w:vAlign w:val="center"/>
          </w:tcPr>
          <w:p w14:paraId="48AFF0F5">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无以下不予受理情形：</w:t>
            </w:r>
          </w:p>
          <w:p w14:paraId="20BBB023">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1.受到相关行政部门行政处罚（处理），但未完全履行处罚（处理）责任；</w:t>
            </w:r>
          </w:p>
          <w:p w14:paraId="5B60ECFB">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2.以弄虚作假等不正当手段申请定点管理，自发现之日起未满3年；</w:t>
            </w:r>
          </w:p>
          <w:p w14:paraId="307030DA">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3.因违法违规或者严重违反协议约定而被解除协议未满3年，或者已满3年但未完全履行违约责任；</w:t>
            </w:r>
          </w:p>
          <w:p w14:paraId="5B0EE29A">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4.法定代表人、主要负责人、实际控制人或者股东设立长期护理保险失能等级评估机构；</w:t>
            </w:r>
          </w:p>
          <w:p w14:paraId="65180BC1">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5.法定代表人、主要负责人或者实际控制人被列入严重失信名单；</w:t>
            </w:r>
          </w:p>
          <w:p w14:paraId="6687D4D6">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6.法定代表人、主要负责人或者实际控制人因严重违法违规造成长期护理保险基金重大损失或者严重不良社会影响，被禁止从事定点长护服务机构管理活动不满5年；</w:t>
            </w:r>
          </w:p>
          <w:p w14:paraId="03FCFAE6">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7.法律法规和规章规定的其他不予受理的情形。</w:t>
            </w:r>
          </w:p>
        </w:tc>
        <w:tc>
          <w:tcPr>
            <w:tcW w:w="227" w:type="pct"/>
            <w:vAlign w:val="center"/>
          </w:tcPr>
          <w:p w14:paraId="1B320546">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rPr>
              <w:t>／</w:t>
            </w:r>
          </w:p>
        </w:tc>
        <w:tc>
          <w:tcPr>
            <w:tcW w:w="437" w:type="pct"/>
            <w:vAlign w:val="center"/>
          </w:tcPr>
          <w:p w14:paraId="69011F5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6B1CA02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342" w:type="pct"/>
            <w:vAlign w:val="center"/>
          </w:tcPr>
          <w:p w14:paraId="4437E31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p>
        </w:tc>
      </w:tr>
      <w:tr w14:paraId="05EA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000" w:type="pct"/>
            <w:gridSpan w:val="7"/>
            <w:vAlign w:val="center"/>
          </w:tcPr>
          <w:p w14:paraId="5FDB94DC">
            <w:pPr>
              <w:widowControl w:val="0"/>
              <w:kinsoku/>
              <w:topLinePunct/>
              <w:autoSpaceDE/>
              <w:autoSpaceDN/>
              <w:spacing w:line="360" w:lineRule="exact"/>
              <w:ind w:firstLine="480" w:firstLineChars="200"/>
              <w:jc w:val="left"/>
              <w:rPr>
                <w:rFonts w:ascii="Times New Roman" w:hAnsi="Times New Roman" w:eastAsia="仿宋_GB2312" w:cs="Times New Roman"/>
                <w:color w:val="000000" w:themeColor="text1"/>
                <w:kern w:val="2"/>
                <w:sz w:val="24"/>
                <w:szCs w:val="24"/>
              </w:rPr>
            </w:pPr>
            <w:r>
              <w:rPr>
                <w:rFonts w:hint="eastAsia" w:ascii="FangSong" w:hAnsi="FangSong" w:eastAsia="FangSong" w:cs="FangSong"/>
                <w:color w:val="auto"/>
                <w:kern w:val="2"/>
                <w:sz w:val="24"/>
                <w:szCs w:val="24"/>
              </w:rPr>
              <w:t>评估结果：一级指标：符合</w:t>
            </w:r>
            <w:r>
              <w:rPr>
                <w:rFonts w:hint="eastAsia" w:ascii="Times New Roman" w:hAnsi="Times New Roman" w:eastAsia="仿宋_GB2312" w:cs="Times New Roman"/>
                <w:color w:val="000000" w:themeColor="text1"/>
                <w:kern w:val="2"/>
              </w:rPr>
              <w:sym w:font="Wingdings 2" w:char="00A3"/>
            </w:r>
            <w:r>
              <w:rPr>
                <w:rFonts w:hint="eastAsia" w:ascii="Times New Roman" w:hAnsi="Times New Roman" w:eastAsia="仿宋_GB2312" w:cs="Times New Roman"/>
                <w:color w:val="000000" w:themeColor="text1"/>
                <w:kern w:val="2"/>
              </w:rPr>
              <w:t>，</w:t>
            </w:r>
            <w:r>
              <w:rPr>
                <w:rFonts w:hint="eastAsia" w:ascii="FangSong" w:hAnsi="FangSong" w:eastAsia="FangSong" w:cs="FangSong"/>
                <w:color w:val="auto"/>
                <w:kern w:val="2"/>
                <w:sz w:val="24"/>
                <w:szCs w:val="24"/>
              </w:rPr>
              <w:t>不符合</w:t>
            </w:r>
            <w:r>
              <w:rPr>
                <w:rFonts w:hint="eastAsia" w:ascii="Times New Roman" w:hAnsi="Times New Roman" w:eastAsia="仿宋_GB2312" w:cs="Times New Roman"/>
                <w:color w:val="000000" w:themeColor="text1"/>
                <w:kern w:val="2"/>
              </w:rPr>
              <w:sym w:font="Wingdings 2" w:char="00A3"/>
            </w:r>
            <w:r>
              <w:rPr>
                <w:rFonts w:hint="eastAsia" w:ascii="Times New Roman" w:hAnsi="Times New Roman" w:eastAsia="仿宋_GB2312" w:cs="Times New Roman"/>
                <w:color w:val="000000" w:themeColor="text1"/>
                <w:kern w:val="2"/>
              </w:rPr>
              <w:t>；</w:t>
            </w:r>
            <w:r>
              <w:rPr>
                <w:rFonts w:hint="eastAsia" w:ascii="FangSong" w:hAnsi="FangSong" w:eastAsia="FangSong" w:cs="FangSong"/>
                <w:color w:val="auto"/>
                <w:kern w:val="2"/>
                <w:sz w:val="24"/>
                <w:szCs w:val="24"/>
              </w:rPr>
              <w:t>二级指标共得</w:t>
            </w:r>
            <w:r>
              <w:rPr>
                <w:rFonts w:hint="eastAsia" w:ascii="FangSong" w:hAnsi="FangSong" w:eastAsia="FangSong" w:cs="FangSong"/>
                <w:color w:val="auto"/>
                <w:kern w:val="2"/>
                <w:sz w:val="24"/>
                <w:szCs w:val="24"/>
                <w:u w:val="single"/>
              </w:rPr>
              <w:t xml:space="preserve">    </w:t>
            </w:r>
            <w:r>
              <w:rPr>
                <w:rFonts w:hint="eastAsia" w:ascii="FangSong" w:hAnsi="FangSong" w:eastAsia="FangSong" w:cs="FangSong"/>
                <w:color w:val="auto"/>
                <w:kern w:val="2"/>
                <w:sz w:val="24"/>
                <w:szCs w:val="24"/>
              </w:rPr>
              <w:t>分。</w:t>
            </w:r>
          </w:p>
        </w:tc>
      </w:tr>
    </w:tbl>
    <w:p w14:paraId="15745503">
      <w:pPr>
        <w:pStyle w:val="12"/>
        <w:ind w:firstLine="548"/>
        <w:rPr>
          <w:color w:val="000000" w:themeColor="text1"/>
          <w:sz w:val="28"/>
          <w:szCs w:val="28"/>
        </w:rPr>
      </w:pPr>
    </w:p>
    <w:p w14:paraId="2AEE12F5">
      <w:pPr>
        <w:pStyle w:val="12"/>
        <w:ind w:firstLine="548"/>
        <w:rPr>
          <w:rStyle w:val="38"/>
          <w:rFonts w:hint="eastAsia" w:ascii="仿宋_GB2312" w:eastAsia="仿宋_GB2312"/>
          <w:sz w:val="28"/>
          <w:szCs w:val="28"/>
        </w:rPr>
      </w:pPr>
    </w:p>
    <w:p w14:paraId="0A5A03B2">
      <w:pPr>
        <w:pStyle w:val="12"/>
        <w:ind w:firstLine="548"/>
        <w:rPr>
          <w:color w:val="000000" w:themeColor="text1"/>
          <w:sz w:val="28"/>
          <w:szCs w:val="28"/>
        </w:rPr>
      </w:pPr>
      <w:r>
        <w:rPr>
          <w:rStyle w:val="38"/>
          <w:rFonts w:ascii="Times New Roman" w:hAnsi="Times New Roman" w:eastAsia="仿宋_GB2312" w:cs="仿宋_GB2312"/>
          <w:sz w:val="28"/>
          <w:szCs w:val="28"/>
        </w:rPr>
        <w:t>备注</w:t>
      </w:r>
      <w:r>
        <w:rPr>
          <w:color w:val="000000" w:themeColor="text1"/>
          <w:sz w:val="28"/>
          <w:szCs w:val="28"/>
        </w:rPr>
        <w:t>：</w:t>
      </w:r>
    </w:p>
    <w:p w14:paraId="3A4C6A1A">
      <w:pPr>
        <w:pStyle w:val="12"/>
        <w:ind w:firstLine="548"/>
        <w:rPr>
          <w:sz w:val="28"/>
          <w:szCs w:val="28"/>
        </w:rPr>
      </w:pPr>
      <w:r>
        <w:rPr>
          <w:color w:val="000000" w:themeColor="text1"/>
          <w:sz w:val="28"/>
          <w:szCs w:val="28"/>
        </w:rPr>
        <w:t>1</w:t>
      </w:r>
      <w:r>
        <w:rPr>
          <w:sz w:val="28"/>
          <w:szCs w:val="28"/>
        </w:rPr>
        <w:t>.一级指标有一项不符合，评估结果即为不合格；一级指标全部符合，二级指标按得分从高到低顺序择优确定拟纳入定点的长护服务机构。</w:t>
      </w:r>
    </w:p>
    <w:p w14:paraId="208F4841">
      <w:pPr>
        <w:pStyle w:val="12"/>
        <w:ind w:firstLine="548"/>
        <w:rPr>
          <w:sz w:val="28"/>
          <w:szCs w:val="28"/>
        </w:rPr>
      </w:pPr>
      <w:r>
        <w:rPr>
          <w:rStyle w:val="38"/>
          <w:rFonts w:ascii="Times New Roman" w:hAnsi="Times New Roman" w:eastAsia="仿宋_GB2312" w:cs="仿宋_GB2312"/>
          <w:sz w:val="28"/>
          <w:szCs w:val="28"/>
        </w:rPr>
        <w:t>2.本表格一式两份，申请机构、经办机构各留存一</w:t>
      </w:r>
      <w:r>
        <w:rPr>
          <w:sz w:val="28"/>
          <w:szCs w:val="28"/>
        </w:rPr>
        <w:t>份。</w:t>
      </w:r>
    </w:p>
    <w:p w14:paraId="33D3B32A">
      <w:pPr>
        <w:pStyle w:val="12"/>
        <w:ind w:firstLine="468"/>
        <w:rPr>
          <w:color w:val="000000" w:themeColor="text1"/>
          <w:sz w:val="24"/>
          <w:szCs w:val="24"/>
        </w:rPr>
      </w:pPr>
    </w:p>
    <w:p w14:paraId="5B8D2C05">
      <w:pPr>
        <w:pStyle w:val="12"/>
        <w:ind w:firstLine="468"/>
        <w:rPr>
          <w:color w:val="000000" w:themeColor="text1"/>
          <w:sz w:val="24"/>
          <w:szCs w:val="24"/>
        </w:rPr>
      </w:pPr>
    </w:p>
    <w:p w14:paraId="51DEACE2">
      <w:pPr>
        <w:rPr>
          <w:rFonts w:ascii="Times New Roman" w:hAnsi="Times New Roman" w:eastAsia="仿宋_GB2312" w:cs="仿宋_GB2312"/>
          <w:sz w:val="28"/>
          <w:szCs w:val="28"/>
        </w:rPr>
      </w:pPr>
      <w:r>
        <w:rPr>
          <w:rFonts w:ascii="Times New Roman" w:hAnsi="Times New Roman" w:eastAsia="仿宋_GB2312" w:cs="仿宋_GB2312"/>
          <w:sz w:val="28"/>
          <w:szCs w:val="28"/>
        </w:rPr>
        <w:t>现场评估人员签字确认：</w:t>
      </w:r>
      <w:r>
        <w:rPr>
          <w:rFonts w:hint="eastAsia" w:ascii="Times New Roman" w:hAnsi="Times New Roman" w:eastAsia="仿宋_GB2312" w:cs="仿宋_GB2312"/>
          <w:sz w:val="28"/>
          <w:szCs w:val="28"/>
        </w:rPr>
        <w:t xml:space="preserve">                                                                         </w:t>
      </w:r>
      <w:r>
        <w:rPr>
          <w:rFonts w:ascii="Times New Roman" w:hAnsi="Times New Roman" w:eastAsia="仿宋_GB2312" w:cs="仿宋_GB2312"/>
          <w:sz w:val="28"/>
          <w:szCs w:val="28"/>
        </w:rPr>
        <w:t>申请机构签字确认（盖章）：</w:t>
      </w:r>
    </w:p>
    <w:p w14:paraId="669B379C">
      <w:pPr>
        <w:pStyle w:val="12"/>
        <w:ind w:firstLine="628"/>
        <w:rPr>
          <w:color w:val="000000" w:themeColor="text1"/>
        </w:rPr>
      </w:pPr>
    </w:p>
    <w:p w14:paraId="35F119E2">
      <w:pPr>
        <w:rPr>
          <w:rFonts w:ascii="Times New Roman" w:eastAsia="仿宋_GB2312" w:cs="Times New Roman"/>
          <w:sz w:val="28"/>
          <w:szCs w:val="28"/>
        </w:rPr>
      </w:pPr>
    </w:p>
    <w:sectPr>
      <w:headerReference r:id="rId3" w:type="default"/>
      <w:footerReference r:id="rId4" w:type="default"/>
      <w:pgSz w:w="16820" w:h="11900" w:orient="landscape"/>
      <w:pgMar w:top="1587" w:right="2098" w:bottom="1474" w:left="1984" w:header="851" w:footer="1417" w:gutter="0"/>
      <w:cols w:space="0" w:num="1"/>
      <w:rtlGutter w:val="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Nimbus Roman No9 L"/>
    <w:panose1 w:val="020B0604020202020204"/>
    <w:charset w:val="00"/>
    <w:family w:val="swiss"/>
    <w:pitch w:val="default"/>
    <w:sig w:usb0="00000000" w:usb1="00000000" w:usb2="00000009" w:usb3="00000000" w:csb0="0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angSong">
    <w:panose1 w:val="02010609060101010101"/>
    <w:charset w:val="86"/>
    <w:family w:val="modern"/>
    <w:pitch w:val="default"/>
    <w:sig w:usb0="800002BF" w:usb1="38CF7CFA" w:usb2="00000016" w:usb3="00000000" w:csb0="00040001" w:csb1="00000000"/>
  </w:font>
  <w:font w:name="方正黑体_GBK">
    <w:panose1 w:val="02000000000000000000"/>
    <w:charset w:val="86"/>
    <w:family w:val="script"/>
    <w:pitch w:val="default"/>
    <w:sig w:usb0="A00002BF" w:usb1="38CF7CFA" w:usb2="00082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1D493">
    <w:pPr>
      <w:spacing w:line="14" w:lineRule="auto"/>
      <w:rPr>
        <w:sz w:val="2"/>
      </w:rPr>
    </w:pPr>
    <w:r>
      <w:rPr>
        <w:sz w:val="2"/>
      </w:rPr>
      <w:pict>
        <v:shape id="_x0000_s1028" o:spid="_x0000_s1028" o:spt="202" type="#_x0000_t202" style="position:absolute;left:0pt;margin-left:-27.8pt;height:144pt;width:144pt;mso-position-horizontal-relative:margin;mso-position-vertical:outside;mso-position-vertical-relative:margin;mso-wrap-style:none;z-index:251660288;mso-width-relative:page;mso-height-relative:page;" filled="f" stroked="f" coordsize="21600,21600" o:gfxdata="UEsDBAoAAAAAAIdO4kAAAAAAAAAAAAAAAAAEAAAAZHJzL1BLAwQUAAAACACHTuJAv1mVotYAAAAI&#10;AQAADwAAAGRycy9kb3ducmV2LnhtbE2PwU7DMBBE70j8g7VI3Fq7gVZRiFMhBAjBhRY+YBMvdtTY&#10;jmKnLX/PcoLbjmY0+6benv0gjjSlPgYNq6UCQaGLpg9Ww+fH06IEkTIGg0MMpOGbEmyby4saKxNP&#10;YUfHfbaCS0KqUIPLeaykTJ0jj2kZRwrsfcXJY2Y5WWkmPHG5H2Sh1EZ67AN/cDjSg6PusJ+9hgPZ&#10;8fnxRWKc21d8ezf3O3JW6+urlboDkemc/8Lwi8/o0DBTG+dgkhg0LNbrDUc18CK2i5viFkTLR1kq&#10;kE0t/w9ofgBQSwMEFAAAAAgAh07iQIpEEE48AgAAbQQAAA4AAABkcnMvZTJvRG9jLnhtbK1UzY7T&#10;MBC+I/EOlu80aVddVVXTVdmqCKliVyo/Z9dxmkj+k+02KQ8Ab8CJC3eea5+Dz07bhYXDHrg445nx&#10;NzPfzGR20ylJDsL5xuiCDgc5JUJzUzZ6V9AP71evJpT4wHTJpNGioEfh6c385YtZa6diZGojS+EI&#10;QLSftragdQh2mmWe10IxPzBWaBgr4xQLuLpdVjrWAl3JbJTn11lrXGmd4cJ7aJe9kZ4Q3XMATVU1&#10;XCwN3yuhQ4/qhGQBJfm6sZ7OU7ZVJXi4qyovApEFRaUhnQgCeRvPbD5j051jtm74KQX2nBSe1KRY&#10;oxH0ArVkgZG9a/6CUg13xpsqDLhRWV9IYgRVDPMn3GxqZkWqBVR7eyHd/z9Y/u5w70hTFnRMiWYK&#10;DX/49vXh+8+HH1/IONLTWj+F18bCL3SvTYehOes9lLHqrnIqflEPgR3kHi/kii4QHh9NRpNJDhOH&#10;7XwBfvb43Dof3gijSBQK6tC9RCo7rH3oXc8uMZo2q0bK1EGpSVvQ66txnh5cLACXGjFiEX2yUQrd&#10;tjtVtjXlEYU500+Gt3zVIPia+XDPHEYBCWNZwh2OShoEMSeJktq4z//SR/+CCvYRX0paDFdBNXaJ&#10;EvlWo3eADEkY5VfYCErcWb39Q6336tZgbodYSMuTGJ2DPIuVM+oTtmkR48HENEdOBUXUXrwN/ahj&#10;G7lYLJLT3rpmV/cPMIOWhbXeWB7DRFK9XewDiE18R7J6hk4cYgpTx04bE8f893vyevxLzH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v1mVotYAAAAIAQAADwAAAAAAAAABACAAAAAiAAAAZHJzL2Rv&#10;d25yZXYueG1sUEsBAhQAFAAAAAgAh07iQIpEEE48AgAAbQQAAA4AAAAAAAAAAQAgAAAAJQEAAGRy&#10;cy9lMm9Eb2MueG1sUEsFBgAAAAAGAAYAWQEAANMFAAAAAA==&#10;">
          <v:path/>
          <v:fill on="f" focussize="0,0"/>
          <v:stroke on="f" weight="0.5pt" joinstyle="miter"/>
          <v:imagedata o:title=""/>
          <o:lock v:ext="edit"/>
          <v:textbox inset="0mm,16pt,0mm,16pt" style="layout-flow:vertical-ideographic;mso-fit-shape-to-text:t;">
            <w:txbxContent>
              <w:p w14:paraId="51C1A531">
                <w:pPr>
                  <w:pStyle w:val="13"/>
                  <w:rPr>
                    <w:rFonts w:hint="eastAsia"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27</w:t>
                </w:r>
                <w:r>
                  <w:rPr>
                    <w:rFonts w:ascii="宋体" w:hAnsi="宋体" w:eastAsia="宋体"/>
                    <w:sz w:val="28"/>
                  </w:rPr>
                  <w:fldChar w:fldCharType="end"/>
                </w:r>
                <w:r>
                  <w:rPr>
                    <w:rFonts w:ascii="宋体" w:hAnsi="宋体" w:eastAsia="宋体"/>
                    <w:sz w:val="28"/>
                  </w:rPr>
                  <w:t>—</w:t>
                </w:r>
              </w:p>
            </w:txbxContent>
          </v:textbox>
        </v:shape>
      </w:pict>
    </w:r>
    <w:r>
      <w:rPr>
        <w:sz w:val="2"/>
      </w:rPr>
      <w:pict>
        <v:shape id="_x0000_s1027" o:spid="_x0000_s1027" o:spt="202" type="#_x0000_t202" style="position:absolute;left:0pt;margin-left:-27.8pt;height:144pt;width:144pt;mso-position-horizontal-relative:margin;mso-position-vertical:outside;mso-position-vertical-relative:margin;mso-wrap-style:none;z-index:251659264;mso-width-relative:page;mso-height-relative:page;" filled="f" stroked="f" coordsize="21600,21600" o:gfxdata="UEsDBAoAAAAAAIdO4kAAAAAAAAAAAAAAAAAEAAAAZHJzL1BLAwQUAAAACACHTuJAv1mVotYAAAAI&#10;AQAADwAAAGRycy9kb3ducmV2LnhtbE2PwU7DMBBE70j8g7VI3Fq7gVZRiFMhBAjBhRY+YBMvdtTY&#10;jmKnLX/PcoLbjmY0+6benv0gjjSlPgYNq6UCQaGLpg9Ww+fH06IEkTIGg0MMpOGbEmyby4saKxNP&#10;YUfHfbaCS0KqUIPLeaykTJ0jj2kZRwrsfcXJY2Y5WWkmPHG5H2Sh1EZ67AN/cDjSg6PusJ+9hgPZ&#10;8fnxRWKc21d8ezf3O3JW6+urlboDkemc/8Lwi8/o0DBTG+dgkhg0LNbrDUc18CK2i5viFkTLR1kq&#10;kE0t/w9ofgBQSwMEFAAAAAgAh07iQEdhVsY2AgAAYQQAAA4AAABkcnMvZTJvRG9jLnhtbK1US27b&#10;MBDdF+gdCO5ryQ4aOIblwI3hooDRBEg/a5qiLAH8gaQtuQdob9BVN9n3XD5HHynbadMusuiGGs4M&#10;38y8mdH0ulOS7ITzjdEFHQ5ySoTmpmz0pqAfPyxfjSnxgemSSaNFQffC0+vZyxfT1k7EyNRGlsIR&#10;gGg/aW1B6xDsJMs8r4VifmCs0DBWxikWcHWbrHSsBbqS2SjPL7PWuNI6w4X30C56Iz0iuucAmqpq&#10;uFgYvlVChx7VCckCSvJ1Yz2dpWyrSvBwW1VeBCILikpDOhEE8jqe2WzKJhvHbN3wYwrsOSk8qUmx&#10;RiPoGWrBAiNb1/wFpRrujDdVGHCjsr6QxAiqGOZPuLmvmRWpFlDt7Zl0//9g+fvdnSNNWdArSjRT&#10;aPjh+7fDj5+Hh6/kKtLTWj+B172FX+jemA5Dc9J7KGPVXeVU/KIeAjvI3Z/JFV0gPD4aj8bjHCYO&#10;2+kC/OzxuXU+vBVGkSgU1KF7iVS2W/nQu55cYjRtlo2UqYNSk7aglxev8/TgbAG41IgRi+iTjVLo&#10;1t2xsrUp9yjMmX4yvOXLBsFXzIc75jAKSBjLEm5xVNIgiDlKlNTGffmXPvoXVLBP+FLSYrgKqrFL&#10;lMh3Gr0DZEjCKL/ARlDiTur1H2q9VTcGczvEQlqexOgc5EmsnFGfsU3zGA8mpjlyKiii9uJN6Ecd&#10;28jFfJ6cMHeWhZW+tzxCRyK9nW8DyEwcR4J6Vo68YfJSl45bEkf793vyevwzzH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v1mVotYAAAAIAQAADwAAAAAAAAABACAAAAAiAAAAZHJzL2Rvd25yZXYu&#10;eG1sUEsBAhQAFAAAAAgAh07iQEdhVsY2AgAAYQQAAA4AAAAAAAAAAQAgAAAAJQEAAGRycy9lMm9E&#10;b2MueG1sUEsFBgAAAAAGAAYAWQEAAM0FAAAAAA==&#10;">
          <v:path/>
          <v:fill on="f" focussize="0,0"/>
          <v:stroke on="f" weight="0.5pt" joinstyle="miter"/>
          <v:imagedata o:title=""/>
          <o:lock v:ext="edit"/>
          <v:textbox inset="0mm,16pt,0mm,16pt" style="layout-flow:vertical-ideographic;mso-fit-shape-to-text:t;">
            <w:txbxContent>
              <w:p w14:paraId="372076C6">
                <w:pPr>
                  <w:pStyle w:val="13"/>
                  <w:rPr>
                    <w:rFonts w:hint="eastAsia" w:ascii="宋体" w:hAnsi="宋体" w:eastAsia="宋体"/>
                    <w:sz w:val="28"/>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ACBD8">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dit="readOnly" w:enforcement="0"/>
  <w:defaultTabStop w:val="420"/>
  <w:drawingGridHorizontalSpacing w:val="105"/>
  <w:drawingGridVerticalSpacing w:val="156"/>
  <w:noPunctuationKerning w:val="1"/>
  <w:characterSpacingControl w:val="doNotCompress"/>
  <w:hdrShapeDefaults>
    <o:shapelayout v:ext="edit">
      <o:idmap v:ext="edit" data="1"/>
    </o:shapelayout>
  </w:hdrShapeDefaults>
  <w:compat>
    <w:spaceForUL/>
    <w:ulTrailSpace/>
    <w:doNotExpandShiftReturn/>
    <w:useFELayout/>
    <w:compatSetting w:name="compatibilityMode" w:uri="http://schemas.microsoft.com/office/word" w:val="12"/>
  </w:compat>
  <w:docVars>
    <w:docVar w:name="KGWebUrl" w:val="http://10.3.1.25:80/seeyon/officeservlet"/>
  </w:docVars>
  <w:rsids>
    <w:rsidRoot w:val="000D40AD"/>
    <w:rsid w:val="00035CF6"/>
    <w:rsid w:val="00083E0F"/>
    <w:rsid w:val="000856C1"/>
    <w:rsid w:val="000D40AD"/>
    <w:rsid w:val="000E0B23"/>
    <w:rsid w:val="000E233E"/>
    <w:rsid w:val="00102A12"/>
    <w:rsid w:val="001066F9"/>
    <w:rsid w:val="00133887"/>
    <w:rsid w:val="001360D5"/>
    <w:rsid w:val="0019406E"/>
    <w:rsid w:val="001F055F"/>
    <w:rsid w:val="00215C4A"/>
    <w:rsid w:val="00255BF7"/>
    <w:rsid w:val="002C4161"/>
    <w:rsid w:val="00313FAF"/>
    <w:rsid w:val="00350BFA"/>
    <w:rsid w:val="0035377C"/>
    <w:rsid w:val="003B4767"/>
    <w:rsid w:val="003B5EE2"/>
    <w:rsid w:val="003C559F"/>
    <w:rsid w:val="00426FCA"/>
    <w:rsid w:val="00445854"/>
    <w:rsid w:val="00465C88"/>
    <w:rsid w:val="0047705E"/>
    <w:rsid w:val="004928A4"/>
    <w:rsid w:val="004D64BD"/>
    <w:rsid w:val="00530920"/>
    <w:rsid w:val="00550CDA"/>
    <w:rsid w:val="00556FDC"/>
    <w:rsid w:val="005B20A5"/>
    <w:rsid w:val="005C2249"/>
    <w:rsid w:val="005D0BDE"/>
    <w:rsid w:val="005E5451"/>
    <w:rsid w:val="00604631"/>
    <w:rsid w:val="006343FD"/>
    <w:rsid w:val="006350DD"/>
    <w:rsid w:val="00655821"/>
    <w:rsid w:val="006B6DD0"/>
    <w:rsid w:val="006C4859"/>
    <w:rsid w:val="006F0DA3"/>
    <w:rsid w:val="0073047D"/>
    <w:rsid w:val="007503E2"/>
    <w:rsid w:val="00752110"/>
    <w:rsid w:val="00797E6B"/>
    <w:rsid w:val="007B3DDD"/>
    <w:rsid w:val="007C61A8"/>
    <w:rsid w:val="007E0128"/>
    <w:rsid w:val="007F58FC"/>
    <w:rsid w:val="00800643"/>
    <w:rsid w:val="00816374"/>
    <w:rsid w:val="00846A66"/>
    <w:rsid w:val="00870091"/>
    <w:rsid w:val="00872A3F"/>
    <w:rsid w:val="008747D4"/>
    <w:rsid w:val="00881698"/>
    <w:rsid w:val="008B638D"/>
    <w:rsid w:val="008C1B7D"/>
    <w:rsid w:val="008D7A82"/>
    <w:rsid w:val="00932A92"/>
    <w:rsid w:val="00951904"/>
    <w:rsid w:val="009759A9"/>
    <w:rsid w:val="00993EEB"/>
    <w:rsid w:val="009A77CF"/>
    <w:rsid w:val="009D2990"/>
    <w:rsid w:val="00A05ACD"/>
    <w:rsid w:val="00A14715"/>
    <w:rsid w:val="00A24EEC"/>
    <w:rsid w:val="00A41A71"/>
    <w:rsid w:val="00A5133A"/>
    <w:rsid w:val="00A8277F"/>
    <w:rsid w:val="00AB3804"/>
    <w:rsid w:val="00AB69D9"/>
    <w:rsid w:val="00AC169C"/>
    <w:rsid w:val="00AC444B"/>
    <w:rsid w:val="00AD5188"/>
    <w:rsid w:val="00AF52E9"/>
    <w:rsid w:val="00B014B5"/>
    <w:rsid w:val="00B41077"/>
    <w:rsid w:val="00B74D98"/>
    <w:rsid w:val="00B75A1C"/>
    <w:rsid w:val="00B770D3"/>
    <w:rsid w:val="00B949EE"/>
    <w:rsid w:val="00BB01BF"/>
    <w:rsid w:val="00BB5C89"/>
    <w:rsid w:val="00BE1BBF"/>
    <w:rsid w:val="00BE33CE"/>
    <w:rsid w:val="00BE4628"/>
    <w:rsid w:val="00BF149F"/>
    <w:rsid w:val="00BF5330"/>
    <w:rsid w:val="00BF6135"/>
    <w:rsid w:val="00C2644F"/>
    <w:rsid w:val="00C40AB1"/>
    <w:rsid w:val="00C7661B"/>
    <w:rsid w:val="00C85A5F"/>
    <w:rsid w:val="00C92FB3"/>
    <w:rsid w:val="00CA071C"/>
    <w:rsid w:val="00CB1F94"/>
    <w:rsid w:val="00CC0A9A"/>
    <w:rsid w:val="00CD6EE0"/>
    <w:rsid w:val="00CE6273"/>
    <w:rsid w:val="00D10A70"/>
    <w:rsid w:val="00D25BE6"/>
    <w:rsid w:val="00D44D30"/>
    <w:rsid w:val="00D86561"/>
    <w:rsid w:val="00DC6A1A"/>
    <w:rsid w:val="00E00D12"/>
    <w:rsid w:val="00E00D53"/>
    <w:rsid w:val="00E03EA6"/>
    <w:rsid w:val="00E06793"/>
    <w:rsid w:val="00E327D8"/>
    <w:rsid w:val="00E534CD"/>
    <w:rsid w:val="00E54189"/>
    <w:rsid w:val="00E575D8"/>
    <w:rsid w:val="00E74715"/>
    <w:rsid w:val="00E92786"/>
    <w:rsid w:val="00EC0794"/>
    <w:rsid w:val="00EC7E64"/>
    <w:rsid w:val="00EE1F59"/>
    <w:rsid w:val="00F22671"/>
    <w:rsid w:val="00F55F23"/>
    <w:rsid w:val="00F60B5A"/>
    <w:rsid w:val="00F66836"/>
    <w:rsid w:val="00F71501"/>
    <w:rsid w:val="00F765A4"/>
    <w:rsid w:val="00F90DB9"/>
    <w:rsid w:val="00F923A2"/>
    <w:rsid w:val="00FA0AC3"/>
    <w:rsid w:val="00FA12F6"/>
    <w:rsid w:val="00FB5F41"/>
    <w:rsid w:val="00FF377E"/>
    <w:rsid w:val="00FF6CE7"/>
    <w:rsid w:val="07DC3FCA"/>
    <w:rsid w:val="10C758B1"/>
    <w:rsid w:val="16213B5B"/>
    <w:rsid w:val="16F87D15"/>
    <w:rsid w:val="172E3AB6"/>
    <w:rsid w:val="24F97E75"/>
    <w:rsid w:val="273D6E5A"/>
    <w:rsid w:val="29686BF8"/>
    <w:rsid w:val="2B1226F6"/>
    <w:rsid w:val="2F6F2F61"/>
    <w:rsid w:val="399734E1"/>
    <w:rsid w:val="3AA6584E"/>
    <w:rsid w:val="44644D47"/>
    <w:rsid w:val="464F1F5D"/>
    <w:rsid w:val="48AA2CA3"/>
    <w:rsid w:val="51C03E02"/>
    <w:rsid w:val="51CA08CA"/>
    <w:rsid w:val="58FA118E"/>
    <w:rsid w:val="5B0074DB"/>
    <w:rsid w:val="5BAC5385"/>
    <w:rsid w:val="5F835356"/>
    <w:rsid w:val="706B6FC3"/>
    <w:rsid w:val="76036E07"/>
    <w:rsid w:val="7B1A08BF"/>
    <w:rsid w:val="7F5BD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next w:val="1"/>
    <w:link w:val="44"/>
    <w:qFormat/>
    <w:uiPriority w:val="9"/>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next w:val="1"/>
    <w:link w:val="43"/>
    <w:unhideWhenUsed/>
    <w:qFormat/>
    <w:uiPriority w:val="0"/>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4">
    <w:name w:val="heading 3"/>
    <w:next w:val="1"/>
    <w:link w:val="42"/>
    <w:semiHidden/>
    <w:unhideWhenUsed/>
    <w:qFormat/>
    <w:uiPriority w:val="9"/>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semiHidden/>
    <w:unhideWhenUsed/>
    <w:qFormat/>
    <w:uiPriority w:val="9"/>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semiHidden/>
    <w:unhideWhenUsed/>
    <w:qFormat/>
    <w:uiPriority w:val="9"/>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semiHidden/>
    <w:unhideWhenUsed/>
    <w:qFormat/>
    <w:uiPriority w:val="9"/>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semiHidden/>
    <w:unhideWhenUsed/>
    <w:qFormat/>
    <w:uiPriority w:val="9"/>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semiHidden/>
    <w:unhideWhenUsed/>
    <w:qFormat/>
    <w:uiPriority w:val="9"/>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semiHidden/>
    <w:unhideWhenUsed/>
    <w:qFormat/>
    <w:uiPriority w:val="9"/>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qFormat/>
    <w:uiPriority w:val="0"/>
  </w:style>
  <w:style w:type="paragraph" w:styleId="1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3">
    <w:name w:val="footer"/>
    <w:basedOn w:val="1"/>
    <w:qFormat/>
    <w:uiPriority w:val="0"/>
    <w:pPr>
      <w:tabs>
        <w:tab w:val="center" w:pos="4153"/>
        <w:tab w:val="right" w:pos="8307"/>
      </w:tabs>
    </w:pPr>
    <w:rPr>
      <w:sz w:val="18"/>
      <w:szCs w:val="18"/>
    </w:rPr>
  </w:style>
  <w:style w:type="paragraph" w:styleId="14">
    <w:name w:val="header"/>
    <w:basedOn w:val="1"/>
    <w:qFormat/>
    <w:uiPriority w:val="0"/>
    <w:pPr>
      <w:pBdr>
        <w:bottom w:val="single" w:color="auto" w:sz="6" w:space="1"/>
      </w:pBdr>
      <w:tabs>
        <w:tab w:val="center" w:pos="4153"/>
        <w:tab w:val="right" w:pos="8307"/>
      </w:tabs>
      <w:jc w:val="center"/>
    </w:pPr>
    <w:rPr>
      <w:sz w:val="18"/>
      <w:szCs w:val="18"/>
    </w:rPr>
  </w:style>
  <w:style w:type="paragraph" w:styleId="15">
    <w:name w:val="toc 1"/>
    <w:basedOn w:val="1"/>
    <w:next w:val="1"/>
    <w:qFormat/>
    <w:uiPriority w:val="0"/>
  </w:style>
  <w:style w:type="paragraph" w:styleId="16">
    <w:name w:val="Subtitle"/>
    <w:qFormat/>
    <w:uiPriority w:val="11"/>
    <w:pPr>
      <w:spacing w:line="720" w:lineRule="exact"/>
      <w:jc w:val="center"/>
    </w:pPr>
    <w:rPr>
      <w:rFonts w:ascii="Times New Roman" w:hAnsi="Times New Roman" w:eastAsia="仿宋_GB2312" w:cs="仿宋_GB2312"/>
      <w:kern w:val="28"/>
      <w:sz w:val="32"/>
      <w:szCs w:val="32"/>
      <w:lang w:val="en-US" w:eastAsia="zh-CN" w:bidi="ar-SA"/>
    </w:rPr>
  </w:style>
  <w:style w:type="paragraph" w:styleId="17">
    <w:name w:val="Normal (Web)"/>
    <w:basedOn w:val="1"/>
    <w:qFormat/>
    <w:uiPriority w:val="99"/>
    <w:pPr>
      <w:kinsoku/>
      <w:autoSpaceDE/>
      <w:autoSpaceDN/>
      <w:adjustRightInd/>
      <w:snapToGrid/>
      <w:spacing w:beforeAutospacing="1" w:afterAutospacing="1"/>
      <w:textAlignment w:val="auto"/>
    </w:pPr>
    <w:rPr>
      <w:rFonts w:ascii="宋体" w:hAnsi="宋体" w:cs="宋体"/>
      <w:snapToGrid/>
      <w:color w:val="auto"/>
      <w:sz w:val="24"/>
      <w:szCs w:val="24"/>
    </w:rPr>
  </w:style>
  <w:style w:type="paragraph" w:styleId="18">
    <w:name w:val="Title"/>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paragraph" w:styleId="19">
    <w:name w:val="annotation subject"/>
    <w:basedOn w:val="11"/>
    <w:next w:val="11"/>
    <w:qFormat/>
    <w:uiPriority w:val="0"/>
    <w:rPr>
      <w:b/>
      <w:bCs/>
    </w:rPr>
  </w:style>
  <w:style w:type="paragraph" w:styleId="20">
    <w:name w:val="Body Text First Indent"/>
    <w:basedOn w:val="12"/>
    <w:next w:val="12"/>
    <w:qFormat/>
    <w:uiPriority w:val="0"/>
    <w:pPr>
      <w:ind w:firstLine="100" w:firstLineChars="1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annotation reference"/>
    <w:basedOn w:val="23"/>
    <w:qFormat/>
    <w:uiPriority w:val="0"/>
    <w:rPr>
      <w:sz w:val="21"/>
      <w:szCs w:val="21"/>
    </w:rPr>
  </w:style>
  <w:style w:type="paragraph" w:customStyle="1" w:styleId="26">
    <w:name w:val="Table Text"/>
    <w:basedOn w:val="1"/>
    <w:qFormat/>
    <w:uiPriority w:val="0"/>
  </w:style>
  <w:style w:type="paragraph" w:customStyle="1" w:styleId="27">
    <w:name w:val="修订1"/>
    <w:qFormat/>
    <w:uiPriority w:val="0"/>
    <w:rPr>
      <w:rFonts w:ascii="Arial" w:hAnsi="Arial" w:eastAsia="Arial" w:cs="Arial"/>
      <w:snapToGrid w:val="0"/>
      <w:color w:val="000000"/>
      <w:sz w:val="21"/>
      <w:szCs w:val="21"/>
      <w:lang w:val="en-US" w:eastAsia="zh-CN" w:bidi="ar-SA"/>
    </w:rPr>
  </w:style>
  <w:style w:type="paragraph" w:customStyle="1" w:styleId="28">
    <w:name w:val="修订2"/>
    <w:hidden/>
    <w:semiHidden/>
    <w:qFormat/>
    <w:uiPriority w:val="99"/>
    <w:rPr>
      <w:rFonts w:ascii="Arial" w:hAnsi="Arial" w:eastAsia="Arial" w:cs="Arial"/>
      <w:snapToGrid w:val="0"/>
      <w:color w:val="000000"/>
      <w:sz w:val="21"/>
      <w:szCs w:val="21"/>
      <w:lang w:val="en-US" w:eastAsia="zh-CN" w:bidi="ar-SA"/>
    </w:rPr>
  </w:style>
  <w:style w:type="paragraph" w:customStyle="1" w:styleId="29">
    <w:name w:val="附录标题"/>
    <w:next w:val="1"/>
    <w:qFormat/>
    <w:uiPriority w:val="0"/>
    <w:pPr>
      <w:overflowPunct w:val="0"/>
      <w:topLinePunct/>
      <w:spacing w:line="560" w:lineRule="exact"/>
      <w:outlineLvl w:val="0"/>
    </w:pPr>
    <w:rPr>
      <w:rFonts w:ascii="黑体" w:hAnsi="黑体" w:eastAsia="黑体" w:cs="黑体"/>
      <w:sz w:val="32"/>
      <w:szCs w:val="32"/>
      <w:lang w:val="en-US" w:eastAsia="zh-CN" w:bidi="ar-SA"/>
    </w:rPr>
  </w:style>
  <w:style w:type="character" w:customStyle="1" w:styleId="30">
    <w:name w:val="标题 2 Char"/>
    <w:qFormat/>
    <w:uiPriority w:val="9"/>
    <w:rPr>
      <w:rFonts w:ascii="Times New Roman" w:hAnsi="Times New Roman" w:eastAsia="楷体_GB2312" w:cs="楷体_GB2312"/>
      <w:sz w:val="32"/>
      <w:szCs w:val="32"/>
    </w:rPr>
  </w:style>
  <w:style w:type="character" w:customStyle="1" w:styleId="31">
    <w:name w:val="标题 1 Char"/>
    <w:qFormat/>
    <w:uiPriority w:val="9"/>
    <w:rPr>
      <w:rFonts w:ascii="黑体" w:hAnsi="黑体" w:eastAsia="黑体" w:cs="黑体"/>
      <w:kern w:val="44"/>
      <w:sz w:val="32"/>
      <w:szCs w:val="32"/>
    </w:rPr>
  </w:style>
  <w:style w:type="character" w:customStyle="1" w:styleId="32">
    <w:name w:val="font11"/>
    <w:basedOn w:val="23"/>
    <w:qFormat/>
    <w:uiPriority w:val="0"/>
    <w:rPr>
      <w:rFonts w:hint="eastAsia" w:ascii="宋体" w:hAnsi="宋体" w:eastAsia="宋体" w:cs="宋体"/>
      <w:b/>
      <w:bCs/>
      <w:color w:val="000000"/>
      <w:sz w:val="22"/>
      <w:szCs w:val="22"/>
      <w:u w:val="none"/>
    </w:rPr>
  </w:style>
  <w:style w:type="character" w:customStyle="1" w:styleId="33">
    <w:name w:val="font21"/>
    <w:basedOn w:val="23"/>
    <w:qFormat/>
    <w:uiPriority w:val="0"/>
    <w:rPr>
      <w:rFonts w:hint="eastAsia" w:ascii="宋体" w:hAnsi="宋体" w:eastAsia="宋体" w:cs="宋体"/>
      <w:b/>
      <w:bCs/>
      <w:color w:val="FF0000"/>
      <w:sz w:val="22"/>
      <w:szCs w:val="22"/>
      <w:u w:val="none"/>
    </w:rPr>
  </w:style>
  <w:style w:type="character" w:customStyle="1" w:styleId="34">
    <w:name w:val="标题 3 字符"/>
    <w:qFormat/>
    <w:uiPriority w:val="9"/>
    <w:rPr>
      <w:rFonts w:ascii="Times New Roman" w:hAnsi="Times New Roman" w:eastAsia="仿宋_GB2312" w:cs="仿宋_GB2312"/>
      <w:sz w:val="32"/>
      <w:szCs w:val="32"/>
    </w:rPr>
  </w:style>
  <w:style w:type="character" w:customStyle="1" w:styleId="35">
    <w:name w:val="标题 2 字符"/>
    <w:qFormat/>
    <w:uiPriority w:val="0"/>
    <w:rPr>
      <w:rFonts w:ascii="Times New Roman" w:hAnsi="Times New Roman" w:eastAsia="楷体_GB2312" w:cs="楷体_GB2312"/>
      <w:sz w:val="32"/>
      <w:szCs w:val="32"/>
    </w:rPr>
  </w:style>
  <w:style w:type="character" w:customStyle="1" w:styleId="36">
    <w:name w:val="标题 1 字符"/>
    <w:qFormat/>
    <w:uiPriority w:val="9"/>
    <w:rPr>
      <w:rFonts w:ascii="黑体" w:hAnsi="黑体" w:eastAsia="黑体" w:cs="黑体"/>
      <w:kern w:val="44"/>
      <w:sz w:val="32"/>
      <w:szCs w:val="32"/>
    </w:rPr>
  </w:style>
  <w:style w:type="paragraph" w:customStyle="1" w:styleId="37">
    <w:name w:val="修订3"/>
    <w:hidden/>
    <w:unhideWhenUsed/>
    <w:qFormat/>
    <w:uiPriority w:val="99"/>
    <w:rPr>
      <w:rFonts w:ascii="Arial" w:hAnsi="Arial" w:eastAsia="Arial" w:cs="Arial"/>
      <w:snapToGrid w:val="0"/>
      <w:color w:val="000000"/>
      <w:sz w:val="21"/>
      <w:szCs w:val="21"/>
      <w:lang w:val="en-US" w:eastAsia="zh-CN" w:bidi="ar-SA"/>
    </w:rPr>
  </w:style>
  <w:style w:type="character" w:customStyle="1" w:styleId="38">
    <w:name w:val="标题 1 字符1"/>
    <w:qFormat/>
    <w:uiPriority w:val="9"/>
    <w:rPr>
      <w:rFonts w:ascii="黑体" w:hAnsi="黑体" w:eastAsia="黑体" w:cs="黑体"/>
      <w:kern w:val="44"/>
      <w:sz w:val="32"/>
      <w:szCs w:val="32"/>
    </w:rPr>
  </w:style>
  <w:style w:type="character" w:customStyle="1" w:styleId="39">
    <w:name w:val="标题 3 字符1"/>
    <w:qFormat/>
    <w:uiPriority w:val="9"/>
    <w:rPr>
      <w:rFonts w:ascii="Times New Roman" w:hAnsi="Times New Roman" w:eastAsia="仿宋_GB2312" w:cs="仿宋_GB2312"/>
      <w:sz w:val="32"/>
      <w:szCs w:val="32"/>
    </w:rPr>
  </w:style>
  <w:style w:type="character" w:customStyle="1" w:styleId="40">
    <w:name w:val="标题 2 字符1"/>
    <w:qFormat/>
    <w:uiPriority w:val="9"/>
    <w:rPr>
      <w:rFonts w:ascii="Times New Roman" w:hAnsi="Times New Roman" w:eastAsia="楷体_GB2312" w:cs="楷体_GB2312"/>
      <w:sz w:val="32"/>
      <w:szCs w:val="32"/>
    </w:rPr>
  </w:style>
  <w:style w:type="paragraph" w:customStyle="1" w:styleId="41">
    <w:name w:val="主送对象"/>
    <w:next w:val="1"/>
    <w:qFormat/>
    <w:uiPriority w:val="0"/>
    <w:pPr>
      <w:spacing w:line="560" w:lineRule="exact"/>
    </w:pPr>
    <w:rPr>
      <w:rFonts w:ascii="Times New Roman" w:hAnsi="Times New Roman" w:eastAsia="仿宋_GB2312" w:cs="仿宋_GB2312"/>
      <w:sz w:val="32"/>
      <w:szCs w:val="32"/>
      <w:lang w:val="en-US" w:eastAsia="zh-CN" w:bidi="ar-SA"/>
    </w:rPr>
  </w:style>
  <w:style w:type="character" w:customStyle="1" w:styleId="42">
    <w:name w:val="标题 3 字符2"/>
    <w:link w:val="4"/>
    <w:qFormat/>
    <w:uiPriority w:val="9"/>
    <w:rPr>
      <w:rFonts w:ascii="Times New Roman" w:hAnsi="Times New Roman" w:eastAsia="仿宋_GB2312" w:cs="仿宋_GB2312"/>
      <w:sz w:val="32"/>
      <w:szCs w:val="32"/>
    </w:rPr>
  </w:style>
  <w:style w:type="character" w:customStyle="1" w:styleId="43">
    <w:name w:val="标题 2 字符2"/>
    <w:link w:val="3"/>
    <w:qFormat/>
    <w:uiPriority w:val="0"/>
    <w:rPr>
      <w:rFonts w:ascii="Times New Roman" w:hAnsi="Times New Roman" w:eastAsia="楷体_GB2312" w:cs="楷体_GB2312"/>
      <w:sz w:val="32"/>
      <w:szCs w:val="32"/>
    </w:rPr>
  </w:style>
  <w:style w:type="character" w:customStyle="1" w:styleId="44">
    <w:name w:val="标题 1 字符2"/>
    <w:link w:val="2"/>
    <w:qFormat/>
    <w:uiPriority w:val="9"/>
    <w:rPr>
      <w:rFonts w:ascii="黑体" w:hAnsi="黑体" w:eastAsia="黑体" w:cs="黑体"/>
      <w:kern w:val="44"/>
      <w:sz w:val="32"/>
      <w:szCs w:val="32"/>
    </w:rPr>
  </w:style>
  <w:style w:type="paragraph" w:customStyle="1" w:styleId="45">
    <w:name w:val="Revision"/>
    <w:hidden/>
    <w:unhideWhenUsed/>
    <w:qFormat/>
    <w:uiPriority w:val="99"/>
    <w:rPr>
      <w:rFonts w:ascii="Arial" w:hAnsi="Arial" w:eastAsia="Arial" w:cs="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8"/>
    <customShpInfo spid="_x0000_s1027"/>
  </customShpExts>
</s:customData>
</file>

<file path=customXml/item2.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sectPr xmlns="http://www.yozosoft.com.cn/officeDocument/2016/customData"/>
  </customProps>
</customData>
</file>

<file path=customXml/item3.xml><?xml version="1.0" encoding="utf-8"?>
<contractReview xmlns="http://schemas.wps.cn/vas-ai-hub/contract-review">
  <reviewItems xmlns="http://schemas.wps.cn/vas-ai-hub/contract-review">
    <reviewItem xmlns="http://schemas.wps.cn/vas-ai-hub/contract-review">
      <errorID xmlns="http://schemas.wps.cn/vas-ai-hub/contract-review">26315515-1a0d-4f4d-b3a6-ec6c36a77d96</errorID>
      <errorWord xmlns="http://schemas.wps.cn/vas-ai-hub/contract-review">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准具</item>
      </candidateList>
      <explain xmlns="http://schemas.wps.cn/vas-ai-hub/contract-review"/>
      <paraID xmlns="http://schemas.wps.cn/vas-ai-hub/contract-review">36479323</paraID>
      <start xmlns="http://schemas.wps.cn/vas-ai-hub/contract-review">51</start>
      <end xmlns="http://schemas.wps.cn/vas-ai-hub/contract-review">52</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1C75BF-48AE-49CE-B2E1-0FE221A43E3A}">
  <ds:schemaRefs/>
</ds:datastoreItem>
</file>

<file path=customXml/itemProps3.xml><?xml version="1.0" encoding="utf-8"?>
<ds:datastoreItem xmlns:ds="http://schemas.openxmlformats.org/officeDocument/2006/customXml" ds:itemID="{FB75B462-04A2-44E7-8373-E2ABA6D225D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2065</Words>
  <Characters>11776</Characters>
  <Lines>98</Lines>
  <Paragraphs>27</Paragraphs>
  <TotalTime>1</TotalTime>
  <ScaleCrop>false</ScaleCrop>
  <LinksUpToDate>false</LinksUpToDate>
  <CharactersWithSpaces>13814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2026-07-21T10:14:00Z</dcterms:created>
  <dc:creator>user</dc:creator>
  <cp:lastModifiedBy>user</cp:lastModifiedBy>
  <cp:lastPrinted>2026-07-15T11:28:00Z</cp:lastPrinted>
  <dcterms:modified xsi:type="dcterms:W3CDTF">2026-07-21T11:23:46Z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2025-06-24T16:00:00Z</vt:filetime>
  </property>
  <property fmtid="{D5CDD505-2E9C-101B-9397-08002B2CF9AE}" pid="4" name="UsrData">
    <vt:lpwstr>685b71dbd1d70e001f2d165cwl</vt:lpwstr>
  </property>
  <property fmtid="{D5CDD505-2E9C-101B-9397-08002B2CF9AE}" pid="5" name="KSOProductBuildVer">
    <vt:lpwstr>2052-12.8.2.1119</vt:lpwstr>
  </property>
  <property fmtid="{D5CDD505-2E9C-101B-9397-08002B2CF9AE}" pid="6" name="KSOTemplateDocerSaveRecord">
    <vt:lpwstr>eyJoZGlkIjoiZTljNGI5YmUwOWFjN2U3N2IwZjQ0M2M1OGJhMTJkYjQiLCJ1c2VySWQiOiIzOTA3NzI2MTkifQ==</vt:lpwstr>
  </property>
  <property fmtid="{D5CDD505-2E9C-101B-9397-08002B2CF9AE}" pid="7" name="ICV">
    <vt:lpwstr>7B4A6BD829EB41F580FB1B56A7D39292_13</vt:lpwstr>
  </property>
</Properties>
</file>