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96FAD">
      <w:pPr>
        <w:pStyle w:val="18"/>
        <w:rPr>
          <w:rFonts w:hint="eastAsia"/>
        </w:rPr>
      </w:pPr>
      <w:bookmarkStart w:id="0" w:name="_GoBack"/>
      <w:bookmarkEnd w:id="0"/>
      <w:r>
        <w:t>攀枝花市长期护理保险失能等级定点评估机构申报材料目录</w:t>
      </w:r>
    </w:p>
    <w:p w14:paraId="64BFE0D3">
      <w:pPr>
        <w:pStyle w:val="13"/>
        <w:rPr>
          <w:rFonts w:ascii="Times New Roman" w:hAnsi="Times New Roman" w:cs="Times New Roman"/>
          <w:color w:val="000000"/>
        </w:rPr>
      </w:pPr>
    </w:p>
    <w:tbl>
      <w:tblPr>
        <w:tblStyle w:val="19"/>
        <w:tblpPr w:leftFromText="180" w:rightFromText="180" w:vertAnchor="text" w:tblpXSpec="center" w:tblpY="1"/>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9"/>
        <w:gridCol w:w="6253"/>
        <w:gridCol w:w="1420"/>
      </w:tblGrid>
      <w:tr w14:paraId="5820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98" w:type="pct"/>
            <w:vAlign w:val="center"/>
          </w:tcPr>
          <w:p w14:paraId="3020E767">
            <w:pPr>
              <w:spacing w:after="0" w:line="240" w:lineRule="auto"/>
              <w:jc w:val="center"/>
              <w:rPr>
                <w:rFonts w:ascii="Times New Roman" w:cs="Times New Roman"/>
                <w:b/>
                <w:bCs/>
                <w:color w:val="000000"/>
                <w:sz w:val="24"/>
              </w:rPr>
            </w:pPr>
            <w:r>
              <w:rPr>
                <w:rFonts w:ascii="Times New Roman" w:cs="Times New Roman"/>
                <w:b/>
                <w:bCs/>
                <w:color w:val="000000"/>
                <w:sz w:val="24"/>
              </w:rPr>
              <w:t>序号</w:t>
            </w:r>
          </w:p>
        </w:tc>
        <w:tc>
          <w:tcPr>
            <w:tcW w:w="3669" w:type="pct"/>
            <w:vAlign w:val="center"/>
          </w:tcPr>
          <w:p w14:paraId="795A31B5">
            <w:pPr>
              <w:spacing w:after="0" w:line="240" w:lineRule="auto"/>
              <w:jc w:val="center"/>
              <w:rPr>
                <w:rFonts w:ascii="Times New Roman" w:cs="Times New Roman"/>
                <w:b/>
                <w:bCs/>
                <w:color w:val="000000"/>
                <w:sz w:val="24"/>
              </w:rPr>
            </w:pPr>
            <w:r>
              <w:rPr>
                <w:rFonts w:ascii="Times New Roman" w:cs="Times New Roman"/>
                <w:b/>
                <w:bCs/>
                <w:color w:val="000000"/>
                <w:sz w:val="24"/>
              </w:rPr>
              <w:t>材料明细</w:t>
            </w:r>
          </w:p>
        </w:tc>
        <w:tc>
          <w:tcPr>
            <w:tcW w:w="833" w:type="pct"/>
            <w:vAlign w:val="center"/>
          </w:tcPr>
          <w:p w14:paraId="1431DE0C">
            <w:pPr>
              <w:spacing w:after="0" w:line="240" w:lineRule="auto"/>
              <w:jc w:val="center"/>
              <w:rPr>
                <w:rFonts w:ascii="Times New Roman" w:cs="Times New Roman"/>
                <w:b/>
                <w:bCs/>
                <w:color w:val="000000"/>
                <w:sz w:val="24"/>
              </w:rPr>
            </w:pPr>
            <w:r>
              <w:rPr>
                <w:rFonts w:ascii="Times New Roman" w:cs="Times New Roman"/>
                <w:b/>
                <w:bCs/>
                <w:color w:val="000000"/>
                <w:spacing w:val="-5"/>
              </w:rPr>
              <w:t>齐备请打</w:t>
            </w:r>
            <w:r>
              <w:rPr>
                <w:rFonts w:ascii="Times New Roman" w:cs="Times New Roman"/>
                <w:color w:val="000000"/>
                <w:spacing w:val="1"/>
              </w:rPr>
              <w:t xml:space="preserve"> </w:t>
            </w:r>
            <w:r>
              <w:rPr>
                <w:rFonts w:ascii="Times New Roman" w:cs="Times New Roman"/>
                <w:b/>
                <w:bCs/>
                <w:color w:val="000000"/>
                <w:spacing w:val="5"/>
              </w:rPr>
              <w:t>“</w:t>
            </w:r>
            <w:r>
              <w:rPr>
                <w:rFonts w:ascii="Times New Roman" w:cs="Times New Roman"/>
                <w:color w:val="000000"/>
                <w:spacing w:val="-45"/>
              </w:rPr>
              <w:t xml:space="preserve"> </w:t>
            </w:r>
            <w:r>
              <w:rPr>
                <w:rFonts w:ascii="Times New Roman" w:cs="Times New Roman"/>
                <w:b/>
                <w:bCs/>
                <w:color w:val="000000"/>
                <w:spacing w:val="5"/>
              </w:rPr>
              <w:t>√</w:t>
            </w:r>
            <w:r>
              <w:rPr>
                <w:rFonts w:ascii="Times New Roman" w:cs="Times New Roman"/>
                <w:color w:val="000000"/>
                <w:spacing w:val="-77"/>
              </w:rPr>
              <w:t xml:space="preserve"> </w:t>
            </w:r>
            <w:r>
              <w:rPr>
                <w:rFonts w:ascii="Times New Roman" w:cs="Times New Roman"/>
                <w:b/>
                <w:bCs/>
                <w:color w:val="000000"/>
                <w:spacing w:val="5"/>
              </w:rPr>
              <w:t>”</w:t>
            </w:r>
          </w:p>
        </w:tc>
      </w:tr>
      <w:tr w14:paraId="35A0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498" w:type="pct"/>
            <w:vAlign w:val="center"/>
          </w:tcPr>
          <w:p w14:paraId="680729FE">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1</w:t>
            </w:r>
          </w:p>
        </w:tc>
        <w:tc>
          <w:tcPr>
            <w:tcW w:w="3669" w:type="pct"/>
            <w:tcBorders>
              <w:top w:val="single" w:color="auto" w:sz="4" w:space="0"/>
              <w:left w:val="single" w:color="auto" w:sz="4" w:space="0"/>
              <w:right w:val="single" w:color="auto" w:sz="4" w:space="0"/>
            </w:tcBorders>
            <w:vAlign w:val="center"/>
          </w:tcPr>
          <w:p w14:paraId="75E2EC08">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攀枝花市长期护理保险失能等级定点评估机构申请表。</w:t>
            </w:r>
          </w:p>
        </w:tc>
        <w:tc>
          <w:tcPr>
            <w:tcW w:w="833" w:type="pct"/>
            <w:vAlign w:val="center"/>
          </w:tcPr>
          <w:p w14:paraId="1D85EB4A">
            <w:pPr>
              <w:spacing w:after="0" w:line="240" w:lineRule="auto"/>
              <w:rPr>
                <w:rFonts w:ascii="Times New Roman" w:eastAsia="宋体" w:cs="Times New Roman"/>
                <w:color w:val="000000"/>
                <w:sz w:val="21"/>
                <w:szCs w:val="21"/>
              </w:rPr>
            </w:pPr>
          </w:p>
        </w:tc>
      </w:tr>
      <w:tr w14:paraId="6497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498" w:type="pct"/>
            <w:vAlign w:val="center"/>
          </w:tcPr>
          <w:p w14:paraId="5F61DD6F">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2</w:t>
            </w:r>
          </w:p>
        </w:tc>
        <w:tc>
          <w:tcPr>
            <w:tcW w:w="3669" w:type="pct"/>
            <w:tcBorders>
              <w:top w:val="single" w:color="auto" w:sz="4" w:space="0"/>
              <w:left w:val="single" w:color="auto" w:sz="4" w:space="0"/>
              <w:right w:val="single" w:color="auto" w:sz="4" w:space="0"/>
            </w:tcBorders>
            <w:vAlign w:val="center"/>
          </w:tcPr>
          <w:p w14:paraId="4878CCCE">
            <w:pPr>
              <w:pStyle w:val="13"/>
              <w:rPr>
                <w:rFonts w:ascii="Times New Roman" w:hAnsi="Times New Roman" w:cs="Times New Roman"/>
                <w:color w:val="000000"/>
                <w:sz w:val="21"/>
                <w:szCs w:val="21"/>
              </w:rPr>
            </w:pPr>
            <w:r>
              <w:rPr>
                <w:rFonts w:ascii="Times New Roman" w:hAnsi="Times New Roman" w:cs="Times New Roman"/>
                <w:color w:val="000000"/>
                <w:sz w:val="21"/>
                <w:szCs w:val="21"/>
              </w:rPr>
              <w:t>请提供以下四种单位资质证明材料中的任意一种：《事业单位法人证书》《医疗机构执业许可证》《民办非企业单位登记证书》《营业执照》正、副本原件及复印件。</w:t>
            </w:r>
          </w:p>
          <w:p w14:paraId="5D55E0BD">
            <w:pPr>
              <w:pStyle w:val="13"/>
              <w:rPr>
                <w:rFonts w:ascii="Times New Roman" w:hAnsi="Times New Roman" w:cs="Times New Roman"/>
                <w:color w:val="000000"/>
                <w:sz w:val="21"/>
                <w:szCs w:val="21"/>
              </w:rPr>
            </w:pPr>
            <w:r>
              <w:rPr>
                <w:rFonts w:ascii="Times New Roman" w:hAnsi="Times New Roman" w:cs="Times New Roman"/>
                <w:color w:val="000000"/>
                <w:sz w:val="21"/>
                <w:szCs w:val="21"/>
              </w:rPr>
              <w:t>（说明：若申请机构为分支机构，应提供具有隶属关系的上级机构的上述证照及上级机构授权书原件，同意其参与定点评估机构申请。商业保险机构申请评估机构应具有健康保险、大病保险业务经营资质。）</w:t>
            </w:r>
          </w:p>
        </w:tc>
        <w:tc>
          <w:tcPr>
            <w:tcW w:w="833" w:type="pct"/>
            <w:vAlign w:val="center"/>
          </w:tcPr>
          <w:p w14:paraId="429B8DB3">
            <w:pPr>
              <w:spacing w:after="0" w:line="240" w:lineRule="auto"/>
              <w:rPr>
                <w:rFonts w:ascii="Times New Roman" w:eastAsia="宋体" w:cs="Times New Roman"/>
                <w:color w:val="000000"/>
                <w:sz w:val="21"/>
                <w:szCs w:val="21"/>
              </w:rPr>
            </w:pPr>
          </w:p>
        </w:tc>
      </w:tr>
      <w:tr w14:paraId="47EF3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498" w:type="pct"/>
            <w:vAlign w:val="center"/>
          </w:tcPr>
          <w:p w14:paraId="3096FBA0">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3</w:t>
            </w:r>
          </w:p>
        </w:tc>
        <w:tc>
          <w:tcPr>
            <w:tcW w:w="3669" w:type="pct"/>
            <w:tcBorders>
              <w:top w:val="single" w:color="auto" w:sz="4" w:space="0"/>
              <w:left w:val="single" w:color="auto" w:sz="4" w:space="0"/>
              <w:right w:val="single" w:color="auto" w:sz="4" w:space="0"/>
            </w:tcBorders>
            <w:vAlign w:val="center"/>
          </w:tcPr>
          <w:p w14:paraId="2B3FFD59">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法定代表人、主要负责人或实际控制人身份证复印件，未被列为失信被执行人名单的</w:t>
            </w:r>
            <w:r>
              <w:rPr>
                <w:rFonts w:hint="eastAsia" w:ascii="Times New Roman" w:eastAsia="宋体" w:cs="Times New Roman"/>
                <w:color w:val="000000"/>
                <w:sz w:val="21"/>
                <w:szCs w:val="21"/>
              </w:rPr>
              <w:t>承诺</w:t>
            </w:r>
            <w:r>
              <w:rPr>
                <w:rFonts w:ascii="Times New Roman" w:eastAsia="宋体" w:cs="Times New Roman"/>
                <w:color w:val="000000"/>
                <w:sz w:val="21"/>
                <w:szCs w:val="21"/>
              </w:rPr>
              <w:t>；本机构无不良从业行为的承诺书。</w:t>
            </w:r>
          </w:p>
        </w:tc>
        <w:tc>
          <w:tcPr>
            <w:tcW w:w="833" w:type="pct"/>
            <w:vAlign w:val="center"/>
          </w:tcPr>
          <w:p w14:paraId="50E6F91A">
            <w:pPr>
              <w:spacing w:after="0" w:line="240" w:lineRule="auto"/>
              <w:rPr>
                <w:rFonts w:ascii="Times New Roman" w:eastAsia="宋体" w:cs="Times New Roman"/>
                <w:color w:val="000000"/>
                <w:sz w:val="21"/>
                <w:szCs w:val="21"/>
              </w:rPr>
            </w:pPr>
          </w:p>
        </w:tc>
      </w:tr>
      <w:tr w14:paraId="36BA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498" w:type="pct"/>
            <w:vAlign w:val="center"/>
          </w:tcPr>
          <w:p w14:paraId="3EF7C338">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4</w:t>
            </w:r>
          </w:p>
        </w:tc>
        <w:tc>
          <w:tcPr>
            <w:tcW w:w="3669" w:type="pct"/>
            <w:tcBorders>
              <w:top w:val="single" w:color="auto" w:sz="4" w:space="0"/>
              <w:left w:val="single" w:color="auto" w:sz="4" w:space="0"/>
              <w:right w:val="single" w:color="auto" w:sz="4" w:space="0"/>
            </w:tcBorders>
            <w:vAlign w:val="center"/>
          </w:tcPr>
          <w:p w14:paraId="420902AD">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《失能评估从业人员名册》。</w:t>
            </w:r>
          </w:p>
        </w:tc>
        <w:tc>
          <w:tcPr>
            <w:tcW w:w="833" w:type="pct"/>
            <w:vAlign w:val="center"/>
          </w:tcPr>
          <w:p w14:paraId="6EB87DB0">
            <w:pPr>
              <w:spacing w:after="0" w:line="240" w:lineRule="auto"/>
              <w:rPr>
                <w:rFonts w:ascii="Times New Roman" w:eastAsia="宋体" w:cs="Times New Roman"/>
                <w:color w:val="000000"/>
                <w:sz w:val="21"/>
                <w:szCs w:val="21"/>
              </w:rPr>
            </w:pPr>
          </w:p>
        </w:tc>
      </w:tr>
      <w:tr w14:paraId="3AEA8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98" w:type="pct"/>
            <w:vAlign w:val="center"/>
          </w:tcPr>
          <w:p w14:paraId="3402FB96">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5</w:t>
            </w:r>
          </w:p>
        </w:tc>
        <w:tc>
          <w:tcPr>
            <w:tcW w:w="3669" w:type="pct"/>
            <w:tcBorders>
              <w:top w:val="single" w:color="auto" w:sz="4" w:space="0"/>
              <w:left w:val="single" w:color="auto" w:sz="4" w:space="0"/>
              <w:right w:val="single" w:color="auto" w:sz="4" w:space="0"/>
            </w:tcBorders>
            <w:vAlign w:val="center"/>
          </w:tcPr>
          <w:p w14:paraId="717A76AA">
            <w:pPr>
              <w:spacing w:after="0" w:line="240" w:lineRule="auto"/>
              <w:rPr>
                <w:rFonts w:ascii="Times New Roman" w:eastAsia="宋体" w:cs="Times New Roman"/>
                <w:color w:val="000000"/>
                <w:sz w:val="21"/>
                <w:szCs w:val="21"/>
              </w:rPr>
            </w:pPr>
            <w:r>
              <w:rPr>
                <w:rFonts w:ascii="Times New Roman" w:eastAsia="宋体" w:cs="Times New Roman"/>
                <w:sz w:val="21"/>
                <w:szCs w:val="21"/>
              </w:rPr>
              <w:t>失能评估从业人员身份证复印件，劳动合同、劳务合同或聘用合同复印件、相关执业资格证书和职称证书复印件。</w:t>
            </w:r>
          </w:p>
        </w:tc>
        <w:tc>
          <w:tcPr>
            <w:tcW w:w="833" w:type="pct"/>
            <w:vAlign w:val="center"/>
          </w:tcPr>
          <w:p w14:paraId="02275B69">
            <w:pPr>
              <w:spacing w:after="0" w:line="240" w:lineRule="auto"/>
              <w:rPr>
                <w:rFonts w:ascii="Times New Roman" w:eastAsia="宋体" w:cs="Times New Roman"/>
                <w:color w:val="000000"/>
                <w:sz w:val="21"/>
                <w:szCs w:val="21"/>
              </w:rPr>
            </w:pPr>
          </w:p>
        </w:tc>
      </w:tr>
      <w:tr w14:paraId="4706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98" w:type="pct"/>
            <w:vAlign w:val="center"/>
          </w:tcPr>
          <w:p w14:paraId="51DD21DD">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6</w:t>
            </w:r>
          </w:p>
        </w:tc>
        <w:tc>
          <w:tcPr>
            <w:tcW w:w="3669" w:type="pct"/>
            <w:tcBorders>
              <w:top w:val="single" w:color="auto" w:sz="4" w:space="0"/>
              <w:left w:val="single" w:color="auto" w:sz="4" w:space="0"/>
              <w:right w:val="single" w:color="auto" w:sz="4" w:space="0"/>
            </w:tcBorders>
            <w:vAlign w:val="center"/>
          </w:tcPr>
          <w:p w14:paraId="2B690DA1">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评估服务能力、评估队伍基本信息介绍材料。</w:t>
            </w:r>
          </w:p>
        </w:tc>
        <w:tc>
          <w:tcPr>
            <w:tcW w:w="833" w:type="pct"/>
            <w:vAlign w:val="center"/>
          </w:tcPr>
          <w:p w14:paraId="783C9401">
            <w:pPr>
              <w:spacing w:after="0" w:line="240" w:lineRule="auto"/>
              <w:rPr>
                <w:rFonts w:ascii="Times New Roman" w:eastAsia="宋体" w:cs="Times New Roman"/>
                <w:color w:val="000000"/>
                <w:sz w:val="21"/>
                <w:szCs w:val="21"/>
              </w:rPr>
            </w:pPr>
          </w:p>
        </w:tc>
      </w:tr>
      <w:tr w14:paraId="41642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98" w:type="pct"/>
            <w:vAlign w:val="center"/>
          </w:tcPr>
          <w:p w14:paraId="6E957787">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7</w:t>
            </w:r>
          </w:p>
        </w:tc>
        <w:tc>
          <w:tcPr>
            <w:tcW w:w="3669" w:type="pct"/>
            <w:tcBorders>
              <w:top w:val="single" w:color="auto" w:sz="4" w:space="0"/>
              <w:left w:val="single" w:color="auto" w:sz="4" w:space="0"/>
              <w:right w:val="single" w:color="auto" w:sz="4" w:space="0"/>
            </w:tcBorders>
            <w:vAlign w:val="center"/>
          </w:tcPr>
          <w:p w14:paraId="7717677B">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提供业务用房产权证明或租赁合同原件及复印件。</w:t>
            </w:r>
          </w:p>
        </w:tc>
        <w:tc>
          <w:tcPr>
            <w:tcW w:w="833" w:type="pct"/>
            <w:vAlign w:val="center"/>
          </w:tcPr>
          <w:p w14:paraId="57E9DA2F">
            <w:pPr>
              <w:spacing w:after="0" w:line="240" w:lineRule="auto"/>
              <w:rPr>
                <w:rFonts w:ascii="Times New Roman" w:eastAsia="宋体" w:cs="Times New Roman"/>
                <w:color w:val="000000"/>
                <w:sz w:val="21"/>
                <w:szCs w:val="21"/>
              </w:rPr>
            </w:pPr>
          </w:p>
        </w:tc>
      </w:tr>
      <w:tr w14:paraId="60614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498" w:type="pct"/>
            <w:vAlign w:val="center"/>
          </w:tcPr>
          <w:p w14:paraId="3AC6BE8A">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8</w:t>
            </w:r>
          </w:p>
        </w:tc>
        <w:tc>
          <w:tcPr>
            <w:tcW w:w="3669" w:type="pct"/>
            <w:tcBorders>
              <w:top w:val="single" w:color="auto" w:sz="4" w:space="0"/>
              <w:left w:val="single" w:color="auto" w:sz="4" w:space="0"/>
              <w:right w:val="single" w:color="auto" w:sz="4" w:space="0"/>
            </w:tcBorders>
            <w:vAlign w:val="center"/>
          </w:tcPr>
          <w:p w14:paraId="75887FBC">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服务管理、财务管理、信息统计、内控管理、人员管理、档案管理等制度。</w:t>
            </w:r>
          </w:p>
        </w:tc>
        <w:tc>
          <w:tcPr>
            <w:tcW w:w="833" w:type="pct"/>
            <w:vAlign w:val="center"/>
          </w:tcPr>
          <w:p w14:paraId="109933B4">
            <w:pPr>
              <w:spacing w:after="0" w:line="240" w:lineRule="auto"/>
              <w:rPr>
                <w:rFonts w:ascii="Times New Roman" w:eastAsia="宋体" w:cs="Times New Roman"/>
                <w:color w:val="000000"/>
                <w:sz w:val="21"/>
                <w:szCs w:val="21"/>
              </w:rPr>
            </w:pPr>
          </w:p>
        </w:tc>
      </w:tr>
      <w:tr w14:paraId="6E799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498" w:type="pct"/>
            <w:vAlign w:val="center"/>
          </w:tcPr>
          <w:p w14:paraId="0E5A02F1">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9</w:t>
            </w:r>
          </w:p>
        </w:tc>
        <w:tc>
          <w:tcPr>
            <w:tcW w:w="3669" w:type="pct"/>
            <w:tcBorders>
              <w:top w:val="single" w:color="auto" w:sz="4" w:space="0"/>
              <w:left w:val="single" w:color="auto" w:sz="4" w:space="0"/>
              <w:right w:val="single" w:color="auto" w:sz="4" w:space="0"/>
            </w:tcBorders>
            <w:vAlign w:val="center"/>
          </w:tcPr>
          <w:p w14:paraId="2E2F8DE0">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提供符合长期护理保险档案管理要求的档案管理能力介绍及实物图片。</w:t>
            </w:r>
          </w:p>
        </w:tc>
        <w:tc>
          <w:tcPr>
            <w:tcW w:w="833" w:type="pct"/>
            <w:vAlign w:val="center"/>
          </w:tcPr>
          <w:p w14:paraId="7162984C">
            <w:pPr>
              <w:spacing w:after="0" w:line="240" w:lineRule="auto"/>
              <w:rPr>
                <w:rFonts w:ascii="Times New Roman" w:eastAsia="宋体" w:cs="Times New Roman"/>
                <w:color w:val="000000"/>
                <w:sz w:val="21"/>
                <w:szCs w:val="21"/>
              </w:rPr>
            </w:pPr>
          </w:p>
        </w:tc>
      </w:tr>
      <w:tr w14:paraId="54B7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98" w:type="pct"/>
            <w:vAlign w:val="center"/>
          </w:tcPr>
          <w:p w14:paraId="49D15284">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10</w:t>
            </w:r>
          </w:p>
        </w:tc>
        <w:tc>
          <w:tcPr>
            <w:tcW w:w="3669" w:type="pct"/>
            <w:tcBorders>
              <w:top w:val="single" w:color="auto" w:sz="4" w:space="0"/>
              <w:left w:val="single" w:color="auto" w:sz="4" w:space="0"/>
              <w:right w:val="single" w:color="auto" w:sz="4" w:space="0"/>
            </w:tcBorders>
            <w:vAlign w:val="center"/>
          </w:tcPr>
          <w:p w14:paraId="7E577860">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本机构开展评估服务的内部工作流程。</w:t>
            </w:r>
          </w:p>
        </w:tc>
        <w:tc>
          <w:tcPr>
            <w:tcW w:w="833" w:type="pct"/>
            <w:vAlign w:val="center"/>
          </w:tcPr>
          <w:p w14:paraId="7CB206B0">
            <w:pPr>
              <w:spacing w:after="0" w:line="240" w:lineRule="auto"/>
              <w:jc w:val="center"/>
              <w:rPr>
                <w:rFonts w:ascii="Times New Roman" w:eastAsia="宋体" w:cs="Times New Roman"/>
                <w:color w:val="000000"/>
                <w:sz w:val="21"/>
                <w:szCs w:val="21"/>
              </w:rPr>
            </w:pPr>
          </w:p>
        </w:tc>
      </w:tr>
      <w:tr w14:paraId="24949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98" w:type="pct"/>
            <w:vAlign w:val="center"/>
          </w:tcPr>
          <w:p w14:paraId="20845073">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11</w:t>
            </w:r>
          </w:p>
        </w:tc>
        <w:tc>
          <w:tcPr>
            <w:tcW w:w="3669" w:type="pct"/>
            <w:tcBorders>
              <w:top w:val="single" w:color="auto" w:sz="4" w:space="0"/>
              <w:left w:val="single" w:color="auto" w:sz="4" w:space="0"/>
              <w:right w:val="single" w:color="auto" w:sz="4" w:space="0"/>
            </w:tcBorders>
            <w:vAlign w:val="center"/>
          </w:tcPr>
          <w:p w14:paraId="0F0F0613">
            <w:pPr>
              <w:spacing w:after="0" w:line="240" w:lineRule="auto"/>
              <w:rPr>
                <w:rFonts w:ascii="Times New Roman" w:eastAsia="宋体" w:cs="Times New Roman"/>
                <w:color w:val="000000"/>
                <w:sz w:val="21"/>
                <w:szCs w:val="21"/>
              </w:rPr>
            </w:pPr>
            <w:r>
              <w:rPr>
                <w:rFonts w:ascii="Times New Roman" w:eastAsia="宋体" w:cs="Times New Roman"/>
                <w:color w:val="000000"/>
                <w:sz w:val="21"/>
                <w:szCs w:val="21"/>
              </w:rPr>
              <w:t>提供单位的开户许可证原件、复印件。</w:t>
            </w:r>
          </w:p>
        </w:tc>
        <w:tc>
          <w:tcPr>
            <w:tcW w:w="833" w:type="pct"/>
            <w:vAlign w:val="center"/>
          </w:tcPr>
          <w:p w14:paraId="4E68C684">
            <w:pPr>
              <w:spacing w:after="0" w:line="240" w:lineRule="auto"/>
              <w:jc w:val="center"/>
              <w:rPr>
                <w:rFonts w:ascii="Times New Roman" w:eastAsia="宋体" w:cs="Times New Roman"/>
                <w:color w:val="000000"/>
                <w:sz w:val="21"/>
                <w:szCs w:val="21"/>
              </w:rPr>
            </w:pPr>
          </w:p>
        </w:tc>
      </w:tr>
      <w:tr w14:paraId="7CD9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98" w:type="pct"/>
            <w:vAlign w:val="center"/>
          </w:tcPr>
          <w:p w14:paraId="73968252">
            <w:pPr>
              <w:spacing w:after="0" w:line="240" w:lineRule="auto"/>
              <w:jc w:val="center"/>
              <w:rPr>
                <w:rFonts w:ascii="Times New Roman" w:eastAsia="宋体" w:cs="Times New Roman"/>
                <w:color w:val="000000"/>
                <w:sz w:val="21"/>
                <w:szCs w:val="21"/>
              </w:rPr>
            </w:pPr>
            <w:r>
              <w:rPr>
                <w:rFonts w:ascii="Times New Roman" w:eastAsia="宋体" w:cs="Times New Roman"/>
                <w:color w:val="000000"/>
                <w:sz w:val="21"/>
                <w:szCs w:val="21"/>
              </w:rPr>
              <w:t>12</w:t>
            </w:r>
          </w:p>
        </w:tc>
        <w:tc>
          <w:tcPr>
            <w:tcW w:w="3669" w:type="pct"/>
            <w:tcBorders>
              <w:top w:val="single" w:color="auto" w:sz="4" w:space="0"/>
              <w:left w:val="single" w:color="auto" w:sz="4" w:space="0"/>
              <w:right w:val="single" w:color="auto" w:sz="4" w:space="0"/>
            </w:tcBorders>
            <w:vAlign w:val="center"/>
          </w:tcPr>
          <w:p w14:paraId="70126857">
            <w:pPr>
              <w:widowControl/>
              <w:spacing w:after="0" w:line="240" w:lineRule="auto"/>
              <w:rPr>
                <w:rFonts w:ascii="Times New Roman" w:eastAsia="宋体" w:cs="Times New Roman"/>
                <w:color w:val="000000"/>
                <w:sz w:val="21"/>
                <w:szCs w:val="21"/>
              </w:rPr>
            </w:pPr>
            <w:r>
              <w:rPr>
                <w:rFonts w:ascii="Times New Roman" w:eastAsia="宋体" w:cs="Times New Roman"/>
                <w:sz w:val="21"/>
                <w:szCs w:val="21"/>
              </w:rPr>
              <w:t>与失能等级评估工作要求相适应的信息系统相关材料。</w:t>
            </w:r>
          </w:p>
        </w:tc>
        <w:tc>
          <w:tcPr>
            <w:tcW w:w="833" w:type="pct"/>
            <w:vAlign w:val="center"/>
          </w:tcPr>
          <w:p w14:paraId="0D39C8D2">
            <w:pPr>
              <w:spacing w:after="0" w:line="240" w:lineRule="auto"/>
              <w:jc w:val="center"/>
              <w:rPr>
                <w:rFonts w:ascii="Times New Roman" w:eastAsia="宋体" w:cs="Times New Roman"/>
                <w:color w:val="000000"/>
                <w:sz w:val="21"/>
                <w:szCs w:val="21"/>
              </w:rPr>
            </w:pPr>
          </w:p>
        </w:tc>
      </w:tr>
    </w:tbl>
    <w:p w14:paraId="4B925864">
      <w:pPr>
        <w:pStyle w:val="12"/>
        <w:ind w:firstLine="536"/>
        <w:rPr>
          <w:color w:val="000000"/>
          <w:sz w:val="28"/>
          <w:szCs w:val="28"/>
        </w:rPr>
      </w:pPr>
      <w:r>
        <w:rPr>
          <w:color w:val="000000"/>
          <w:sz w:val="28"/>
          <w:szCs w:val="28"/>
        </w:rPr>
        <w:t>备注：上述材料中证照、证书等提供原件核查，复印件需加盖申请单位公章，序号2所需材料根据机构类型及实际情况对应提供。</w:t>
      </w:r>
    </w:p>
    <w:p w14:paraId="4855DE5A">
      <w:pPr>
        <w:pStyle w:val="15"/>
        <w:rPr>
          <w:rFonts w:ascii="Times New Roman" w:hAnsi="Times New Roman" w:cs="Times New Roman"/>
        </w:rPr>
      </w:pPr>
    </w:p>
    <w:p w14:paraId="163539F1">
      <w:pPr>
        <w:rPr>
          <w:rFonts w:hint="eastAsia" w:ascii="仿宋_GB2312" w:hAnsi="仿宋_GB2312" w:eastAsia="仿宋_GB2312" w:cs="仿宋_GB2312"/>
          <w:sz w:val="24"/>
        </w:rPr>
      </w:pP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Nimbus Roman No9 L"/>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Arial">
    <w:altName w:val="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20407205"/>
    </w:sdtPr>
    <w:sdtContent>
      <w:p w14:paraId="20C83265">
        <w:pPr>
          <w:pStyle w:val="13"/>
          <w:jc w:val="center"/>
        </w:pPr>
        <w:r>
          <w:fldChar w:fldCharType="begin"/>
        </w:r>
        <w:r>
          <w:instrText xml:space="preserve">PAGE   \* MERGEFORMAT</w:instrText>
        </w:r>
        <w:r>
          <w:fldChar w:fldCharType="separate"/>
        </w:r>
        <w:r>
          <w:rPr>
            <w:lang w:val="zh-CN"/>
          </w:rPr>
          <w:t>16</w:t>
        </w:r>
        <w:r>
          <w:fldChar w:fldCharType="end"/>
        </w:r>
      </w:p>
    </w:sdtContent>
  </w:sdt>
  <w:p w14:paraId="3B42196B">
    <w:pPr>
      <w:spacing w:line="340" w:lineRule="exac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HorizontalSpacing w:val="0"/>
  <w:drawingGridVerticalSpacing w:val="290"/>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compatSetting w:name="compatibilityMode" w:uri="http://schemas.microsoft.com/office/word" w:val="12"/>
  </w:compat>
  <w:docVars>
    <w:docVar w:name="KGWebUrl" w:val="http://10.3.1.25:80/seeyon/officeservlet"/>
  </w:docVars>
  <w:rsids>
    <w:rsidRoot w:val="000327C5"/>
    <w:rsid w:val="00000073"/>
    <w:rsid w:val="00016CCB"/>
    <w:rsid w:val="000327C5"/>
    <w:rsid w:val="000769D0"/>
    <w:rsid w:val="000B6D23"/>
    <w:rsid w:val="000C4F30"/>
    <w:rsid w:val="000D37AB"/>
    <w:rsid w:val="000D47AD"/>
    <w:rsid w:val="000F7780"/>
    <w:rsid w:val="00140820"/>
    <w:rsid w:val="00154338"/>
    <w:rsid w:val="0019412D"/>
    <w:rsid w:val="001A1EB0"/>
    <w:rsid w:val="001F186D"/>
    <w:rsid w:val="00223E51"/>
    <w:rsid w:val="002328DC"/>
    <w:rsid w:val="002F0541"/>
    <w:rsid w:val="003960E8"/>
    <w:rsid w:val="00417F57"/>
    <w:rsid w:val="00441A7C"/>
    <w:rsid w:val="00620563"/>
    <w:rsid w:val="00680084"/>
    <w:rsid w:val="006C024E"/>
    <w:rsid w:val="00740926"/>
    <w:rsid w:val="00746428"/>
    <w:rsid w:val="007F2CC1"/>
    <w:rsid w:val="0089361B"/>
    <w:rsid w:val="008A242B"/>
    <w:rsid w:val="008D27DD"/>
    <w:rsid w:val="008D7987"/>
    <w:rsid w:val="00983CD3"/>
    <w:rsid w:val="009964D3"/>
    <w:rsid w:val="00A26D9A"/>
    <w:rsid w:val="00A70FB8"/>
    <w:rsid w:val="00AB4127"/>
    <w:rsid w:val="00AB63C4"/>
    <w:rsid w:val="00AF54EC"/>
    <w:rsid w:val="00B109C8"/>
    <w:rsid w:val="00B512A1"/>
    <w:rsid w:val="00B55407"/>
    <w:rsid w:val="00B62157"/>
    <w:rsid w:val="00BB6BD9"/>
    <w:rsid w:val="00BD6773"/>
    <w:rsid w:val="00BF2B15"/>
    <w:rsid w:val="00BF38A4"/>
    <w:rsid w:val="00C05E5A"/>
    <w:rsid w:val="00CA182A"/>
    <w:rsid w:val="00CA4218"/>
    <w:rsid w:val="00CD1339"/>
    <w:rsid w:val="00D40EB8"/>
    <w:rsid w:val="00D74076"/>
    <w:rsid w:val="00DC78B0"/>
    <w:rsid w:val="00E135D7"/>
    <w:rsid w:val="00E64D03"/>
    <w:rsid w:val="00F43506"/>
    <w:rsid w:val="00FC5D01"/>
    <w:rsid w:val="070E5166"/>
    <w:rsid w:val="198A56EF"/>
    <w:rsid w:val="27AA6DBF"/>
    <w:rsid w:val="29CA4614"/>
    <w:rsid w:val="551531E2"/>
    <w:rsid w:val="5CFD01BE"/>
    <w:rsid w:val="7EB79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等线" w:hAnsi="Times New Roman" w:eastAsia="等线" w:cs="Arial"/>
      <w:kern w:val="2"/>
      <w:sz w:val="22"/>
      <w:szCs w:val="24"/>
      <w:lang w:val="en-US" w:eastAsia="zh-CN" w:bidi="ar-SA"/>
    </w:rPr>
  </w:style>
  <w:style w:type="paragraph" w:styleId="2">
    <w:name w:val="heading 1"/>
    <w:next w:val="1"/>
    <w:qFormat/>
    <w:uiPriority w:val="9"/>
    <w:pPr>
      <w:keepNext/>
      <w:keepLines/>
      <w:spacing w:line="560" w:lineRule="exact"/>
      <w:ind w:firstLine="894" w:firstLineChars="200"/>
      <w:outlineLvl w:val="0"/>
    </w:pPr>
    <w:rPr>
      <w:rFonts w:ascii="黑体" w:hAnsi="黑体" w:eastAsia="黑体" w:cs="黑体"/>
      <w:kern w:val="44"/>
      <w:sz w:val="32"/>
      <w:szCs w:val="32"/>
      <w:lang w:val="en-US" w:eastAsia="zh-CN" w:bidi="ar-SA"/>
    </w:rPr>
  </w:style>
  <w:style w:type="paragraph" w:styleId="3">
    <w:name w:val="heading 2"/>
    <w:next w:val="1"/>
    <w:link w:val="36"/>
    <w:semiHidden/>
    <w:unhideWhenUsed/>
    <w:qFormat/>
    <w:uiPriority w:val="9"/>
    <w:pPr>
      <w:keepNext/>
      <w:keepLines/>
      <w:spacing w:line="560" w:lineRule="exact"/>
      <w:ind w:firstLine="894" w:firstLineChars="200"/>
      <w:outlineLvl w:val="1"/>
    </w:pPr>
    <w:rPr>
      <w:rFonts w:ascii="Times New Roman" w:hAnsi="Times New Roman" w:eastAsia="楷体_GB2312" w:cs="楷体_GB2312"/>
      <w:sz w:val="32"/>
      <w:szCs w:val="32"/>
      <w:lang w:val="en-US" w:eastAsia="zh-CN" w:bidi="ar-SA"/>
    </w:rPr>
  </w:style>
  <w:style w:type="paragraph" w:styleId="4">
    <w:name w:val="heading 3"/>
    <w:next w:val="1"/>
    <w:semiHidden/>
    <w:unhideWhenUsed/>
    <w:qFormat/>
    <w:uiPriority w:val="9"/>
    <w:pPr>
      <w:keepNext/>
      <w:keepLines/>
      <w:spacing w:line="560" w:lineRule="exact"/>
      <w:ind w:firstLine="894" w:firstLineChars="200"/>
      <w:outlineLvl w:val="2"/>
    </w:pPr>
    <w:rPr>
      <w:rFonts w:ascii="Times New Roman" w:hAnsi="Times New Roman" w:eastAsia="仿宋_GB2312" w:cs="仿宋_GB2312"/>
      <w:sz w:val="32"/>
      <w:szCs w:val="32"/>
      <w:lang w:val="en-US" w:eastAsia="zh-CN" w:bidi="ar-SA"/>
    </w:rPr>
  </w:style>
  <w:style w:type="paragraph" w:styleId="5">
    <w:name w:val="heading 4"/>
    <w:next w:val="1"/>
    <w:semiHidden/>
    <w:unhideWhenUsed/>
    <w:qFormat/>
    <w:uiPriority w:val="9"/>
    <w:pPr>
      <w:keepNext/>
      <w:keepLines/>
      <w:spacing w:line="560" w:lineRule="exact"/>
      <w:ind w:firstLine="894" w:firstLineChars="200"/>
      <w:outlineLvl w:val="3"/>
    </w:pPr>
    <w:rPr>
      <w:rFonts w:ascii="Times New Roman" w:hAnsi="Times New Roman" w:eastAsia="仿宋_GB2312" w:cs="仿宋_GB2312"/>
      <w:sz w:val="32"/>
      <w:szCs w:val="32"/>
      <w:lang w:val="en-US" w:eastAsia="zh-CN" w:bidi="ar-SA"/>
    </w:rPr>
  </w:style>
  <w:style w:type="paragraph" w:styleId="6">
    <w:name w:val="heading 5"/>
    <w:next w:val="1"/>
    <w:semiHidden/>
    <w:unhideWhenUsed/>
    <w:qFormat/>
    <w:uiPriority w:val="9"/>
    <w:pPr>
      <w:spacing w:line="560" w:lineRule="exact"/>
      <w:ind w:firstLine="894" w:firstLineChars="200"/>
      <w:outlineLvl w:val="4"/>
    </w:pPr>
    <w:rPr>
      <w:rFonts w:ascii="Times New Roman" w:hAnsi="Times New Roman" w:eastAsia="仿宋_GB2312" w:cs="仿宋_GB2312"/>
      <w:sz w:val="32"/>
      <w:szCs w:val="32"/>
      <w:lang w:val="en-US" w:eastAsia="zh-CN" w:bidi="ar-SA"/>
    </w:rPr>
  </w:style>
  <w:style w:type="paragraph" w:styleId="7">
    <w:name w:val="heading 6"/>
    <w:next w:val="1"/>
    <w:semiHidden/>
    <w:unhideWhenUsed/>
    <w:qFormat/>
    <w:uiPriority w:val="9"/>
    <w:pPr>
      <w:spacing w:line="560" w:lineRule="exact"/>
      <w:ind w:firstLine="894" w:firstLineChars="200"/>
      <w:outlineLvl w:val="5"/>
    </w:pPr>
    <w:rPr>
      <w:rFonts w:ascii="Times New Roman" w:hAnsi="Times New Roman" w:eastAsia="仿宋_GB2312" w:cs="仿宋_GB2312"/>
      <w:sz w:val="32"/>
      <w:szCs w:val="32"/>
      <w:lang w:val="en-US" w:eastAsia="zh-CN" w:bidi="ar-SA"/>
    </w:rPr>
  </w:style>
  <w:style w:type="paragraph" w:styleId="8">
    <w:name w:val="heading 7"/>
    <w:next w:val="1"/>
    <w:qFormat/>
    <w:uiPriority w:val="0"/>
    <w:pPr>
      <w:spacing w:line="560" w:lineRule="exact"/>
      <w:ind w:firstLine="894" w:firstLineChars="200"/>
      <w:outlineLvl w:val="6"/>
    </w:pPr>
    <w:rPr>
      <w:rFonts w:ascii="Times New Roman" w:hAnsi="Times New Roman" w:eastAsia="仿宋_GB2312" w:cs="仿宋_GB2312"/>
      <w:sz w:val="32"/>
      <w:szCs w:val="32"/>
      <w:lang w:val="en-US" w:eastAsia="zh-CN" w:bidi="ar-SA"/>
    </w:rPr>
  </w:style>
  <w:style w:type="paragraph" w:styleId="9">
    <w:name w:val="heading 8"/>
    <w:next w:val="1"/>
    <w:qFormat/>
    <w:uiPriority w:val="0"/>
    <w:pPr>
      <w:spacing w:line="560" w:lineRule="exact"/>
      <w:ind w:firstLine="894" w:firstLineChars="200"/>
      <w:outlineLvl w:val="7"/>
    </w:pPr>
    <w:rPr>
      <w:rFonts w:ascii="Times New Roman" w:hAnsi="Times New Roman" w:eastAsia="仿宋_GB2312" w:cs="仿宋_GB2312"/>
      <w:sz w:val="32"/>
      <w:szCs w:val="32"/>
      <w:lang w:val="en-US" w:eastAsia="zh-CN" w:bidi="ar-SA"/>
    </w:rPr>
  </w:style>
  <w:style w:type="paragraph" w:styleId="10">
    <w:name w:val="heading 9"/>
    <w:next w:val="1"/>
    <w:qFormat/>
    <w:uiPriority w:val="0"/>
    <w:pPr>
      <w:spacing w:line="560" w:lineRule="exact"/>
      <w:ind w:firstLine="894" w:firstLineChars="200"/>
      <w:outlineLvl w:val="8"/>
    </w:pPr>
    <w:rPr>
      <w:rFonts w:ascii="Times New Roman" w:hAnsi="Times New Roman" w:eastAsia="仿宋_GB2312" w:cs="仿宋_GB2312"/>
      <w:sz w:val="32"/>
      <w:szCs w:val="32"/>
      <w:lang w:val="en-US" w:eastAsia="zh-CN" w:bidi="ar-SA"/>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29"/>
    <w:semiHidden/>
    <w:unhideWhenUsed/>
    <w:qFormat/>
    <w:uiPriority w:val="99"/>
    <w:rPr>
      <w:rFonts w:asciiTheme="minorHAnsi" w:hAnsiTheme="minorHAnsi" w:eastAsiaTheme="minorEastAsia" w:cstheme="minorBidi"/>
    </w:rPr>
  </w:style>
  <w:style w:type="paragraph" w:styleId="12">
    <w:name w:val="Body Text"/>
    <w:unhideWhenUsed/>
    <w:qFormat/>
    <w:uiPriority w:val="99"/>
    <w:pPr>
      <w:spacing w:line="560" w:lineRule="exact"/>
      <w:ind w:firstLine="630" w:firstLineChars="200"/>
      <w:jc w:val="both"/>
    </w:pPr>
    <w:rPr>
      <w:rFonts w:ascii="Times New Roman" w:hAnsi="Times New Roman" w:eastAsia="仿宋_GB2312" w:cs="仿宋_GB2312"/>
      <w:spacing w:val="-6"/>
      <w:sz w:val="32"/>
      <w:szCs w:val="32"/>
      <w:lang w:val="en-US" w:eastAsia="zh-CN" w:bidi="ar-SA"/>
    </w:rPr>
  </w:style>
  <w:style w:type="paragraph" w:styleId="13">
    <w:name w:val="footer"/>
    <w:basedOn w:val="1"/>
    <w:link w:val="35"/>
    <w:qFormat/>
    <w:uiPriority w:val="99"/>
    <w:pPr>
      <w:tabs>
        <w:tab w:val="center" w:pos="4153"/>
        <w:tab w:val="right" w:pos="8306"/>
      </w:tabs>
      <w:snapToGrid w:val="0"/>
      <w:spacing w:after="0" w:line="240" w:lineRule="auto"/>
    </w:pPr>
    <w:rPr>
      <w:rFonts w:ascii="Calibri" w:hAnsi="Calibri" w:eastAsia="宋体"/>
      <w:kern w:val="0"/>
      <w:sz w:val="18"/>
      <w:szCs w:val="22"/>
    </w:rPr>
  </w:style>
  <w:style w:type="paragraph" w:styleId="14">
    <w:name w:val="header"/>
    <w:basedOn w:val="1"/>
    <w:qFormat/>
    <w:uiPriority w:val="0"/>
    <w:pPr>
      <w:tabs>
        <w:tab w:val="center" w:pos="4153"/>
        <w:tab w:val="right" w:pos="8306"/>
      </w:tabs>
      <w:snapToGrid w:val="0"/>
      <w:spacing w:line="240" w:lineRule="auto"/>
      <w:jc w:val="center"/>
    </w:pPr>
    <w:rPr>
      <w:sz w:val="18"/>
      <w:szCs w:val="18"/>
    </w:rPr>
  </w:style>
  <w:style w:type="paragraph" w:styleId="15">
    <w:name w:val="toc 1"/>
    <w:basedOn w:val="1"/>
    <w:next w:val="1"/>
    <w:qFormat/>
    <w:uiPriority w:val="0"/>
    <w:pPr>
      <w:spacing w:after="0" w:line="240" w:lineRule="auto"/>
      <w:jc w:val="both"/>
    </w:pPr>
    <w:rPr>
      <w:rFonts w:ascii="Calibri" w:hAnsi="Calibri" w:eastAsia="宋体"/>
      <w:kern w:val="0"/>
      <w:sz w:val="21"/>
      <w:szCs w:val="22"/>
    </w:rPr>
  </w:style>
  <w:style w:type="paragraph" w:styleId="16">
    <w:name w:val="Subtitle"/>
    <w:next w:val="1"/>
    <w:qFormat/>
    <w:uiPriority w:val="11"/>
    <w:pPr>
      <w:spacing w:line="720" w:lineRule="exact"/>
      <w:jc w:val="center"/>
    </w:pPr>
    <w:rPr>
      <w:rFonts w:ascii="Times New Roman" w:hAnsi="Times New Roman" w:eastAsia="仿宋_GB2312" w:cs="仿宋_GB2312"/>
      <w:kern w:val="28"/>
      <w:sz w:val="32"/>
      <w:szCs w:val="32"/>
      <w:lang w:val="en-US" w:eastAsia="zh-CN" w:bidi="ar-SA"/>
    </w:rPr>
  </w:style>
  <w:style w:type="paragraph" w:styleId="17">
    <w:name w:val="Normal (Web)"/>
    <w:basedOn w:val="1"/>
    <w:qFormat/>
    <w:uiPriority w:val="0"/>
    <w:pPr>
      <w:spacing w:before="100" w:beforeAutospacing="1" w:after="100" w:afterAutospacing="1" w:line="240" w:lineRule="auto"/>
    </w:pPr>
    <w:rPr>
      <w:rFonts w:ascii="Calibri" w:hAnsi="Calibri" w:eastAsia="宋体" w:cs="Times New Roman"/>
      <w:kern w:val="0"/>
      <w:sz w:val="24"/>
      <w:szCs w:val="22"/>
    </w:rPr>
  </w:style>
  <w:style w:type="paragraph" w:styleId="18">
    <w:name w:val="Title"/>
    <w:next w:val="1"/>
    <w:qFormat/>
    <w:uiPriority w:val="10"/>
    <w:pPr>
      <w:spacing w:line="720" w:lineRule="exact"/>
      <w:jc w:val="center"/>
    </w:pPr>
    <w:rPr>
      <w:rFonts w:ascii="方正小标宋简体" w:hAnsi="方正小标宋简体" w:eastAsia="方正小标宋简体" w:cs="方正小标宋简体"/>
      <w:sz w:val="44"/>
      <w:szCs w:val="44"/>
      <w:lang w:val="en-US" w:eastAsia="zh-CN" w:bidi="ar-SA"/>
    </w:rPr>
  </w:style>
  <w:style w:type="character" w:styleId="21">
    <w:name w:val="Hyperlink"/>
    <w:basedOn w:val="20"/>
    <w:qFormat/>
    <w:uiPriority w:val="0"/>
    <w:rPr>
      <w:color w:val="0563C1"/>
      <w:u w:val="single"/>
    </w:rPr>
  </w:style>
  <w:style w:type="character" w:styleId="22">
    <w:name w:val="annotation reference"/>
    <w:basedOn w:val="20"/>
    <w:semiHidden/>
    <w:unhideWhenUsed/>
    <w:qFormat/>
    <w:uiPriority w:val="99"/>
    <w:rPr>
      <w:sz w:val="21"/>
      <w:szCs w:val="21"/>
    </w:rPr>
  </w:style>
  <w:style w:type="paragraph" w:styleId="23">
    <w:name w:val="Quote"/>
    <w:basedOn w:val="1"/>
    <w:next w:val="1"/>
    <w:qFormat/>
    <w:uiPriority w:val="0"/>
    <w:pPr>
      <w:spacing w:before="160"/>
      <w:jc w:val="center"/>
    </w:pPr>
    <w:rPr>
      <w:i/>
      <w:iCs/>
      <w:color w:val="404040"/>
    </w:rPr>
  </w:style>
  <w:style w:type="paragraph" w:styleId="24">
    <w:name w:val="List Paragraph"/>
    <w:basedOn w:val="1"/>
    <w:qFormat/>
    <w:uiPriority w:val="0"/>
    <w:pPr>
      <w:ind w:left="720"/>
      <w:contextualSpacing/>
    </w:pPr>
  </w:style>
  <w:style w:type="character" w:customStyle="1" w:styleId="25">
    <w:name w:val="明显强调1"/>
    <w:basedOn w:val="20"/>
    <w:qFormat/>
    <w:uiPriority w:val="0"/>
    <w:rPr>
      <w:i/>
      <w:iCs/>
      <w:color w:val="2F5496"/>
    </w:rPr>
  </w:style>
  <w:style w:type="paragraph" w:styleId="26">
    <w:name w:val="Intense Quote"/>
    <w:basedOn w:val="1"/>
    <w:next w:val="1"/>
    <w:qFormat/>
    <w:uiPriority w:val="0"/>
    <w:pPr>
      <w:pBdr>
        <w:top w:val="single" w:color="2F5496" w:sz="4" w:space="10"/>
        <w:bottom w:val="single" w:color="2F5496" w:sz="4" w:space="10"/>
      </w:pBdr>
      <w:spacing w:before="360" w:after="360"/>
      <w:ind w:left="864" w:right="864"/>
      <w:jc w:val="center"/>
    </w:pPr>
    <w:rPr>
      <w:i/>
      <w:iCs/>
      <w:color w:val="2F5496"/>
    </w:rPr>
  </w:style>
  <w:style w:type="character" w:customStyle="1" w:styleId="27">
    <w:name w:val="明显参考1"/>
    <w:basedOn w:val="20"/>
    <w:qFormat/>
    <w:uiPriority w:val="0"/>
    <w:rPr>
      <w:b/>
      <w:bCs/>
      <w:smallCaps/>
      <w:color w:val="2F5496"/>
      <w:spacing w:val="5"/>
    </w:rPr>
  </w:style>
  <w:style w:type="character" w:customStyle="1" w:styleId="28">
    <w:name w:val="未处理的提及1"/>
    <w:basedOn w:val="20"/>
    <w:qFormat/>
    <w:uiPriority w:val="0"/>
    <w:rPr>
      <w:color w:val="605E5C"/>
      <w:shd w:val="clear" w:color="auto" w:fill="E1DFDD"/>
    </w:rPr>
  </w:style>
  <w:style w:type="character" w:customStyle="1" w:styleId="29">
    <w:name w:val="批注文字 字符"/>
    <w:basedOn w:val="20"/>
    <w:link w:val="11"/>
    <w:semiHidden/>
    <w:qFormat/>
    <w:uiPriority w:val="99"/>
    <w:rPr>
      <w:rFonts w:asciiTheme="minorHAnsi" w:hAnsiTheme="minorHAnsi" w:eastAsiaTheme="minorEastAsia" w:cstheme="minorBidi"/>
      <w:kern w:val="2"/>
      <w:sz w:val="22"/>
      <w:szCs w:val="24"/>
    </w:rPr>
  </w:style>
  <w:style w:type="paragraph" w:customStyle="1" w:styleId="30">
    <w:name w:val="附录标题"/>
    <w:next w:val="1"/>
    <w:qFormat/>
    <w:uiPriority w:val="0"/>
    <w:pPr>
      <w:overflowPunct w:val="0"/>
      <w:topLinePunct/>
      <w:spacing w:line="560" w:lineRule="exact"/>
      <w:outlineLvl w:val="0"/>
    </w:pPr>
    <w:rPr>
      <w:rFonts w:ascii="黑体" w:hAnsi="黑体" w:eastAsia="黑体" w:cs="黑体"/>
      <w:sz w:val="32"/>
      <w:szCs w:val="32"/>
      <w:lang w:val="en-US" w:eastAsia="zh-CN" w:bidi="ar-SA"/>
    </w:rPr>
  </w:style>
  <w:style w:type="character" w:customStyle="1" w:styleId="31">
    <w:name w:val="标题 2 Char"/>
    <w:qFormat/>
    <w:uiPriority w:val="9"/>
    <w:rPr>
      <w:rFonts w:ascii="Times New Roman" w:hAnsi="Times New Roman" w:eastAsia="楷体_GB2312" w:cs="楷体_GB2312"/>
      <w:sz w:val="32"/>
      <w:szCs w:val="32"/>
    </w:rPr>
  </w:style>
  <w:style w:type="character" w:customStyle="1" w:styleId="32">
    <w:name w:val="标题 2 Char1"/>
    <w:qFormat/>
    <w:uiPriority w:val="9"/>
    <w:rPr>
      <w:rFonts w:ascii="Times New Roman" w:hAnsi="Times New Roman" w:eastAsia="楷体_GB2312" w:cs="楷体_GB2312"/>
      <w:sz w:val="32"/>
      <w:szCs w:val="32"/>
    </w:rPr>
  </w:style>
  <w:style w:type="character" w:customStyle="1" w:styleId="33">
    <w:name w:val="标题 2 Char2"/>
    <w:qFormat/>
    <w:uiPriority w:val="9"/>
    <w:rPr>
      <w:rFonts w:ascii="Times New Roman" w:hAnsi="Times New Roman" w:eastAsia="楷体_GB2312" w:cs="楷体_GB2312"/>
      <w:sz w:val="32"/>
      <w:szCs w:val="32"/>
    </w:rPr>
  </w:style>
  <w:style w:type="character" w:customStyle="1" w:styleId="34">
    <w:name w:val="标题 2 字符"/>
    <w:qFormat/>
    <w:uiPriority w:val="9"/>
    <w:rPr>
      <w:rFonts w:ascii="Times New Roman" w:hAnsi="Times New Roman" w:eastAsia="楷体_GB2312" w:cs="楷体_GB2312"/>
      <w:sz w:val="32"/>
      <w:szCs w:val="32"/>
    </w:rPr>
  </w:style>
  <w:style w:type="character" w:customStyle="1" w:styleId="35">
    <w:name w:val="页脚 字符"/>
    <w:basedOn w:val="20"/>
    <w:link w:val="13"/>
    <w:qFormat/>
    <w:uiPriority w:val="99"/>
    <w:rPr>
      <w:rFonts w:ascii="Calibri" w:hAnsi="Calibri" w:cs="Arial"/>
      <w:sz w:val="18"/>
      <w:szCs w:val="22"/>
    </w:rPr>
  </w:style>
  <w:style w:type="character" w:customStyle="1" w:styleId="36">
    <w:name w:val="标题 2 字符1"/>
    <w:link w:val="3"/>
    <w:qFormat/>
    <w:uiPriority w:val="9"/>
    <w:rPr>
      <w:rFonts w:ascii="Times New Roman" w:hAnsi="Times New Roman" w:eastAsia="楷体_GB2312" w:cs="楷体_GB2312"/>
      <w:sz w:val="32"/>
      <w:szCs w:val="32"/>
    </w:rPr>
  </w:style>
  <w:style w:type="paragraph" w:customStyle="1" w:styleId="37">
    <w:name w:val="Revision"/>
    <w:hidden/>
    <w:unhideWhenUsed/>
    <w:qFormat/>
    <w:uiPriority w:val="99"/>
    <w:rPr>
      <w:rFonts w:ascii="等线" w:hAnsi="Times New Roman" w:eastAsia="等线" w:cs="Arial"/>
      <w:kern w:val="2"/>
      <w:sz w:val="2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688d97ca-a6ed-4e95-ae0d-b6c0c3f05d14</errorID>
      <errorWord xmlns="http://schemas.wps.cn/vas-ai-hub/contract-review">组织组织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组织</item>
      </candidateList>
      <explain xmlns="http://schemas.wps.cn/vas-ai-hub/contract-review">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 xmlns="http://schemas.wps.cn/vas-ai-hub/contract-review">4C4A310C</paraID>
      <start xmlns="http://schemas.wps.cn/vas-ai-hub/contract-review">21</start>
      <end xmlns="http://schemas.wps.cn/vas-ai-hub/contract-review">23</end>
      <status xmlns="http://schemas.wps.cn/vas-ai-hub/contract-review">modified</status>
      <modifiedWord xmlns="http://schemas.wps.cn/vas-ai-hub/contract-review">组织</modifiedWord>
      <trackRevisions xmlns="http://schemas.wps.cn/vas-ai-hub/contract-review">false</trackRevisions>
    </reviewItem>
    <reviewItem xmlns="http://schemas.wps.cn/vas-ai-hub/contract-review">
      <errorID xmlns="http://schemas.wps.cn/vas-ai-hub/contract-review">47c0e23c-3e6a-4dba-a683-78c45f6fc043</errorID>
      <errorWord xmlns="http://schemas.wps.cn/vas-ai-hub/contract-review">日至2026年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日起至2026年</item>
      </candidateList>
      <explain xmlns="http://schemas.wps.cn/vas-ai-hub/contract-review"/>
      <paraID xmlns="http://schemas.wps.cn/vas-ai-hub/contract-review">3AD597A6</paraID>
      <start xmlns="http://schemas.wps.cn/vas-ai-hub/contract-review">17</start>
      <end xmlns="http://schemas.wps.cn/vas-ai-hub/contract-review">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f81c4011-13de-48b2-a4c1-5653b1e527aa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134</start>
      <end xmlns="http://schemas.wps.cn/vas-ai-hub/contract-review">135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f71fb6fd-080a-4270-a775-e459151e65d3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136</start>
      <end xmlns="http://schemas.wps.cn/vas-ai-hub/contract-review">137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a3a3a625-c9cd-44a5-b5a9-66d3df1c6273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175</start>
      <end xmlns="http://schemas.wps.cn/vas-ai-hub/contract-review">176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3e9b4c69-5806-47fd-b57c-e38e7ac3e69e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
      <candidateList xmlns="http://schemas.wps.cn/vas-ai-hub/contract-review"/>
      <explain xmlns="http://schemas.wps.cn/vas-ai-hub/contract-review">同一形式括号套用。</explain>
      <paraID xmlns="http://schemas.wps.cn/vas-ai-hub/contract-review">65BE8F29</paraID>
      <start xmlns="http://schemas.wps.cn/vas-ai-hub/contract-review">177</start>
      <end xmlns="http://schemas.wps.cn/vas-ai-hub/contract-review">178</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4835A5C9-3A3A-4A9D-AC64-9802598309B4}">
  <ds:schemaRefs/>
</ds:datastoreItem>
</file>

<file path=customXml/itemProps2.xml><?xml version="1.0" encoding="utf-8"?>
<ds:datastoreItem xmlns:ds="http://schemas.openxmlformats.org/officeDocument/2006/customXml" ds:itemID="{F3210133-419D-423E-A5EA-163D13F84047}">
  <ds:schemaRefs/>
</ds:datastoreItem>
</file>

<file path=docProps/app.xml><?xml version="1.0" encoding="utf-8"?>
<Properties xmlns="http://schemas.openxmlformats.org/officeDocument/2006/extended-properties" xmlns:vt="http://schemas.openxmlformats.org/officeDocument/2006/docPropsVTypes">
  <Template>Normal.dotm</Template>
  <Pages>1</Pages>
  <Words>1114</Words>
  <Characters>6356</Characters>
  <Lines>52</Lines>
  <Paragraphs>14</Paragraphs>
  <TotalTime>2</TotalTime>
  <ScaleCrop>false</ScaleCrop>
  <LinksUpToDate>false</LinksUpToDate>
  <CharactersWithSpaces>7456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2026-06-11T22:13:00Z</dcterms:created>
  <dc:creator>李建辉</dc:creator>
  <cp:lastModifiedBy>user</cp:lastModifiedBy>
  <cp:lastPrinted>2026-06-08T19:04:00Z</cp:lastPrinted>
  <dcterms:modified xsi:type="dcterms:W3CDTF">2026-06-30T16:40:45Z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eyJoZGlkIjoiZTljNGI5YmUwOWFjN2U3N2IwZjQ0M2M1OGJhMTJkYjQiLCJ1c2VySWQiOiIzOTA3NzI2MTkifQ==</vt:lpwstr>
  </property>
  <property fmtid="{D5CDD505-2E9C-101B-9397-08002B2CF9AE}" pid="3" name="KSOProductBuildVer">
    <vt:lpwstr>2052-12.8.2.1119</vt:lpwstr>
  </property>
  <property fmtid="{D5CDD505-2E9C-101B-9397-08002B2CF9AE}" pid="4" name="ICV">
    <vt:lpwstr>2842EFE88AA941B1ACD9056B7460DBFB_12</vt:lpwstr>
  </property>
</Properties>
</file>