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8" w:lineRule="exact"/>
        <w:contextualSpacing/>
        <w:jc w:val="center"/>
        <w:rPr>
          <w:rFonts w:hint="eastAsia" w:ascii="方正小标宋_GBK" w:hAnsi="方正小标宋_GBK" w:eastAsia="方正小标宋_GBK" w:cs="方正小标宋_GBK"/>
          <w:bCs/>
          <w:sz w:val="44"/>
          <w:szCs w:val="44"/>
          <w:shd w:val="clear" w:color="auto" w:fill="FFFFFF"/>
        </w:rPr>
      </w:pPr>
      <w:r>
        <w:rPr>
          <w:rFonts w:hint="eastAsia" w:ascii="方正小标宋_GBK" w:hAnsi="方正小标宋_GBK" w:eastAsia="方正小标宋_GBK" w:cs="方正小标宋_GBK"/>
          <w:bCs/>
          <w:sz w:val="44"/>
          <w:szCs w:val="44"/>
          <w:shd w:val="clear" w:color="auto" w:fill="FFFFFF"/>
          <w:lang w:val="en-US" w:eastAsia="zh-CN"/>
        </w:rPr>
        <w:t>攀枝花市医疗保障事务中心               关于2025年度</w:t>
      </w:r>
      <w:r>
        <w:rPr>
          <w:rFonts w:hint="eastAsia" w:ascii="方正小标宋_GBK" w:hAnsi="方正小标宋_GBK" w:eastAsia="方正小标宋_GBK" w:cs="方正小标宋_GBK"/>
          <w:bCs/>
          <w:sz w:val="44"/>
          <w:szCs w:val="44"/>
          <w:shd w:val="clear" w:color="auto" w:fill="FFFFFF"/>
        </w:rPr>
        <w:t>部门预算绩效</w:t>
      </w:r>
      <w:r>
        <w:rPr>
          <w:rFonts w:hint="eastAsia" w:ascii="方正小标宋_GBK" w:hAnsi="方正小标宋_GBK" w:eastAsia="方正小标宋_GBK" w:cs="方正小标宋_GBK"/>
          <w:bCs/>
          <w:sz w:val="44"/>
          <w:szCs w:val="44"/>
          <w:shd w:val="clear" w:color="auto" w:fill="FFFFFF"/>
          <w:lang w:eastAsia="zh-CN"/>
        </w:rPr>
        <w:t>的</w:t>
      </w:r>
      <w:r>
        <w:rPr>
          <w:rFonts w:hint="eastAsia" w:ascii="方正小标宋_GBK" w:hAnsi="方正小标宋_GBK" w:eastAsia="方正小标宋_GBK" w:cs="方正小标宋_GBK"/>
          <w:bCs/>
          <w:sz w:val="44"/>
          <w:szCs w:val="44"/>
          <w:shd w:val="clear" w:color="auto" w:fill="FFFFFF"/>
        </w:rPr>
        <w:t>自评报告</w:t>
      </w:r>
    </w:p>
    <w:p>
      <w:pPr>
        <w:widowControl/>
        <w:spacing w:line="578" w:lineRule="exact"/>
        <w:contextualSpacing/>
        <w:jc w:val="center"/>
        <w:rPr>
          <w:rFonts w:hint="default" w:ascii="Times New Roman" w:hAnsi="Times New Roman" w:eastAsia="方正小标宋简体" w:cs="Times New Roman"/>
          <w:lang w:val="en-US" w:eastAsia="zh-CN"/>
        </w:rPr>
      </w:pPr>
    </w:p>
    <w:p>
      <w:pPr>
        <w:spacing w:line="55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市财政局：</w:t>
      </w:r>
    </w:p>
    <w:p>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color w:val="000000"/>
          <w:kern w:val="0"/>
          <w:sz w:val="24"/>
          <w:szCs w:val="32"/>
          <w:shd w:val="clear" w:color="auto" w:fill="FFFFFF"/>
        </w:rPr>
      </w:pPr>
      <w:r>
        <w:rPr>
          <w:rFonts w:hint="default" w:ascii="Times New Roman" w:hAnsi="Times New Roman" w:eastAsia="仿宋_GB2312" w:cs="Times New Roman"/>
          <w:sz w:val="32"/>
          <w:szCs w:val="32"/>
        </w:rPr>
        <w:t>根据《攀枝花市财政局&lt;关于开展市本级预算绩效自评工作&gt;的通知》（攀财绩〔202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号）文件要求，我中心认</w:t>
      </w:r>
      <w:bookmarkStart w:id="7" w:name="_GoBack"/>
      <w:bookmarkEnd w:id="7"/>
      <w:r>
        <w:rPr>
          <w:rFonts w:hint="default" w:ascii="Times New Roman" w:hAnsi="Times New Roman" w:eastAsia="仿宋_GB2312" w:cs="Times New Roman"/>
          <w:sz w:val="32"/>
          <w:szCs w:val="32"/>
        </w:rPr>
        <w:t>真组织开展自评，现将</w:t>
      </w: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年度部门预算绩效</w:t>
      </w:r>
      <w:r>
        <w:rPr>
          <w:rFonts w:hint="default" w:ascii="Times New Roman" w:hAnsi="Times New Roman" w:eastAsia="仿宋_GB2312" w:cs="Times New Roman"/>
          <w:sz w:val="32"/>
          <w:szCs w:val="32"/>
          <w:lang w:val="en-US" w:eastAsia="zh-CN"/>
        </w:rPr>
        <w:t>自评</w:t>
      </w:r>
      <w:r>
        <w:rPr>
          <w:rFonts w:hint="default" w:ascii="Times New Roman" w:hAnsi="Times New Roman" w:eastAsia="仿宋_GB2312" w:cs="Times New Roman"/>
          <w:sz w:val="32"/>
          <w:szCs w:val="32"/>
        </w:rPr>
        <w:t>情况报告如下。</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cs="Times New Roman"/>
          <w:szCs w:val="32"/>
        </w:rPr>
      </w:pPr>
      <w:r>
        <w:rPr>
          <w:rFonts w:ascii="Times New Roman" w:hAnsi="Times New Roman" w:eastAsia="黑体" w:cs="Times New Roman"/>
          <w:color w:val="000000"/>
          <w:kern w:val="0"/>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攀枝花市医疗保障事务中心（以下简称“</w:t>
      </w:r>
      <w:bookmarkStart w:id="0" w:name="OLE_LINK6"/>
      <w:r>
        <w:rPr>
          <w:rFonts w:hint="default" w:ascii="Times New Roman" w:hAnsi="Times New Roman" w:eastAsia="仿宋_GB2312" w:cs="Times New Roman"/>
          <w:sz w:val="32"/>
          <w:szCs w:val="32"/>
        </w:rPr>
        <w:t>市医保事务中心</w:t>
      </w:r>
      <w:bookmarkEnd w:id="0"/>
      <w:r>
        <w:rPr>
          <w:rFonts w:hint="default" w:ascii="Times New Roman" w:hAnsi="Times New Roman" w:eastAsia="仿宋_GB2312" w:cs="Times New Roman"/>
          <w:sz w:val="32"/>
          <w:szCs w:val="32"/>
        </w:rPr>
        <w:t>”）执行政府会计准则制度，单位基本性质为参照公务员法管理的公益一类事业单位。截至202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年12月31日，独立编制机构数1个</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无下属机构。</w:t>
      </w:r>
    </w:p>
    <w:p>
      <w:pPr>
        <w:keepNext w:val="0"/>
        <w:keepLines w:val="0"/>
        <w:pageBreakBefore w:val="0"/>
        <w:numPr>
          <w:ilvl w:val="0"/>
          <w:numId w:val="1"/>
        </w:numPr>
        <w:kinsoku/>
        <w:wordWrap/>
        <w:overflowPunct/>
        <w:topLinePunct w:val="0"/>
        <w:autoSpaceDE/>
        <w:autoSpaceDN/>
        <w:bidi w:val="0"/>
        <w:spacing w:line="560"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机构职能。</w:t>
      </w:r>
    </w:p>
    <w:p>
      <w:pPr>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eastAsia="楷体_GB2312"/>
          <w:b/>
          <w:bCs/>
          <w:color w:val="000000"/>
          <w:kern w:val="0"/>
          <w:szCs w:val="32"/>
          <w:shd w:val="clear" w:color="auto" w:fill="FFFFFF"/>
          <w:lang w:val="zh-CN"/>
        </w:rPr>
      </w:pPr>
      <w:r>
        <w:rPr>
          <w:rFonts w:hint="eastAsia" w:ascii="仿宋_GB2312" w:hAnsi="仿宋_GB2312" w:eastAsia="仿宋_GB2312" w:cs="仿宋_GB2312"/>
          <w:sz w:val="32"/>
          <w:szCs w:val="32"/>
        </w:rPr>
        <w:t>市医保事务中心负责职工基本医疗保险、城乡居民基本医疗保险、生育保险、</w:t>
      </w:r>
      <w:r>
        <w:rPr>
          <w:rStyle w:val="18"/>
          <w:rFonts w:hint="default" w:ascii="Times New Roman" w:hAnsi="Times New Roman" w:cs="Times New Roman"/>
          <w:b w:val="0"/>
          <w:bCs/>
          <w:color w:val="000000"/>
          <w:highlight w:val="none"/>
        </w:rPr>
        <w:t>医疗救助以及药品、医用耗材招采具体经办业务</w:t>
      </w:r>
      <w:r>
        <w:rPr>
          <w:rFonts w:hint="eastAsia" w:ascii="仿宋_GB2312" w:hAnsi="仿宋_GB2312" w:eastAsia="仿宋_GB2312" w:cs="仿宋_GB2312"/>
          <w:sz w:val="32"/>
          <w:szCs w:val="32"/>
        </w:rPr>
        <w:t>，制定、完善业务经办管理规程。负责对定点医药机构执行政策规定和为参保人员提供医疗服务进行指导和检查。承担离休干部、六级以上革命伤残军人（警察）、建国初期参加工作退休干部及其他医疗照顾人员医药费用审核报销的具体业务工作。参与医疗保障业务经办信息系统建设。</w:t>
      </w:r>
    </w:p>
    <w:p>
      <w:pPr>
        <w:keepNext w:val="0"/>
        <w:keepLines w:val="0"/>
        <w:pageBreakBefore w:val="0"/>
        <w:kinsoku/>
        <w:wordWrap/>
        <w:overflowPunct/>
        <w:topLinePunct w:val="0"/>
        <w:autoSpaceDE/>
        <w:autoSpaceDN/>
        <w:bidi w:val="0"/>
        <w:spacing w:line="560" w:lineRule="exact"/>
        <w:ind w:firstLine="643" w:firstLineChars="200"/>
        <w:textAlignment w:val="auto"/>
        <w:rPr>
          <w:rFonts w:eastAsia="楷体_GB2312"/>
          <w:b/>
          <w:bCs/>
          <w:color w:val="000000"/>
          <w:kern w:val="0"/>
          <w:szCs w:val="32"/>
          <w:shd w:val="clear" w:color="auto" w:fill="FFFFFF"/>
          <w:lang w:val="zh-CN"/>
        </w:rPr>
      </w:pPr>
      <w:r>
        <w:rPr>
          <w:rFonts w:eastAsia="楷体_GB2312"/>
          <w:b/>
          <w:bCs/>
          <w:color w:val="000000"/>
          <w:kern w:val="0"/>
          <w:szCs w:val="32"/>
          <w:shd w:val="clear" w:color="auto" w:fill="FFFFFF"/>
          <w:lang w:val="zh-CN"/>
        </w:rPr>
        <w:t>（三）人员概况。</w:t>
      </w:r>
    </w:p>
    <w:p>
      <w:pPr>
        <w:keepNext w:val="0"/>
        <w:keepLines w:val="0"/>
        <w:pageBreakBefore w:val="0"/>
        <w:kinsoku/>
        <w:wordWrap/>
        <w:overflowPunct/>
        <w:topLinePunct w:val="0"/>
        <w:autoSpaceDE/>
        <w:autoSpaceDN/>
        <w:bidi w:val="0"/>
        <w:spacing w:line="560" w:lineRule="exact"/>
        <w:ind w:firstLine="640" w:firstLineChars="200"/>
        <w:textAlignment w:val="auto"/>
        <w:rPr>
          <w:szCs w:val="32"/>
          <w:highlight w:val="none"/>
        </w:rPr>
      </w:pPr>
      <w:r>
        <w:rPr>
          <w:szCs w:val="32"/>
        </w:rPr>
        <w:t>截至2025年末，</w:t>
      </w:r>
      <w:r>
        <w:rPr>
          <w:rFonts w:hint="default"/>
          <w:szCs w:val="32"/>
        </w:rPr>
        <w:t>市医保事务中心编制人数4</w:t>
      </w:r>
      <w:r>
        <w:rPr>
          <w:rFonts w:hint="eastAsia"/>
          <w:szCs w:val="32"/>
          <w:lang w:val="en-US" w:eastAsia="zh-CN"/>
        </w:rPr>
        <w:t>9</w:t>
      </w:r>
      <w:r>
        <w:rPr>
          <w:rFonts w:hint="default"/>
          <w:szCs w:val="32"/>
        </w:rPr>
        <w:t>人</w:t>
      </w:r>
      <w:r>
        <w:rPr>
          <w:rFonts w:hint="default"/>
          <w:szCs w:val="32"/>
          <w:highlight w:val="none"/>
        </w:rPr>
        <w:t>。202</w:t>
      </w:r>
      <w:r>
        <w:rPr>
          <w:rFonts w:hint="eastAsia"/>
          <w:szCs w:val="32"/>
          <w:highlight w:val="none"/>
          <w:lang w:val="en-US" w:eastAsia="zh-CN"/>
        </w:rPr>
        <w:t>5</w:t>
      </w:r>
      <w:r>
        <w:rPr>
          <w:rFonts w:hint="default"/>
          <w:szCs w:val="32"/>
          <w:highlight w:val="none"/>
        </w:rPr>
        <w:t>年实有在职人员</w:t>
      </w:r>
      <w:r>
        <w:rPr>
          <w:rFonts w:hint="eastAsia"/>
          <w:szCs w:val="32"/>
          <w:highlight w:val="none"/>
          <w:lang w:val="en-US" w:eastAsia="zh-CN"/>
        </w:rPr>
        <w:t>44</w:t>
      </w:r>
      <w:r>
        <w:rPr>
          <w:rFonts w:hint="default"/>
          <w:szCs w:val="32"/>
          <w:highlight w:val="none"/>
        </w:rPr>
        <w:t>人，退休人员2</w:t>
      </w:r>
      <w:r>
        <w:rPr>
          <w:rFonts w:hint="eastAsia"/>
          <w:szCs w:val="32"/>
          <w:highlight w:val="none"/>
          <w:lang w:val="en-US" w:eastAsia="zh-CN"/>
        </w:rPr>
        <w:t>2</w:t>
      </w:r>
      <w:r>
        <w:rPr>
          <w:rFonts w:hint="default"/>
          <w:szCs w:val="32"/>
          <w:highlight w:val="none"/>
        </w:rPr>
        <w:t>人。</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二、部门资金收支情况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szCs w:val="32"/>
        </w:rPr>
      </w:pPr>
      <w:r>
        <w:rPr>
          <w:rFonts w:hint="eastAsia" w:eastAsia="楷体_GB2312"/>
          <w:b w:val="0"/>
          <w:bCs w:val="0"/>
          <w:color w:val="000000"/>
          <w:kern w:val="0"/>
          <w:szCs w:val="32"/>
          <w:shd w:val="clear" w:color="auto" w:fill="FFFFFF"/>
          <w:lang w:val="zh-CN"/>
        </w:rPr>
        <w:t>（一）</w:t>
      </w:r>
      <w:r>
        <w:rPr>
          <w:rFonts w:eastAsia="楷体_GB2312"/>
          <w:b w:val="0"/>
          <w:bCs w:val="0"/>
          <w:color w:val="000000"/>
          <w:kern w:val="0"/>
          <w:szCs w:val="32"/>
          <w:shd w:val="clear" w:color="auto" w:fill="FFFFFF"/>
          <w:lang w:val="zh-CN"/>
        </w:rPr>
        <w:t>收入情况。</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楷体_GB2312"/>
          <w:b/>
          <w:bCs/>
          <w:color w:val="000000"/>
          <w:kern w:val="0"/>
          <w:szCs w:val="32"/>
          <w:highlight w:val="yellow"/>
          <w:shd w:val="clear" w:color="auto" w:fill="FFFFFF"/>
        </w:rPr>
      </w:pPr>
      <w:r>
        <w:rPr>
          <w:rFonts w:hint="default"/>
          <w:szCs w:val="32"/>
          <w:highlight w:val="none"/>
        </w:rPr>
        <w:t>市医保事务中心202</w:t>
      </w:r>
      <w:r>
        <w:rPr>
          <w:rFonts w:hint="eastAsia"/>
          <w:szCs w:val="32"/>
          <w:highlight w:val="none"/>
          <w:lang w:val="en-US" w:eastAsia="zh-CN"/>
        </w:rPr>
        <w:t>5</w:t>
      </w:r>
      <w:r>
        <w:rPr>
          <w:rFonts w:hint="default"/>
          <w:szCs w:val="32"/>
          <w:highlight w:val="none"/>
        </w:rPr>
        <w:t>年</w:t>
      </w:r>
      <w:r>
        <w:rPr>
          <w:rFonts w:hint="eastAsia"/>
          <w:szCs w:val="32"/>
          <w:highlight w:val="none"/>
          <w:lang w:val="en-US" w:eastAsia="zh-CN"/>
        </w:rPr>
        <w:t>财政拨款收入总额1,407.72</w:t>
      </w:r>
      <w:r>
        <w:rPr>
          <w:rFonts w:hint="default"/>
          <w:szCs w:val="32"/>
          <w:highlight w:val="none"/>
        </w:rPr>
        <w:t>万元，其中：一般公共预算财政拨款</w:t>
      </w:r>
      <w:r>
        <w:rPr>
          <w:rFonts w:hint="eastAsia"/>
          <w:szCs w:val="32"/>
          <w:highlight w:val="none"/>
          <w:lang w:val="en-US" w:eastAsia="zh-CN"/>
        </w:rPr>
        <w:t>1,407.72</w:t>
      </w:r>
      <w:r>
        <w:rPr>
          <w:rFonts w:hint="default"/>
          <w:szCs w:val="32"/>
          <w:highlight w:val="none"/>
        </w:rPr>
        <w:t>万元，政府性基金预算财政拨款0万元。</w:t>
      </w:r>
    </w:p>
    <w:p>
      <w:pPr>
        <w:pageBreakBefore w:val="0"/>
        <w:numPr>
          <w:ilvl w:val="0"/>
          <w:numId w:val="0"/>
        </w:numPr>
        <w:kinsoku/>
        <w:wordWrap/>
        <w:overflowPunct/>
        <w:topLinePunct w:val="0"/>
        <w:autoSpaceDE/>
        <w:autoSpaceDN/>
        <w:bidi w:val="0"/>
        <w:spacing w:line="560" w:lineRule="exact"/>
        <w:ind w:leftChars="200"/>
        <w:jc w:val="left"/>
        <w:textAlignment w:val="auto"/>
        <w:rPr>
          <w:rFonts w:hint="eastAsia"/>
          <w:szCs w:val="32"/>
          <w:highlight w:val="yellow"/>
        </w:rPr>
      </w:pPr>
      <w:r>
        <w:rPr>
          <w:rFonts w:hint="eastAsia" w:eastAsia="楷体_GB2312"/>
          <w:b w:val="0"/>
          <w:bCs w:val="0"/>
          <w:color w:val="000000"/>
          <w:kern w:val="0"/>
          <w:szCs w:val="32"/>
          <w:shd w:val="clear" w:color="auto" w:fill="FFFFFF"/>
          <w:lang w:val="zh-CN"/>
        </w:rPr>
        <w:t>（二）</w:t>
      </w:r>
      <w:r>
        <w:rPr>
          <w:rFonts w:eastAsia="楷体_GB2312"/>
          <w:b w:val="0"/>
          <w:bCs w:val="0"/>
          <w:color w:val="000000"/>
          <w:kern w:val="0"/>
          <w:szCs w:val="32"/>
          <w:shd w:val="clear" w:color="auto" w:fill="FFFFFF"/>
          <w:lang w:val="zh-CN"/>
        </w:rPr>
        <w:t>支出情况。</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市医保事务中心202</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年财政拨款支出总额</w:t>
      </w:r>
      <w:r>
        <w:rPr>
          <w:rFonts w:hint="default" w:ascii="Times New Roman" w:hAnsi="Times New Roman" w:cs="Times New Roman"/>
          <w:sz w:val="32"/>
          <w:szCs w:val="32"/>
          <w:highlight w:val="none"/>
          <w:lang w:val="en-US" w:eastAsia="zh-CN"/>
        </w:rPr>
        <w:t>1</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407.72</w:t>
      </w:r>
      <w:r>
        <w:rPr>
          <w:rFonts w:hint="default" w:ascii="Times New Roman" w:hAnsi="Times New Roman" w:eastAsia="仿宋_GB2312" w:cs="Times New Roman"/>
          <w:sz w:val="32"/>
          <w:szCs w:val="32"/>
          <w:highlight w:val="none"/>
        </w:rPr>
        <w:t>万元，基本支出万元</w:t>
      </w:r>
      <w:r>
        <w:rPr>
          <w:rFonts w:hint="default" w:ascii="Times New Roman" w:hAnsi="Times New Roman" w:cs="Times New Roman"/>
          <w:sz w:val="32"/>
          <w:szCs w:val="32"/>
          <w:highlight w:val="none"/>
          <w:lang w:val="en-US" w:eastAsia="zh-CN"/>
        </w:rPr>
        <w:t>1</w:t>
      </w:r>
      <w:r>
        <w:rPr>
          <w:rFonts w:hint="eastAsia" w:ascii="Times New Roman" w:hAnsi="Times New Roman" w:cs="Times New Roman"/>
          <w:sz w:val="32"/>
          <w:szCs w:val="32"/>
          <w:highlight w:val="none"/>
          <w:lang w:val="en-US" w:eastAsia="zh-CN"/>
        </w:rPr>
        <w:t>,</w:t>
      </w:r>
      <w:r>
        <w:rPr>
          <w:rFonts w:hint="default" w:ascii="Times New Roman" w:hAnsi="Times New Roman" w:cs="Times New Roman"/>
          <w:sz w:val="32"/>
          <w:szCs w:val="32"/>
          <w:highlight w:val="none"/>
          <w:lang w:val="en-US" w:eastAsia="zh-CN"/>
        </w:rPr>
        <w:t>021.47</w:t>
      </w:r>
      <w:r>
        <w:rPr>
          <w:rFonts w:hint="default" w:ascii="Times New Roman" w:hAnsi="Times New Roman" w:eastAsia="仿宋_GB2312" w:cs="Times New Roman"/>
          <w:sz w:val="32"/>
          <w:szCs w:val="32"/>
          <w:highlight w:val="none"/>
        </w:rPr>
        <w:t>万元（其中</w:t>
      </w:r>
      <w:r>
        <w:rPr>
          <w:rFonts w:hint="eastAsia"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人员经费支出</w:t>
      </w:r>
      <w:r>
        <w:rPr>
          <w:rFonts w:hint="default" w:ascii="Times New Roman" w:hAnsi="Times New Roman" w:cs="Times New Roman"/>
          <w:sz w:val="32"/>
          <w:szCs w:val="32"/>
          <w:highlight w:val="none"/>
          <w:lang w:val="en-US" w:eastAsia="zh-CN"/>
        </w:rPr>
        <w:t>921.52</w:t>
      </w:r>
      <w:r>
        <w:rPr>
          <w:rFonts w:hint="default" w:ascii="Times New Roman" w:hAnsi="Times New Roman" w:eastAsia="仿宋_GB2312" w:cs="Times New Roman"/>
          <w:sz w:val="32"/>
          <w:szCs w:val="32"/>
          <w:highlight w:val="none"/>
        </w:rPr>
        <w:t>万元，公用经费支出</w:t>
      </w:r>
      <w:r>
        <w:rPr>
          <w:rFonts w:hint="default" w:ascii="Times New Roman" w:hAnsi="Times New Roman" w:cs="Times New Roman"/>
          <w:sz w:val="32"/>
          <w:szCs w:val="32"/>
          <w:highlight w:val="none"/>
          <w:lang w:val="en-US" w:eastAsia="zh-CN"/>
        </w:rPr>
        <w:t>99.95</w:t>
      </w:r>
      <w:r>
        <w:rPr>
          <w:rFonts w:hint="default" w:ascii="Times New Roman" w:hAnsi="Times New Roman" w:eastAsia="仿宋_GB2312" w:cs="Times New Roman"/>
          <w:sz w:val="32"/>
          <w:szCs w:val="32"/>
          <w:highlight w:val="none"/>
        </w:rPr>
        <w:t>万元），项目支出</w:t>
      </w:r>
      <w:r>
        <w:rPr>
          <w:rFonts w:hint="default" w:ascii="Times New Roman" w:hAnsi="Times New Roman" w:cs="Times New Roman"/>
          <w:sz w:val="32"/>
          <w:szCs w:val="32"/>
          <w:highlight w:val="none"/>
          <w:lang w:val="en-US" w:eastAsia="zh-CN"/>
        </w:rPr>
        <w:t>386.25</w:t>
      </w:r>
      <w:r>
        <w:rPr>
          <w:rFonts w:hint="default" w:ascii="Times New Roman" w:hAnsi="Times New Roman" w:eastAsia="仿宋_GB2312" w:cs="Times New Roman"/>
          <w:sz w:val="32"/>
          <w:szCs w:val="32"/>
          <w:highlight w:val="none"/>
        </w:rPr>
        <w:t>万元。</w:t>
      </w:r>
    </w:p>
    <w:p>
      <w:pPr>
        <w:adjustRightInd w:val="0"/>
        <w:snapToGrid w:val="0"/>
        <w:spacing w:line="578" w:lineRule="exact"/>
        <w:ind w:firstLine="640" w:firstLineChars="200"/>
        <w:contextualSpacing/>
        <w:jc w:val="left"/>
        <w:rPr>
          <w:rFonts w:hint="eastAsia" w:ascii="仿宋_GB2312" w:hAnsi="仿宋_GB2312" w:eastAsia="仿宋_GB2312" w:cs="仿宋_GB2312"/>
          <w:sz w:val="32"/>
          <w:szCs w:val="32"/>
          <w:highlight w:val="none"/>
        </w:rPr>
      </w:pPr>
      <w:r>
        <w:rPr>
          <w:color w:val="000000" w:themeColor="text1"/>
          <w:szCs w:val="32"/>
          <w14:textFill>
            <w14:solidFill>
              <w14:schemeClr w14:val="tx1"/>
            </w14:solidFill>
          </w14:textFill>
        </w:rPr>
        <w:t>202</w:t>
      </w:r>
      <w:r>
        <w:rPr>
          <w:rFonts w:hint="eastAsia"/>
          <w:color w:val="000000" w:themeColor="text1"/>
          <w:szCs w:val="32"/>
          <w:lang w:val="en-US" w:eastAsia="zh-CN"/>
          <w14:textFill>
            <w14:solidFill>
              <w14:schemeClr w14:val="tx1"/>
            </w14:solidFill>
          </w14:textFill>
        </w:rPr>
        <w:t>5</w:t>
      </w:r>
      <w:r>
        <w:rPr>
          <w:color w:val="000000" w:themeColor="text1"/>
          <w:szCs w:val="32"/>
          <w14:textFill>
            <w14:solidFill>
              <w14:schemeClr w14:val="tx1"/>
            </w14:solidFill>
          </w14:textFill>
        </w:rPr>
        <w:t>年我中心各科室按照预算</w:t>
      </w:r>
      <w:r>
        <w:rPr>
          <w:rFonts w:hAnsi="仿宋_GB2312"/>
          <w:color w:val="000000" w:themeColor="text1"/>
          <w:szCs w:val="32"/>
          <w14:textFill>
            <w14:solidFill>
              <w14:schemeClr w14:val="tx1"/>
            </w14:solidFill>
          </w14:textFill>
        </w:rPr>
        <w:t>做好成本控制，强化厉行节约意识，年度支出控制在规定范围内</w:t>
      </w:r>
      <w:r>
        <w:rPr>
          <w:rFonts w:hint="eastAsia" w:hAnsi="仿宋_GB2312"/>
          <w:color w:val="000000" w:themeColor="text1"/>
          <w:szCs w:val="32"/>
          <w:lang w:eastAsia="zh-CN"/>
          <w14:textFill>
            <w14:solidFill>
              <w14:schemeClr w14:val="tx1"/>
            </w14:solidFill>
          </w14:textFill>
        </w:rPr>
        <w:t>。</w:t>
      </w:r>
      <w:r>
        <w:rPr>
          <w:rFonts w:hAnsi="仿宋_GB2312"/>
          <w:color w:val="000000" w:themeColor="text1"/>
          <w:szCs w:val="32"/>
          <w14:textFill>
            <w14:solidFill>
              <w14:schemeClr w14:val="tx1"/>
            </w14:solidFill>
          </w14:textFill>
        </w:rPr>
        <w:t>对职责范围内的工作按照计划把握好时间进度</w:t>
      </w:r>
      <w:r>
        <w:rPr>
          <w:rFonts w:hint="eastAsia" w:hAnsi="仿宋_GB2312"/>
          <w:color w:val="000000" w:themeColor="text1"/>
          <w:szCs w:val="32"/>
          <w:lang w:eastAsia="zh-CN"/>
          <w14:textFill>
            <w14:solidFill>
              <w14:schemeClr w14:val="tx1"/>
            </w14:solidFill>
          </w14:textFill>
        </w:rPr>
        <w:t>，</w:t>
      </w:r>
      <w:r>
        <w:rPr>
          <w:rFonts w:hAnsi="仿宋_GB2312"/>
          <w:color w:val="000000" w:themeColor="text1"/>
          <w:szCs w:val="32"/>
          <w14:textFill>
            <w14:solidFill>
              <w14:schemeClr w14:val="tx1"/>
            </w14:solidFill>
          </w14:textFill>
        </w:rPr>
        <w:t>抓好质量监管，保证了工作效率</w:t>
      </w:r>
      <w:r>
        <w:rPr>
          <w:rFonts w:hint="eastAsia" w:hAnsi="仿宋_GB2312"/>
          <w:color w:val="000000" w:themeColor="text1"/>
          <w:szCs w:val="32"/>
          <w:lang w:eastAsia="zh-CN"/>
          <w14:textFill>
            <w14:solidFill>
              <w14:schemeClr w14:val="tx1"/>
            </w14:solidFill>
          </w14:textFill>
        </w:rPr>
        <w:t>。</w:t>
      </w:r>
      <w:r>
        <w:rPr>
          <w:rFonts w:hAnsi="仿宋_GB2312"/>
          <w:color w:val="000000" w:themeColor="text1"/>
          <w:szCs w:val="32"/>
          <w14:textFill>
            <w14:solidFill>
              <w14:schemeClr w14:val="tx1"/>
            </w14:solidFill>
          </w14:textFill>
        </w:rPr>
        <w:t>各项工作均有序推进，抓好落实，保证了专项资金的使用效果。</w:t>
      </w:r>
    </w:p>
    <w:p>
      <w:pPr>
        <w:spacing w:line="560" w:lineRule="exact"/>
        <w:ind w:firstLine="640" w:firstLineChars="200"/>
        <w:rPr>
          <w:rFonts w:eastAsia="仿宋_GB2312"/>
          <w:kern w:val="0"/>
          <w:sz w:val="32"/>
          <w:szCs w:val="32"/>
          <w:highlight w:val="none"/>
        </w:rPr>
      </w:pPr>
      <w:r>
        <w:rPr>
          <w:rFonts w:hint="eastAsia" w:eastAsia="仿宋_GB2312"/>
          <w:sz w:val="32"/>
          <w:szCs w:val="32"/>
        </w:rPr>
        <w:t>1.</w:t>
      </w:r>
      <w:r>
        <w:rPr>
          <w:rFonts w:eastAsia="仿宋_GB2312"/>
          <w:sz w:val="32"/>
          <w:szCs w:val="32"/>
        </w:rPr>
        <w:t>深入实施全民参保计划，确保 “应保尽保”。</w:t>
      </w:r>
      <w:bookmarkStart w:id="1" w:name="OLE_LINK1"/>
      <w:r>
        <w:rPr>
          <w:rFonts w:eastAsia="仿宋_GB2312"/>
          <w:kern w:val="0"/>
          <w:sz w:val="32"/>
          <w:szCs w:val="32"/>
        </w:rPr>
        <w:t>2025年城乡居民医疗保险参保总人数66.75万人，职工基本医疗保险参保人数43.0</w:t>
      </w:r>
      <w:r>
        <w:rPr>
          <w:rFonts w:hint="eastAsia"/>
          <w:kern w:val="0"/>
          <w:sz w:val="32"/>
          <w:szCs w:val="32"/>
          <w:lang w:val="en-US" w:eastAsia="zh-CN"/>
        </w:rPr>
        <w:t>5</w:t>
      </w:r>
      <w:r>
        <w:rPr>
          <w:rFonts w:eastAsia="仿宋_GB2312"/>
          <w:kern w:val="0"/>
          <w:sz w:val="32"/>
          <w:szCs w:val="32"/>
        </w:rPr>
        <w:t>万人。</w:t>
      </w:r>
      <w:r>
        <w:rPr>
          <w:rFonts w:eastAsia="仿宋_GB2312"/>
          <w:kern w:val="0"/>
          <w:sz w:val="32"/>
          <w:szCs w:val="32"/>
          <w:highlight w:val="none"/>
        </w:rPr>
        <w:t>基本医疗保险参保总人数109.</w:t>
      </w:r>
      <w:r>
        <w:rPr>
          <w:rFonts w:hint="eastAsia"/>
          <w:kern w:val="0"/>
          <w:sz w:val="32"/>
          <w:szCs w:val="32"/>
          <w:highlight w:val="none"/>
          <w:lang w:val="en-US" w:eastAsia="zh-CN"/>
        </w:rPr>
        <w:t>8</w:t>
      </w:r>
      <w:r>
        <w:rPr>
          <w:rFonts w:eastAsia="仿宋_GB2312"/>
          <w:kern w:val="0"/>
          <w:sz w:val="32"/>
          <w:szCs w:val="32"/>
          <w:highlight w:val="none"/>
        </w:rPr>
        <w:t>万人，完成省医保局下达参保目标任务110万人的99.81%。</w:t>
      </w:r>
    </w:p>
    <w:bookmarkEnd w:id="1"/>
    <w:p>
      <w:pPr>
        <w:spacing w:line="560" w:lineRule="exact"/>
        <w:ind w:firstLine="640" w:firstLineChars="200"/>
        <w:rPr>
          <w:rFonts w:eastAsia="仿宋_GB2312"/>
          <w:kern w:val="0"/>
          <w:sz w:val="32"/>
          <w:szCs w:val="32"/>
        </w:rPr>
      </w:pPr>
      <w:r>
        <w:rPr>
          <w:rFonts w:hint="eastAsia" w:eastAsia="仿宋_GB2312"/>
          <w:kern w:val="0"/>
          <w:sz w:val="32"/>
          <w:szCs w:val="32"/>
        </w:rPr>
        <w:t>2.</w:t>
      </w:r>
      <w:r>
        <w:rPr>
          <w:rFonts w:eastAsia="仿宋_GB2312"/>
          <w:kern w:val="0"/>
          <w:sz w:val="32"/>
          <w:szCs w:val="32"/>
        </w:rPr>
        <w:t>筹备长护险试点建设，织密民生保障安全网。2025年以来，多次到省医保局及有关部门汇报长护险建制筹备情况，起草修订长期护理保险实施相关制度，4次召开长期护理保险系列工作推进会，积极筹备攀枝花市长护险经办系列工作</w:t>
      </w:r>
      <w:r>
        <w:rPr>
          <w:rFonts w:hint="eastAsia" w:eastAsia="仿宋_GB2312"/>
          <w:kern w:val="0"/>
          <w:sz w:val="32"/>
          <w:szCs w:val="32"/>
        </w:rPr>
        <w:t>，</w:t>
      </w:r>
      <w:r>
        <w:rPr>
          <w:rFonts w:eastAsia="仿宋_GB2312"/>
          <w:kern w:val="0"/>
          <w:sz w:val="32"/>
          <w:szCs w:val="32"/>
        </w:rPr>
        <w:t>开展长护险评估机构、护理机构准入、护理人员资质、失能老人底数等方面的实地调研工作。</w:t>
      </w:r>
    </w:p>
    <w:p>
      <w:pPr>
        <w:spacing w:line="560" w:lineRule="exact"/>
        <w:ind w:firstLine="640" w:firstLineChars="200"/>
        <w:rPr>
          <w:rFonts w:eastAsia="仿宋_GB2312"/>
          <w:sz w:val="32"/>
          <w:szCs w:val="32"/>
        </w:rPr>
      </w:pPr>
      <w:r>
        <w:rPr>
          <w:rFonts w:hint="eastAsia" w:eastAsia="仿宋_GB2312"/>
          <w:bCs/>
          <w:sz w:val="32"/>
          <w:szCs w:val="32"/>
        </w:rPr>
        <w:t>3.</w:t>
      </w:r>
      <w:r>
        <w:rPr>
          <w:rFonts w:eastAsia="仿宋_GB2312"/>
          <w:bCs/>
          <w:sz w:val="32"/>
          <w:szCs w:val="32"/>
        </w:rPr>
        <w:t>持续打造DRG付费示范点，激发改革“新动能”。</w:t>
      </w:r>
      <w:r>
        <w:rPr>
          <w:rFonts w:eastAsia="仿宋_GB2312"/>
          <w:sz w:val="32"/>
          <w:szCs w:val="32"/>
        </w:rPr>
        <w:t>持续深化医保支付方式改革，印发严重精神障碍按床日标准付费、按中医疗效价值DRG付费、康复病组按价值付费等配套政策，夯实改革基础。按“月推送、季发布、专题分析”等形式常态化开展医保数据发布工作，并于今年3月、6月开展面对面数据发布活动。全面完成2024年终清算费用拨付工作，支付率达105%。</w:t>
      </w:r>
    </w:p>
    <w:p>
      <w:pPr>
        <w:adjustRightInd/>
        <w:snapToGrid/>
        <w:spacing w:line="560" w:lineRule="exact"/>
        <w:ind w:firstLine="640" w:firstLineChars="200"/>
        <w:rPr>
          <w:rFonts w:hint="eastAsia" w:eastAsia="仿宋_GB2312"/>
          <w:sz w:val="32"/>
          <w:szCs w:val="32"/>
        </w:rPr>
      </w:pPr>
      <w:r>
        <w:rPr>
          <w:rFonts w:hint="eastAsia" w:eastAsia="仿宋_GB2312"/>
          <w:sz w:val="32"/>
          <w:szCs w:val="32"/>
        </w:rPr>
        <w:t>4.</w:t>
      </w:r>
      <w:r>
        <w:rPr>
          <w:rFonts w:eastAsia="仿宋_GB2312"/>
          <w:bCs/>
          <w:sz w:val="32"/>
          <w:szCs w:val="32"/>
        </w:rPr>
        <w:t>筑牢内控防线，守护基金安全生命线。</w:t>
      </w:r>
      <w:r>
        <w:rPr>
          <w:rFonts w:hint="eastAsia"/>
          <w:sz w:val="32"/>
          <w:szCs w:val="32"/>
          <w:lang w:val="en-US" w:eastAsia="zh-CN"/>
        </w:rPr>
        <w:t>开展医疗救助第三方检查</w:t>
      </w:r>
      <w:r>
        <w:rPr>
          <w:rFonts w:eastAsia="仿宋_GB2312"/>
          <w:sz w:val="32"/>
          <w:szCs w:val="32"/>
        </w:rPr>
        <w:t>，</w:t>
      </w:r>
      <w:r>
        <w:rPr>
          <w:rFonts w:ascii="Times New Roman" w:hAnsi="Times New Roman" w:eastAsia="仿宋_GB2312" w:cs="Times New Roman"/>
          <w:color w:val="000000" w:themeColor="text1"/>
          <w:spacing w:val="2"/>
          <w:sz w:val="32"/>
          <w:szCs w:val="32"/>
          <w:shd w:val="clear" w:color="auto" w:fill="FFFFFF"/>
          <w14:textFill>
            <w14:solidFill>
              <w14:schemeClr w14:val="tx1"/>
            </w14:solidFill>
          </w14:textFill>
        </w:rPr>
        <w:t>进一步加强和规范我市医疗救助资金监督管理，防范化解风险，切实保障资金安全</w:t>
      </w:r>
      <w:r>
        <w:rPr>
          <w:rFonts w:hint="eastAsia" w:eastAsia="仿宋_GB2312"/>
          <w:sz w:val="32"/>
          <w:szCs w:val="32"/>
        </w:rPr>
        <w:t>。</w:t>
      </w:r>
    </w:p>
    <w:p>
      <w:pPr>
        <w:adjustRightInd w:val="0"/>
        <w:snapToGrid w:val="0"/>
        <w:spacing w:line="560" w:lineRule="exact"/>
        <w:ind w:firstLine="640" w:firstLineChars="200"/>
        <w:rPr>
          <w:rFonts w:eastAsia="仿宋_GB2312"/>
          <w:sz w:val="32"/>
          <w:szCs w:val="32"/>
        </w:rPr>
      </w:pPr>
      <w:r>
        <w:rPr>
          <w:rFonts w:hint="eastAsia"/>
          <w:sz w:val="32"/>
          <w:szCs w:val="32"/>
          <w:lang w:val="en-US" w:eastAsia="zh-CN"/>
        </w:rPr>
        <w:t>5</w:t>
      </w:r>
      <w:r>
        <w:rPr>
          <w:rFonts w:hint="eastAsia" w:eastAsia="仿宋_GB2312"/>
          <w:sz w:val="32"/>
          <w:szCs w:val="32"/>
        </w:rPr>
        <w:t>.</w:t>
      </w:r>
      <w:r>
        <w:rPr>
          <w:rFonts w:eastAsia="仿宋_GB2312"/>
          <w:sz w:val="32"/>
          <w:szCs w:val="32"/>
        </w:rPr>
        <w:t>严格落实“承诺即准入”机制，</w:t>
      </w:r>
      <w:r>
        <w:rPr>
          <w:rFonts w:hint="eastAsia" w:eastAsia="仿宋_GB2312"/>
          <w:sz w:val="32"/>
          <w:szCs w:val="32"/>
        </w:rPr>
        <w:t>完成承诺书签订。2025年</w:t>
      </w:r>
      <w:r>
        <w:rPr>
          <w:rFonts w:hint="eastAsia"/>
          <w:sz w:val="32"/>
          <w:szCs w:val="32"/>
          <w:lang w:val="en-US" w:eastAsia="zh-CN"/>
        </w:rPr>
        <w:t>完成</w:t>
      </w:r>
      <w:r>
        <w:rPr>
          <w:rFonts w:eastAsia="仿宋_GB2312"/>
          <w:sz w:val="32"/>
          <w:szCs w:val="32"/>
        </w:rPr>
        <w:t>全市742家定点医药机构医疗机构临床医师、护理人员、医技人员及药店执业药师等关键岗位从业人员签订承诺书，签订率达99.65%，其中全市药店负责人和药师签订率100%。</w:t>
      </w:r>
    </w:p>
    <w:p>
      <w:pPr>
        <w:adjustRightInd w:val="0"/>
        <w:snapToGrid w:val="0"/>
        <w:spacing w:line="560" w:lineRule="exact"/>
        <w:ind w:firstLine="640" w:firstLineChars="200"/>
        <w:rPr>
          <w:rFonts w:eastAsia="仿宋_GB2312"/>
          <w:color w:val="000000"/>
          <w:sz w:val="32"/>
          <w:szCs w:val="32"/>
        </w:rPr>
      </w:pPr>
      <w:r>
        <w:rPr>
          <w:rFonts w:hint="eastAsia"/>
          <w:bCs/>
          <w:sz w:val="32"/>
          <w:szCs w:val="32"/>
          <w:lang w:val="en-US" w:eastAsia="zh-CN"/>
        </w:rPr>
        <w:t>6</w:t>
      </w:r>
      <w:r>
        <w:rPr>
          <w:rFonts w:hint="eastAsia" w:eastAsia="仿宋_GB2312"/>
          <w:bCs/>
          <w:sz w:val="32"/>
          <w:szCs w:val="32"/>
        </w:rPr>
        <w:t>.</w:t>
      </w:r>
      <w:r>
        <w:rPr>
          <w:rFonts w:eastAsia="仿宋_GB2312"/>
          <w:bCs/>
          <w:sz w:val="32"/>
          <w:szCs w:val="32"/>
        </w:rPr>
        <w:t>深耕异地就医结算，破解群众“就医难”。</w:t>
      </w:r>
      <w:r>
        <w:rPr>
          <w:rFonts w:eastAsia="仿宋_GB2312"/>
          <w:color w:val="000000"/>
          <w:sz w:val="32"/>
          <w:szCs w:val="32"/>
        </w:rPr>
        <w:t>持续扩大异地就医定点医药机构，为符合条件的医药机构开通异地就医结算。</w:t>
      </w:r>
      <w:r>
        <w:rPr>
          <w:rFonts w:eastAsia="仿宋_GB2312"/>
          <w:kern w:val="0"/>
          <w:sz w:val="32"/>
          <w:szCs w:val="32"/>
        </w:rPr>
        <w:t>截至2025年</w:t>
      </w:r>
      <w:r>
        <w:rPr>
          <w:rFonts w:hint="eastAsia" w:eastAsia="仿宋_GB2312"/>
          <w:kern w:val="0"/>
          <w:sz w:val="32"/>
          <w:szCs w:val="32"/>
        </w:rPr>
        <w:t>12月</w:t>
      </w:r>
      <w:r>
        <w:rPr>
          <w:rFonts w:eastAsia="仿宋_GB2312"/>
          <w:kern w:val="0"/>
          <w:sz w:val="32"/>
          <w:szCs w:val="32"/>
        </w:rPr>
        <w:t>底</w:t>
      </w:r>
      <w:r>
        <w:rPr>
          <w:rFonts w:eastAsia="仿宋_GB2312"/>
          <w:color w:val="000000"/>
          <w:sz w:val="32"/>
          <w:szCs w:val="32"/>
        </w:rPr>
        <w:t>，全市共有740家定点医药机构，接入省级平台医疗机构153家、药店580家，开通率99.05%；接入国家平台医疗机构50家、药店573家，开通率85.27%，其中开通住院联网结算医疗机构47家，开通5个门特病种结算医疗机构31家，开通10个门特病种结算医疗机构8家，达到市、县（区）全覆盖。</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highlight w:val="none"/>
          <w:lang w:val="zh-CN"/>
        </w:rPr>
      </w:pPr>
      <w:r>
        <w:rPr>
          <w:rFonts w:hint="eastAsia"/>
          <w:bCs/>
          <w:sz w:val="32"/>
          <w:szCs w:val="32"/>
          <w:lang w:val="en-US" w:eastAsia="zh-CN"/>
        </w:rPr>
        <w:t>7.</w:t>
      </w:r>
      <w:r>
        <w:rPr>
          <w:rFonts w:eastAsia="仿宋_GB2312"/>
          <w:bCs/>
          <w:sz w:val="32"/>
          <w:szCs w:val="32"/>
        </w:rPr>
        <w:t>坚持动态优化，深化医疗服务价格改革。</w:t>
      </w:r>
      <w:r>
        <w:rPr>
          <w:rFonts w:eastAsia="仿宋_GB2312"/>
          <w:sz w:val="32"/>
          <w:szCs w:val="32"/>
        </w:rPr>
        <w:t>开展全市定点医药机构2024年度考评工作，完成全市710家定点医药机构综合考核评价工作</w:t>
      </w:r>
      <w:r>
        <w:rPr>
          <w:rFonts w:hint="eastAsia" w:eastAsia="仿宋_GB2312"/>
          <w:sz w:val="32"/>
          <w:szCs w:val="32"/>
        </w:rPr>
        <w:t>，</w:t>
      </w:r>
      <w:r>
        <w:rPr>
          <w:rFonts w:eastAsia="仿宋_GB2312"/>
          <w:sz w:val="32"/>
          <w:szCs w:val="32"/>
        </w:rPr>
        <w:t>“以考促改”推动定点医药机构服务提质增效。</w:t>
      </w:r>
    </w:p>
    <w:p>
      <w:pPr>
        <w:widowControl/>
        <w:numPr>
          <w:ilvl w:val="0"/>
          <w:numId w:val="0"/>
        </w:numPr>
        <w:adjustRightInd w:val="0"/>
        <w:snapToGrid w:val="0"/>
        <w:spacing w:line="578" w:lineRule="exact"/>
        <w:ind w:leftChars="200"/>
        <w:contextualSpacing/>
        <w:jc w:val="left"/>
        <w:rPr>
          <w:bCs/>
          <w:color w:val="000000"/>
          <w:kern w:val="0"/>
          <w:szCs w:val="32"/>
          <w:highlight w:val="none"/>
          <w:shd w:val="clear" w:color="auto" w:fill="FFFFFF"/>
        </w:rPr>
      </w:pPr>
      <w:r>
        <w:rPr>
          <w:rFonts w:hint="eastAsia" w:eastAsia="楷体_GB2312"/>
          <w:b w:val="0"/>
          <w:bCs/>
          <w:szCs w:val="32"/>
          <w:highlight w:val="none"/>
          <w:lang w:eastAsia="zh-CN"/>
        </w:rPr>
        <w:t>（三）</w:t>
      </w:r>
      <w:r>
        <w:rPr>
          <w:rFonts w:eastAsia="楷体_GB2312"/>
          <w:b w:val="0"/>
          <w:bCs/>
          <w:szCs w:val="32"/>
          <w:highlight w:val="none"/>
        </w:rPr>
        <w:t>结余分配和结转结余情况。</w:t>
      </w:r>
    </w:p>
    <w:p>
      <w:pPr>
        <w:widowControl/>
        <w:numPr>
          <w:ilvl w:val="0"/>
          <w:numId w:val="0"/>
        </w:numPr>
        <w:adjustRightInd w:val="0"/>
        <w:snapToGrid w:val="0"/>
        <w:spacing w:line="578" w:lineRule="exact"/>
        <w:ind w:leftChars="200"/>
        <w:contextualSpacing/>
        <w:jc w:val="left"/>
        <w:rPr>
          <w:rFonts w:hint="eastAsia" w:eastAsia="仿宋_GB2312"/>
          <w:color w:val="000000"/>
          <w:kern w:val="0"/>
          <w:szCs w:val="32"/>
          <w:highlight w:val="yellow"/>
          <w:shd w:val="clear" w:color="auto" w:fill="FFFFFF"/>
          <w:lang w:val="zh-CN" w:eastAsia="zh-CN"/>
        </w:rPr>
      </w:pPr>
      <w:r>
        <w:rPr>
          <w:rFonts w:hint="eastAsia" w:ascii="Times New Roman" w:hAnsi="Times New Roman" w:cs="Times New Roman"/>
          <w:sz w:val="32"/>
          <w:szCs w:val="32"/>
          <w:lang w:eastAsia="zh-CN"/>
        </w:rPr>
        <w:t>市</w:t>
      </w:r>
      <w:r>
        <w:rPr>
          <w:rFonts w:hint="eastAsia" w:cs="Times New Roman"/>
          <w:sz w:val="32"/>
          <w:szCs w:val="32"/>
          <w:lang w:eastAsia="zh-CN"/>
        </w:rPr>
        <w:t>医保</w:t>
      </w:r>
      <w:r>
        <w:rPr>
          <w:rFonts w:hint="eastAsia" w:ascii="Times New Roman" w:hAnsi="Times New Roman" w:cs="Times New Roman"/>
          <w:sz w:val="32"/>
          <w:szCs w:val="32"/>
          <w:lang w:eastAsia="zh-CN"/>
        </w:rPr>
        <w:t>事务中心</w:t>
      </w:r>
      <w:r>
        <w:rPr>
          <w:szCs w:val="32"/>
        </w:rPr>
        <w:t>202</w:t>
      </w:r>
      <w:r>
        <w:rPr>
          <w:rFonts w:hint="eastAsia" w:ascii="Times New Roman" w:eastAsia="仿宋_GB2312"/>
          <w:szCs w:val="32"/>
          <w:lang w:val="en-US" w:eastAsia="zh-CN"/>
        </w:rPr>
        <w:t>5</w:t>
      </w:r>
      <w:r>
        <w:rPr>
          <w:szCs w:val="32"/>
        </w:rPr>
        <w:t>年</w:t>
      </w:r>
      <w:r>
        <w:rPr>
          <w:szCs w:val="32"/>
          <w:highlight w:val="none"/>
        </w:rPr>
        <w:t>决算报表</w:t>
      </w:r>
      <w:r>
        <w:rPr>
          <w:rFonts w:hint="eastAsia" w:eastAsia="仿宋_GB2312"/>
          <w:szCs w:val="32"/>
          <w:highlight w:val="none"/>
          <w:lang w:eastAsia="zh-CN"/>
        </w:rPr>
        <w:t>中无</w:t>
      </w:r>
      <w:r>
        <w:rPr>
          <w:color w:val="000000"/>
          <w:kern w:val="0"/>
          <w:szCs w:val="32"/>
          <w:highlight w:val="none"/>
          <w:shd w:val="clear" w:color="auto" w:fill="FFFFFF"/>
        </w:rPr>
        <w:t>结转结余</w:t>
      </w:r>
      <w:r>
        <w:rPr>
          <w:rFonts w:hint="eastAsia"/>
          <w:color w:val="000000"/>
          <w:kern w:val="0"/>
          <w:szCs w:val="32"/>
          <w:shd w:val="clear" w:color="auto" w:fill="FFFFFF"/>
          <w:lang w:eastAsia="zh-CN"/>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三、部门预算绩效分析</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color w:val="000000"/>
          <w:kern w:val="0"/>
          <w:szCs w:val="32"/>
          <w:shd w:val="clear" w:color="auto" w:fill="FFFFFF"/>
          <w:lang w:val="zh-CN"/>
        </w:rPr>
      </w:pPr>
      <w:r>
        <w:rPr>
          <w:rFonts w:eastAsia="楷体_GB2312"/>
          <w:b w:val="0"/>
          <w:bCs w:val="0"/>
          <w:color w:val="000000"/>
          <w:kern w:val="0"/>
          <w:szCs w:val="32"/>
          <w:shd w:val="clear" w:color="auto" w:fill="FFFFFF"/>
          <w:lang w:val="zh-CN"/>
        </w:rPr>
        <w:t>（一）部门预算总体绩效分析。</w:t>
      </w:r>
    </w:p>
    <w:p>
      <w:pPr>
        <w:adjustRightInd w:val="0"/>
        <w:snapToGrid w:val="0"/>
        <w:spacing w:line="560" w:lineRule="exact"/>
        <w:ind w:firstLine="640" w:firstLineChars="200"/>
        <w:contextualSpacing/>
        <w:jc w:val="left"/>
        <w:outlineLvl w:val="9"/>
        <w:rPr>
          <w:rFonts w:hint="default" w:ascii="Times New Roman" w:hAnsi="Times New Roman" w:eastAsia="仿宋_GB2312" w:cs="Times New Roman"/>
          <w:sz w:val="32"/>
          <w:szCs w:val="32"/>
          <w:highlight w:val="none"/>
          <w:lang w:val="en-US" w:eastAsia="zh-CN"/>
        </w:rPr>
      </w:pPr>
      <w:r>
        <w:rPr>
          <w:rFonts w:eastAsia="楷体_GB2312"/>
          <w:color w:val="000000"/>
          <w:kern w:val="0"/>
          <w:szCs w:val="32"/>
          <w:highlight w:val="none"/>
          <w:shd w:val="clear" w:color="auto" w:fill="FFFFFF"/>
        </w:rPr>
        <w:t>1.</w:t>
      </w:r>
      <w:r>
        <w:rPr>
          <w:rFonts w:eastAsia="楷体_GB2312"/>
          <w:color w:val="000000"/>
          <w:kern w:val="0"/>
          <w:szCs w:val="32"/>
          <w:highlight w:val="none"/>
          <w:shd w:val="clear" w:color="auto" w:fill="FFFFFF"/>
          <w:lang w:val="zh-CN"/>
        </w:rPr>
        <w:t>履职效能。</w:t>
      </w:r>
      <w:r>
        <w:rPr>
          <w:rFonts w:hint="default" w:ascii="Times New Roman" w:hAnsi="Times New Roman" w:eastAsia="仿宋_GB2312" w:cs="Times New Roman"/>
          <w:color w:val="000000"/>
          <w:kern w:val="0"/>
          <w:szCs w:val="32"/>
          <w:shd w:val="clear" w:color="auto" w:fill="FFFFFF"/>
          <w:lang w:val="zh-CN"/>
        </w:rPr>
        <w:t>总分15分，</w:t>
      </w:r>
      <w:r>
        <w:rPr>
          <w:rFonts w:hint="eastAsia"/>
          <w:color w:val="000000"/>
          <w:kern w:val="0"/>
          <w:szCs w:val="32"/>
          <w:shd w:val="clear" w:color="auto" w:fill="FFFFFF"/>
          <w:lang w:val="zh-CN"/>
        </w:rPr>
        <w:t>自评</w:t>
      </w:r>
      <w:r>
        <w:rPr>
          <w:color w:val="000000"/>
          <w:kern w:val="0"/>
          <w:szCs w:val="32"/>
          <w:shd w:val="clear" w:color="auto" w:fill="FFFFFF"/>
          <w:lang w:val="zh-CN"/>
        </w:rPr>
        <w:t>得分</w:t>
      </w:r>
      <w:r>
        <w:rPr>
          <w:rFonts w:hint="eastAsia"/>
          <w:color w:val="000000"/>
          <w:kern w:val="0"/>
          <w:szCs w:val="32"/>
          <w:shd w:val="clear" w:color="auto" w:fill="FFFFFF"/>
          <w:lang w:val="zh-CN"/>
        </w:rPr>
        <w:t>15</w:t>
      </w:r>
      <w:r>
        <w:rPr>
          <w:rFonts w:hint="eastAsia"/>
          <w:color w:val="000000"/>
          <w:kern w:val="0"/>
          <w:szCs w:val="32"/>
          <w:shd w:val="clear" w:color="auto" w:fill="FFFFFF"/>
          <w:lang w:val="en-US" w:eastAsia="zh-CN"/>
        </w:rPr>
        <w:t>.00</w:t>
      </w:r>
      <w:r>
        <w:rPr>
          <w:rFonts w:hint="eastAsia"/>
          <w:color w:val="000000"/>
          <w:kern w:val="0"/>
          <w:szCs w:val="32"/>
          <w:shd w:val="clear" w:color="auto" w:fill="FFFFFF"/>
          <w:lang w:val="zh-CN"/>
        </w:rPr>
        <w:t>分，（1）我</w:t>
      </w:r>
      <w:r>
        <w:rPr>
          <w:rFonts w:hint="eastAsia"/>
          <w:color w:val="000000"/>
          <w:kern w:val="0"/>
          <w:szCs w:val="32"/>
          <w:shd w:val="clear" w:color="auto" w:fill="FFFFFF"/>
          <w:lang w:val="en-US" w:eastAsia="zh-CN"/>
        </w:rPr>
        <w:t>中心</w:t>
      </w:r>
      <w:r>
        <w:rPr>
          <w:rFonts w:hint="eastAsia"/>
          <w:color w:val="000000"/>
          <w:kern w:val="0"/>
          <w:szCs w:val="32"/>
          <w:shd w:val="clear" w:color="auto" w:fill="FFFFFF"/>
          <w:lang w:val="zh-CN"/>
        </w:rPr>
        <w:t>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年人员工资正常发放，保障了医保工作人员正常履职，机构</w:t>
      </w:r>
      <w:r>
        <w:rPr>
          <w:rFonts w:hint="eastAsia"/>
          <w:color w:val="000000"/>
          <w:kern w:val="0"/>
          <w:szCs w:val="32"/>
          <w:shd w:val="clear" w:color="auto" w:fill="FFFFFF"/>
          <w:lang w:val="en-US" w:eastAsia="zh-CN"/>
        </w:rPr>
        <w:t>日常</w:t>
      </w:r>
      <w:r>
        <w:rPr>
          <w:rFonts w:hint="eastAsia"/>
          <w:color w:val="000000"/>
          <w:kern w:val="0"/>
          <w:szCs w:val="32"/>
          <w:shd w:val="clear" w:color="auto" w:fill="FFFFFF"/>
          <w:lang w:val="zh-CN"/>
        </w:rPr>
        <w:t>运转。（2）</w:t>
      </w:r>
      <w:r>
        <w:rPr>
          <w:rFonts w:hint="eastAsia"/>
          <w:color w:val="000000"/>
          <w:kern w:val="0"/>
          <w:szCs w:val="32"/>
          <w:shd w:val="clear" w:color="auto" w:fill="FFFFFF"/>
          <w:lang w:val="en-US" w:eastAsia="zh-CN"/>
        </w:rPr>
        <w:t>采取线上宣传、线下政策推广等方式，有序推进2026年度城乡居民基本医疗保险参保工作。</w:t>
      </w:r>
      <w:r>
        <w:rPr>
          <w:rFonts w:hint="eastAsia"/>
          <w:color w:val="000000"/>
          <w:kern w:val="0"/>
          <w:szCs w:val="32"/>
          <w:shd w:val="clear" w:color="auto" w:fill="FFFFFF"/>
          <w:lang w:val="zh-CN"/>
        </w:rPr>
        <w:t>（3）</w:t>
      </w:r>
      <w:r>
        <w:rPr>
          <w:rFonts w:hint="eastAsia"/>
          <w:color w:val="000000"/>
          <w:kern w:val="0"/>
          <w:szCs w:val="32"/>
          <w:shd w:val="clear" w:color="auto" w:fill="FFFFFF"/>
          <w:lang w:val="en-US" w:eastAsia="zh-CN"/>
        </w:rPr>
        <w:t>加大定点医药机构监管力度，</w:t>
      </w:r>
      <w:r>
        <w:rPr>
          <w:bCs/>
          <w:snapToGrid w:val="0"/>
          <w:szCs w:val="32"/>
        </w:rPr>
        <w:t>查处定点医药机构</w:t>
      </w:r>
      <w:r>
        <w:rPr>
          <w:rFonts w:hint="eastAsia"/>
          <w:bCs/>
          <w:snapToGrid w:val="0"/>
          <w:szCs w:val="32"/>
          <w:lang w:val="en-US" w:eastAsia="zh-CN"/>
        </w:rPr>
        <w:t>违规违纪情况，确保医保基金安全。</w:t>
      </w:r>
    </w:p>
    <w:p>
      <w:pPr>
        <w:adjustRightInd w:val="0"/>
        <w:snapToGrid w:val="0"/>
        <w:spacing w:line="560" w:lineRule="exact"/>
        <w:ind w:firstLine="640" w:firstLineChars="200"/>
        <w:contextualSpacing/>
        <w:jc w:val="left"/>
        <w:rPr>
          <w:rFonts w:hint="eastAsia" w:cs="Times New Roman"/>
          <w:color w:val="000000"/>
          <w:kern w:val="0"/>
          <w:szCs w:val="32"/>
          <w:shd w:val="clear" w:color="auto" w:fill="FFFFFF"/>
          <w:lang w:val="zh-CN" w:eastAsia="zh-CN"/>
        </w:rPr>
      </w:pPr>
      <w:r>
        <w:rPr>
          <w:rFonts w:eastAsia="楷体_GB2312"/>
          <w:color w:val="000000"/>
          <w:kern w:val="0"/>
          <w:szCs w:val="32"/>
          <w:highlight w:val="none"/>
          <w:shd w:val="clear" w:color="auto" w:fill="FFFFFF"/>
        </w:rPr>
        <w:t>2.</w:t>
      </w:r>
      <w:r>
        <w:rPr>
          <w:rFonts w:eastAsia="楷体_GB2312"/>
          <w:color w:val="000000"/>
          <w:kern w:val="0"/>
          <w:szCs w:val="32"/>
          <w:highlight w:val="none"/>
          <w:shd w:val="clear" w:color="auto" w:fill="FFFFFF"/>
          <w:lang w:val="zh-CN"/>
        </w:rPr>
        <w:t>预算管理。</w:t>
      </w:r>
      <w:r>
        <w:rPr>
          <w:color w:val="000000"/>
          <w:kern w:val="0"/>
          <w:szCs w:val="32"/>
          <w:highlight w:val="none"/>
          <w:shd w:val="clear" w:color="auto" w:fill="FFFFFF"/>
          <w:lang w:val="zh-CN"/>
        </w:rPr>
        <w:t>总分</w:t>
      </w:r>
      <w:r>
        <w:rPr>
          <w:rFonts w:hint="eastAsia"/>
          <w:color w:val="000000"/>
          <w:kern w:val="0"/>
          <w:szCs w:val="32"/>
          <w:highlight w:val="none"/>
          <w:shd w:val="clear" w:color="auto" w:fill="FFFFFF"/>
          <w:lang w:val="en-US" w:eastAsia="zh-CN"/>
        </w:rPr>
        <w:t>23</w:t>
      </w:r>
      <w:r>
        <w:rPr>
          <w:rFonts w:hint="eastAsia"/>
          <w:color w:val="000000"/>
          <w:kern w:val="0"/>
          <w:szCs w:val="32"/>
          <w:highlight w:val="none"/>
          <w:shd w:val="clear" w:color="auto" w:fill="FFFFFF"/>
          <w:lang w:val="zh-CN"/>
        </w:rPr>
        <w:t>分，</w:t>
      </w:r>
      <w:r>
        <w:rPr>
          <w:color w:val="000000"/>
          <w:kern w:val="0"/>
          <w:szCs w:val="32"/>
          <w:highlight w:val="none"/>
          <w:shd w:val="clear" w:color="auto" w:fill="FFFFFF"/>
          <w:lang w:val="zh-CN"/>
        </w:rPr>
        <w:t>自评得分</w:t>
      </w:r>
      <w:r>
        <w:rPr>
          <w:rFonts w:hint="eastAsia"/>
          <w:color w:val="000000"/>
          <w:kern w:val="0"/>
          <w:szCs w:val="32"/>
          <w:highlight w:val="none"/>
          <w:shd w:val="clear" w:color="auto" w:fill="FFFFFF"/>
          <w:lang w:val="en-US" w:eastAsia="zh-CN"/>
        </w:rPr>
        <w:t>19.86</w:t>
      </w:r>
      <w:r>
        <w:rPr>
          <w:rFonts w:hint="eastAsia"/>
          <w:color w:val="000000"/>
          <w:kern w:val="0"/>
          <w:szCs w:val="32"/>
          <w:highlight w:val="none"/>
          <w:shd w:val="clear" w:color="auto" w:fill="FFFFFF"/>
          <w:lang w:val="zh-CN"/>
        </w:rPr>
        <w:t>分。</w:t>
      </w:r>
      <w:r>
        <w:rPr>
          <w:rFonts w:hint="eastAsia"/>
          <w:color w:val="000000"/>
          <w:kern w:val="0"/>
          <w:szCs w:val="32"/>
          <w:shd w:val="clear" w:color="auto" w:fill="FFFFFF"/>
          <w:lang w:val="zh-CN"/>
        </w:rPr>
        <w:t>其中：（1）</w:t>
      </w:r>
      <w:r>
        <w:rPr>
          <w:color w:val="000000"/>
          <w:kern w:val="0"/>
          <w:szCs w:val="32"/>
          <w:shd w:val="clear" w:color="auto" w:fill="FFFFFF"/>
          <w:lang w:val="zh-CN"/>
        </w:rPr>
        <w:t>预算编制质量总分</w:t>
      </w:r>
      <w:r>
        <w:rPr>
          <w:rFonts w:hint="eastAsia"/>
          <w:color w:val="000000"/>
          <w:kern w:val="0"/>
          <w:szCs w:val="32"/>
          <w:shd w:val="clear" w:color="auto" w:fill="FFFFFF"/>
          <w:lang w:val="zh-CN"/>
        </w:rPr>
        <w:t>8分，</w:t>
      </w:r>
      <w:r>
        <w:rPr>
          <w:color w:val="000000"/>
          <w:kern w:val="0"/>
          <w:szCs w:val="32"/>
          <w:shd w:val="clear" w:color="auto" w:fill="FFFFFF"/>
          <w:lang w:val="zh-CN"/>
        </w:rPr>
        <w:t>自评得</w:t>
      </w:r>
      <w:r>
        <w:rPr>
          <w:color w:val="000000"/>
          <w:kern w:val="0"/>
          <w:szCs w:val="32"/>
          <w:highlight w:val="none"/>
          <w:shd w:val="clear" w:color="auto" w:fill="FFFFFF"/>
          <w:lang w:val="zh-CN"/>
        </w:rPr>
        <w:t>分</w:t>
      </w:r>
      <w:r>
        <w:rPr>
          <w:rFonts w:hint="eastAsia"/>
          <w:color w:val="000000"/>
          <w:kern w:val="0"/>
          <w:szCs w:val="32"/>
          <w:highlight w:val="none"/>
          <w:shd w:val="clear" w:color="auto" w:fill="FFFFFF"/>
          <w:lang w:val="en-US" w:eastAsia="zh-CN"/>
        </w:rPr>
        <w:t>8</w:t>
      </w:r>
      <w:r>
        <w:rPr>
          <w:rFonts w:hint="eastAsia"/>
          <w:color w:val="000000"/>
          <w:kern w:val="0"/>
          <w:szCs w:val="32"/>
          <w:highlight w:val="none"/>
          <w:shd w:val="clear" w:color="auto" w:fill="FFFFFF"/>
          <w:lang w:val="zh-CN"/>
        </w:rPr>
        <w:t>分。</w:t>
      </w:r>
      <w:r>
        <w:rPr>
          <w:rFonts w:hint="eastAsia"/>
          <w:color w:val="000000"/>
          <w:kern w:val="0"/>
          <w:szCs w:val="32"/>
          <w:shd w:val="clear" w:color="auto" w:fill="FFFFFF"/>
          <w:lang w:val="zh-CN"/>
        </w:rPr>
        <w:t>严格按要求编制年初预算</w:t>
      </w:r>
      <w:r>
        <w:rPr>
          <w:rFonts w:hint="eastAsia"/>
          <w:color w:val="000000"/>
          <w:kern w:val="0"/>
          <w:szCs w:val="32"/>
          <w:shd w:val="clear" w:color="auto" w:fill="FFFFFF"/>
          <w:lang w:val="en-US" w:eastAsia="zh-CN"/>
        </w:rPr>
        <w:t>、年中追加项目预算，并按规定严格执行资金支付，无超预算</w:t>
      </w:r>
      <w:r>
        <w:rPr>
          <w:rFonts w:hint="eastAsia"/>
          <w:color w:val="000000"/>
          <w:kern w:val="0"/>
          <w:szCs w:val="32"/>
          <w:shd w:val="clear" w:color="auto" w:fill="FFFFFF"/>
          <w:lang w:val="zh-CN"/>
        </w:rPr>
        <w:t>的</w:t>
      </w:r>
      <w:r>
        <w:rPr>
          <w:rFonts w:hint="eastAsia"/>
          <w:color w:val="000000"/>
          <w:kern w:val="0"/>
          <w:szCs w:val="32"/>
          <w:shd w:val="clear" w:color="auto" w:fill="FFFFFF"/>
          <w:lang w:val="en-US" w:eastAsia="zh-CN"/>
        </w:rPr>
        <w:t>情况</w:t>
      </w:r>
      <w:r>
        <w:rPr>
          <w:rFonts w:hint="eastAsia"/>
          <w:color w:val="000000"/>
          <w:kern w:val="0"/>
          <w:szCs w:val="32"/>
          <w:shd w:val="clear" w:color="auto" w:fill="FFFFFF"/>
          <w:lang w:val="zh-CN"/>
        </w:rPr>
        <w:t>。（</w:t>
      </w:r>
      <w:r>
        <w:rPr>
          <w:rFonts w:hint="eastAsia"/>
          <w:color w:val="000000"/>
          <w:kern w:val="0"/>
          <w:szCs w:val="32"/>
          <w:shd w:val="clear" w:color="auto" w:fill="FFFFFF"/>
          <w:lang w:val="en-US" w:eastAsia="zh-CN"/>
        </w:rPr>
        <w:t>2</w:t>
      </w:r>
      <w:r>
        <w:rPr>
          <w:rFonts w:hint="eastAsia"/>
          <w:color w:val="000000"/>
          <w:kern w:val="0"/>
          <w:szCs w:val="32"/>
          <w:shd w:val="clear" w:color="auto" w:fill="FFFFFF"/>
          <w:lang w:val="zh-CN"/>
        </w:rPr>
        <w:t>）</w:t>
      </w:r>
      <w:r>
        <w:rPr>
          <w:color w:val="000000"/>
          <w:kern w:val="0"/>
          <w:szCs w:val="32"/>
          <w:shd w:val="clear" w:color="auto" w:fill="FFFFFF"/>
          <w:lang w:val="zh-CN"/>
        </w:rPr>
        <w:t>支出执行进度总分</w:t>
      </w:r>
      <w:r>
        <w:rPr>
          <w:rFonts w:hint="eastAsia"/>
          <w:color w:val="000000"/>
          <w:kern w:val="0"/>
          <w:szCs w:val="32"/>
          <w:shd w:val="clear" w:color="auto" w:fill="FFFFFF"/>
          <w:lang w:val="zh-CN"/>
        </w:rPr>
        <w:t>6分，自评得分5.</w:t>
      </w:r>
      <w:r>
        <w:rPr>
          <w:rFonts w:hint="eastAsia"/>
          <w:color w:val="000000"/>
          <w:kern w:val="0"/>
          <w:szCs w:val="32"/>
          <w:shd w:val="clear" w:color="auto" w:fill="FFFFFF"/>
          <w:lang w:val="en-US" w:eastAsia="zh-CN"/>
        </w:rPr>
        <w:t>89</w:t>
      </w:r>
      <w:r>
        <w:rPr>
          <w:rFonts w:hint="eastAsia"/>
          <w:color w:val="000000"/>
          <w:kern w:val="0"/>
          <w:szCs w:val="32"/>
          <w:shd w:val="clear" w:color="auto" w:fill="FFFFFF"/>
          <w:lang w:val="zh-CN"/>
        </w:rPr>
        <w:t>分，</w:t>
      </w:r>
      <w:r>
        <w:rPr>
          <w:rFonts w:hint="eastAsia"/>
          <w:color w:val="000000"/>
          <w:kern w:val="0"/>
          <w:szCs w:val="32"/>
          <w:shd w:val="clear" w:color="auto" w:fill="FFFFFF"/>
          <w:lang w:val="en-US" w:eastAsia="zh-CN"/>
        </w:rPr>
        <w:t>该项指标根据预算绩效评价指标1至6月、1至10月预算执行情况计算</w:t>
      </w:r>
      <w:r>
        <w:t>。</w:t>
      </w:r>
      <w:r>
        <w:rPr>
          <w:rFonts w:hint="eastAsia"/>
          <w:color w:val="000000"/>
          <w:kern w:val="0"/>
          <w:szCs w:val="32"/>
          <w:shd w:val="clear" w:color="auto" w:fill="FFFFFF"/>
          <w:lang w:val="zh-CN"/>
        </w:rPr>
        <w:t>（</w:t>
      </w:r>
      <w:r>
        <w:rPr>
          <w:rFonts w:hint="eastAsia"/>
          <w:color w:val="000000"/>
          <w:kern w:val="0"/>
          <w:szCs w:val="32"/>
          <w:shd w:val="clear" w:color="auto" w:fill="FFFFFF"/>
          <w:lang w:val="en-US" w:eastAsia="zh-CN"/>
        </w:rPr>
        <w:t>3</w:t>
      </w:r>
      <w:r>
        <w:rPr>
          <w:rFonts w:hint="eastAsia"/>
          <w:color w:val="000000"/>
          <w:kern w:val="0"/>
          <w:szCs w:val="32"/>
          <w:shd w:val="clear" w:color="auto" w:fill="FFFFFF"/>
          <w:lang w:val="zh-CN"/>
        </w:rPr>
        <w:t>）</w:t>
      </w:r>
      <w:r>
        <w:rPr>
          <w:color w:val="000000"/>
          <w:kern w:val="0"/>
          <w:szCs w:val="32"/>
          <w:shd w:val="clear" w:color="auto" w:fill="FFFFFF"/>
          <w:lang w:val="zh-CN"/>
        </w:rPr>
        <w:t>预算年终结余总分</w:t>
      </w:r>
      <w:r>
        <w:rPr>
          <w:rFonts w:hint="eastAsia"/>
          <w:color w:val="000000"/>
          <w:kern w:val="0"/>
          <w:szCs w:val="32"/>
          <w:shd w:val="clear" w:color="auto" w:fill="FFFFFF"/>
          <w:lang w:val="en-US" w:eastAsia="zh-CN"/>
        </w:rPr>
        <w:t>4</w:t>
      </w:r>
      <w:r>
        <w:rPr>
          <w:rFonts w:hint="eastAsia"/>
          <w:color w:val="000000"/>
          <w:kern w:val="0"/>
          <w:szCs w:val="32"/>
          <w:shd w:val="clear" w:color="auto" w:fill="FFFFFF"/>
          <w:lang w:val="zh-CN"/>
        </w:rPr>
        <w:t>分，自评得分</w:t>
      </w:r>
      <w:r>
        <w:rPr>
          <w:rFonts w:hint="eastAsia"/>
          <w:color w:val="000000"/>
          <w:kern w:val="0"/>
          <w:szCs w:val="32"/>
          <w:shd w:val="clear" w:color="auto" w:fill="FFFFFF"/>
          <w:lang w:val="en-US" w:eastAsia="zh-CN"/>
        </w:rPr>
        <w:t>3.96</w:t>
      </w:r>
      <w:r>
        <w:rPr>
          <w:rFonts w:hint="eastAsia"/>
          <w:color w:val="000000"/>
          <w:kern w:val="0"/>
          <w:szCs w:val="32"/>
          <w:shd w:val="clear" w:color="auto" w:fill="FFFFFF"/>
          <w:lang w:val="zh-CN"/>
        </w:rPr>
        <w:t>分，</w:t>
      </w:r>
      <w:r>
        <w:rPr>
          <w:rFonts w:hint="eastAsia"/>
          <w:color w:val="000000"/>
          <w:kern w:val="0"/>
          <w:szCs w:val="32"/>
          <w:shd w:val="clear" w:color="auto" w:fill="FFFFFF"/>
          <w:lang w:val="en-US" w:eastAsia="zh-CN"/>
        </w:rPr>
        <w:t>仅医疗服务与保障能力提升中央财政补助资金年末结余8.86%</w:t>
      </w:r>
      <w:r>
        <w:rPr>
          <w:rFonts w:hint="eastAsia"/>
          <w:color w:val="000000"/>
          <w:kern w:val="0"/>
          <w:szCs w:val="32"/>
          <w:shd w:val="clear" w:color="auto" w:fill="FFFFFF"/>
          <w:lang w:val="zh-CN"/>
        </w:rPr>
        <w:t>。（</w:t>
      </w:r>
      <w:r>
        <w:rPr>
          <w:rFonts w:hint="eastAsia"/>
          <w:color w:val="000000"/>
          <w:kern w:val="0"/>
          <w:szCs w:val="32"/>
          <w:shd w:val="clear" w:color="auto" w:fill="FFFFFF"/>
          <w:lang w:val="en-US" w:eastAsia="zh-CN"/>
        </w:rPr>
        <w:t>4</w:t>
      </w:r>
      <w:r>
        <w:rPr>
          <w:rFonts w:hint="eastAsia"/>
          <w:color w:val="000000"/>
          <w:kern w:val="0"/>
          <w:szCs w:val="32"/>
          <w:shd w:val="clear" w:color="auto" w:fill="FFFFFF"/>
          <w:lang w:val="zh-CN"/>
        </w:rPr>
        <w:t>）</w:t>
      </w:r>
      <w:r>
        <w:rPr>
          <w:color w:val="000000"/>
          <w:kern w:val="0"/>
          <w:szCs w:val="32"/>
          <w:shd w:val="clear" w:color="auto" w:fill="FFFFFF"/>
          <w:lang w:val="zh-CN"/>
        </w:rPr>
        <w:t>严控一般性支出</w:t>
      </w:r>
      <w:r>
        <w:rPr>
          <w:rFonts w:hint="eastAsia"/>
          <w:color w:val="000000"/>
          <w:kern w:val="0"/>
          <w:szCs w:val="32"/>
          <w:shd w:val="clear" w:color="auto" w:fill="FFFFFF"/>
          <w:lang w:val="zh-CN"/>
        </w:rPr>
        <w:t>总分5分，</w:t>
      </w:r>
      <w:r>
        <w:rPr>
          <w:rFonts w:hint="eastAsia"/>
          <w:color w:val="000000"/>
          <w:kern w:val="0"/>
          <w:szCs w:val="32"/>
          <w:highlight w:val="none"/>
          <w:shd w:val="clear" w:color="auto" w:fill="FFFFFF"/>
          <w:lang w:val="zh-CN"/>
        </w:rPr>
        <w:t>自评得分</w:t>
      </w:r>
      <w:r>
        <w:rPr>
          <w:rFonts w:hint="eastAsia"/>
          <w:color w:val="000000"/>
          <w:kern w:val="0"/>
          <w:szCs w:val="32"/>
          <w:highlight w:val="none"/>
          <w:shd w:val="clear" w:color="auto" w:fill="FFFFFF"/>
          <w:lang w:val="en-US" w:eastAsia="zh-CN"/>
        </w:rPr>
        <w:t>2</w:t>
      </w:r>
      <w:r>
        <w:rPr>
          <w:rFonts w:hint="eastAsia"/>
          <w:color w:val="000000"/>
          <w:kern w:val="0"/>
          <w:szCs w:val="32"/>
          <w:highlight w:val="none"/>
          <w:shd w:val="clear" w:color="auto" w:fill="FFFFFF"/>
          <w:lang w:val="zh-CN"/>
        </w:rPr>
        <w:t>分</w:t>
      </w:r>
      <w:r>
        <w:rPr>
          <w:color w:val="000000"/>
          <w:kern w:val="0"/>
          <w:szCs w:val="32"/>
          <w:highlight w:val="none"/>
          <w:shd w:val="clear" w:color="auto" w:fill="FFFFFF"/>
          <w:lang w:val="zh-CN"/>
        </w:rPr>
        <w:t>。</w:t>
      </w:r>
      <w:r>
        <w:rPr>
          <w:rFonts w:hint="eastAsia"/>
          <w:color w:val="000000"/>
          <w:kern w:val="0"/>
          <w:szCs w:val="32"/>
          <w:highlight w:val="none"/>
          <w:shd w:val="clear" w:color="auto" w:fill="FFFFFF"/>
          <w:lang w:val="en-US" w:eastAsia="zh-CN"/>
        </w:rPr>
        <w:t>2025年度</w:t>
      </w:r>
      <w:r>
        <w:rPr>
          <w:rFonts w:hint="eastAsia"/>
          <w:color w:val="000000"/>
          <w:kern w:val="0"/>
          <w:szCs w:val="32"/>
          <w:shd w:val="clear" w:color="auto" w:fill="FFFFFF"/>
          <w:lang w:val="zh-CN"/>
        </w:rPr>
        <w:t>一般性支出</w:t>
      </w:r>
      <w:r>
        <w:rPr>
          <w:rFonts w:hint="eastAsia"/>
          <w:color w:val="000000"/>
          <w:kern w:val="0"/>
          <w:szCs w:val="32"/>
          <w:shd w:val="clear" w:color="auto" w:fill="FFFFFF"/>
          <w:lang w:val="en-US" w:eastAsia="zh-CN"/>
        </w:rPr>
        <w:t>差旅费、培训费较上年有所减少，其余</w:t>
      </w:r>
      <w:bookmarkStart w:id="2" w:name="OLE_LINK5"/>
      <w:r>
        <w:rPr>
          <w:rFonts w:hint="eastAsia"/>
          <w:color w:val="000000"/>
          <w:kern w:val="0"/>
          <w:szCs w:val="32"/>
          <w:shd w:val="clear" w:color="auto" w:fill="FFFFFF"/>
          <w:lang w:val="en-US" w:eastAsia="zh-CN"/>
        </w:rPr>
        <w:t>费用</w:t>
      </w:r>
      <w:bookmarkEnd w:id="2"/>
      <w:r>
        <w:rPr>
          <w:rFonts w:hint="eastAsia"/>
          <w:color w:val="000000"/>
          <w:kern w:val="0"/>
          <w:szCs w:val="32"/>
          <w:shd w:val="clear" w:color="auto" w:fill="FFFFFF"/>
          <w:lang w:val="en-US" w:eastAsia="zh-CN"/>
        </w:rPr>
        <w:t>未压减</w:t>
      </w:r>
      <w:r>
        <w:rPr>
          <w:rFonts w:hint="eastAsia"/>
          <w:color w:val="000000"/>
          <w:kern w:val="0"/>
          <w:szCs w:val="32"/>
          <w:shd w:val="clear" w:color="auto" w:fill="FFFFFF"/>
          <w:lang w:val="zh-CN"/>
        </w:rPr>
        <w:t>。</w:t>
      </w:r>
    </w:p>
    <w:p>
      <w:pPr>
        <w:pageBreakBefore w:val="0"/>
        <w:numPr>
          <w:ilvl w:val="-1"/>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楷体_GB2312"/>
          <w:color w:val="000000"/>
          <w:kern w:val="0"/>
          <w:szCs w:val="32"/>
          <w:shd w:val="clear" w:color="auto" w:fill="FFFFFF"/>
          <w:lang w:val="zh-CN"/>
        </w:rPr>
      </w:pPr>
      <w:r>
        <w:rPr>
          <w:rFonts w:hint="eastAsia" w:eastAsia="楷体_GB2312"/>
          <w:color w:val="000000"/>
          <w:kern w:val="0"/>
          <w:szCs w:val="32"/>
          <w:highlight w:val="none"/>
          <w:shd w:val="clear" w:color="auto" w:fill="FFFFFF"/>
          <w:lang w:val="en-US" w:eastAsia="zh-CN"/>
        </w:rPr>
        <w:t>3.</w:t>
      </w:r>
      <w:r>
        <w:rPr>
          <w:rFonts w:eastAsia="楷体_GB2312"/>
          <w:color w:val="000000"/>
          <w:kern w:val="0"/>
          <w:szCs w:val="32"/>
          <w:highlight w:val="none"/>
          <w:shd w:val="clear" w:color="auto" w:fill="FFFFFF"/>
          <w:lang w:val="zh-CN"/>
        </w:rPr>
        <w:t>财务管理。</w:t>
      </w:r>
      <w:r>
        <w:rPr>
          <w:color w:val="000000"/>
          <w:kern w:val="0"/>
          <w:szCs w:val="32"/>
          <w:shd w:val="clear" w:color="auto" w:fill="FFFFFF"/>
          <w:lang w:val="zh-CN"/>
        </w:rPr>
        <w:t>总分</w:t>
      </w:r>
      <w:r>
        <w:rPr>
          <w:rFonts w:hint="eastAsia"/>
          <w:color w:val="000000"/>
          <w:kern w:val="0"/>
          <w:szCs w:val="32"/>
          <w:shd w:val="clear" w:color="auto" w:fill="FFFFFF"/>
          <w:lang w:val="zh-CN"/>
        </w:rPr>
        <w:t>1</w:t>
      </w:r>
      <w:r>
        <w:rPr>
          <w:rFonts w:hint="eastAsia"/>
          <w:color w:val="000000"/>
          <w:kern w:val="0"/>
          <w:szCs w:val="32"/>
          <w:shd w:val="clear" w:color="auto" w:fill="FFFFFF"/>
          <w:lang w:val="en-US" w:eastAsia="zh-CN"/>
        </w:rPr>
        <w:t>2</w:t>
      </w:r>
      <w:r>
        <w:rPr>
          <w:rFonts w:hint="eastAsia"/>
          <w:color w:val="000000"/>
          <w:kern w:val="0"/>
          <w:szCs w:val="32"/>
          <w:shd w:val="clear" w:color="auto" w:fill="FFFFFF"/>
          <w:lang w:val="zh-CN"/>
        </w:rPr>
        <w:t>分，</w:t>
      </w:r>
      <w:r>
        <w:rPr>
          <w:color w:val="000000"/>
          <w:kern w:val="0"/>
          <w:szCs w:val="32"/>
          <w:shd w:val="clear" w:color="auto" w:fill="FFFFFF"/>
          <w:lang w:val="zh-CN"/>
        </w:rPr>
        <w:t>自评得分</w:t>
      </w:r>
      <w:r>
        <w:rPr>
          <w:rFonts w:hint="eastAsia"/>
          <w:color w:val="000000"/>
          <w:kern w:val="0"/>
          <w:szCs w:val="32"/>
          <w:shd w:val="clear" w:color="auto" w:fill="FFFFFF"/>
          <w:lang w:val="zh-CN"/>
        </w:rPr>
        <w:t>1</w:t>
      </w:r>
      <w:r>
        <w:rPr>
          <w:rFonts w:hint="eastAsia"/>
          <w:color w:val="000000"/>
          <w:kern w:val="0"/>
          <w:szCs w:val="32"/>
          <w:shd w:val="clear" w:color="auto" w:fill="FFFFFF"/>
          <w:lang w:val="en-US" w:eastAsia="zh-CN"/>
        </w:rPr>
        <w:t>2</w:t>
      </w:r>
      <w:r>
        <w:rPr>
          <w:rFonts w:hint="eastAsia"/>
          <w:color w:val="000000"/>
          <w:kern w:val="0"/>
          <w:szCs w:val="32"/>
          <w:shd w:val="clear" w:color="auto" w:fill="FFFFFF"/>
          <w:lang w:val="zh-CN"/>
        </w:rPr>
        <w:t>分。</w:t>
      </w:r>
      <w:r>
        <w:rPr>
          <w:rFonts w:hint="eastAsia"/>
          <w:color w:val="000000"/>
          <w:kern w:val="0"/>
          <w:szCs w:val="32"/>
          <w:shd w:val="clear" w:color="auto" w:fill="FFFFFF"/>
          <w:lang w:val="en-US" w:eastAsia="zh-CN"/>
        </w:rPr>
        <w:t>我</w:t>
      </w:r>
      <w:r>
        <w:rPr>
          <w:rFonts w:hint="eastAsia" w:ascii="仿宋_GB2312" w:hAnsi="仿宋" w:eastAsia="仿宋_GB2312" w:cs="仿宋"/>
          <w:sz w:val="32"/>
          <w:szCs w:val="32"/>
        </w:rPr>
        <w:t>中心</w:t>
      </w:r>
      <w:r>
        <w:rPr>
          <w:rFonts w:ascii="Times New Roman" w:hAnsi="Times New Roman" w:eastAsia="仿宋_GB2312" w:cs="Times New Roman"/>
          <w:sz w:val="32"/>
          <w:szCs w:val="32"/>
          <w:lang w:val="zh-CN"/>
        </w:rPr>
        <w:t>建立了财务管理制度，</w:t>
      </w:r>
      <w:r>
        <w:rPr>
          <w:rFonts w:hint="eastAsia" w:ascii="仿宋_GB2312" w:hAnsi="仿宋" w:eastAsia="仿宋_GB2312" w:cs="仿宋"/>
          <w:sz w:val="32"/>
          <w:szCs w:val="32"/>
        </w:rPr>
        <w:t>严格按照</w:t>
      </w:r>
      <w:r>
        <w:rPr>
          <w:rFonts w:hint="eastAsia" w:ascii="仿宋_GB2312" w:hAnsi="仿宋" w:cs="仿宋"/>
          <w:sz w:val="32"/>
          <w:szCs w:val="32"/>
          <w:lang w:eastAsia="zh-CN"/>
        </w:rPr>
        <w:t>财政</w:t>
      </w:r>
      <w:r>
        <w:rPr>
          <w:rFonts w:hint="eastAsia" w:ascii="仿宋_GB2312" w:hAnsi="仿宋" w:eastAsia="仿宋_GB2312" w:cs="仿宋"/>
          <w:sz w:val="32"/>
          <w:szCs w:val="32"/>
        </w:rPr>
        <w:t>要求上报资金使用计划，并在实施过程中做到资</w:t>
      </w:r>
      <w:r>
        <w:rPr>
          <w:rFonts w:hint="eastAsia" w:ascii="Times New Roman" w:hAnsi="Times New Roman" w:cs="Times New Roman"/>
          <w:sz w:val="32"/>
          <w:szCs w:val="32"/>
          <w:lang w:eastAsia="zh-CN"/>
        </w:rPr>
        <w:t>金专项专用</w:t>
      </w:r>
      <w:r>
        <w:rPr>
          <w:rFonts w:hint="eastAsia" w:ascii="仿宋_GB2312" w:hAnsi="仿宋" w:eastAsia="仿宋_GB2312" w:cs="仿宋"/>
          <w:sz w:val="32"/>
          <w:szCs w:val="32"/>
        </w:rPr>
        <w:t>。所有支出严格按照财务会计管理规定，做到资金使用有计划、审批有手续、支出合理规范。</w:t>
      </w:r>
      <w:r>
        <w:rPr>
          <w:rFonts w:hint="eastAsia" w:ascii="仿宋_GB2312" w:hAnsi="仿宋" w:cs="仿宋"/>
          <w:sz w:val="32"/>
          <w:szCs w:val="32"/>
          <w:lang w:eastAsia="zh-CN"/>
        </w:rPr>
        <w:t>并</w:t>
      </w:r>
      <w:r>
        <w:rPr>
          <w:rFonts w:ascii="Times New Roman" w:hAnsi="Times New Roman" w:eastAsia="仿宋_GB2312" w:cs="Times New Roman"/>
          <w:sz w:val="32"/>
          <w:szCs w:val="32"/>
          <w:lang w:val="zh-CN"/>
        </w:rPr>
        <w:t>及时进行账务处理和会计核算</w:t>
      </w:r>
      <w:r>
        <w:rPr>
          <w:rFonts w:hint="eastAsia" w:ascii="Times New Roman" w:hAnsi="Times New Roman" w:cs="Times New Roman"/>
          <w:sz w:val="32"/>
          <w:szCs w:val="32"/>
          <w:lang w:val="zh-CN"/>
        </w:rPr>
        <w:t>。</w:t>
      </w:r>
    </w:p>
    <w:p>
      <w:pPr>
        <w:numPr>
          <w:ilvl w:val="0"/>
          <w:numId w:val="0"/>
        </w:numPr>
        <w:adjustRightInd w:val="0"/>
        <w:snapToGrid w:val="0"/>
        <w:spacing w:line="560" w:lineRule="exact"/>
        <w:ind w:leftChars="0" w:firstLine="640" w:firstLineChars="200"/>
        <w:contextualSpacing/>
        <w:jc w:val="left"/>
        <w:rPr>
          <w:lang w:val="zh-CN"/>
        </w:rPr>
      </w:pPr>
      <w:r>
        <w:rPr>
          <w:rFonts w:hint="eastAsia" w:eastAsia="楷体_GB2312"/>
          <w:color w:val="000000"/>
          <w:kern w:val="0"/>
          <w:szCs w:val="32"/>
          <w:highlight w:val="none"/>
          <w:shd w:val="clear" w:color="auto" w:fill="FFFFFF"/>
          <w:lang w:val="en-US" w:eastAsia="zh-CN"/>
        </w:rPr>
        <w:t>4.</w:t>
      </w:r>
      <w:r>
        <w:rPr>
          <w:rFonts w:eastAsia="楷体_GB2312"/>
          <w:color w:val="000000"/>
          <w:kern w:val="0"/>
          <w:szCs w:val="32"/>
          <w:highlight w:val="none"/>
          <w:shd w:val="clear" w:color="auto" w:fill="FFFFFF"/>
          <w:lang w:val="zh-CN"/>
        </w:rPr>
        <w:t>资产管理。</w:t>
      </w:r>
      <w:r>
        <w:rPr>
          <w:color w:val="000000"/>
          <w:kern w:val="0"/>
          <w:szCs w:val="32"/>
          <w:shd w:val="clear" w:color="auto" w:fill="FFFFFF"/>
          <w:lang w:val="zh-CN"/>
        </w:rPr>
        <w:t>总分</w:t>
      </w:r>
      <w:r>
        <w:rPr>
          <w:rFonts w:hint="eastAsia"/>
          <w:color w:val="000000"/>
          <w:kern w:val="0"/>
          <w:szCs w:val="32"/>
          <w:shd w:val="clear" w:color="auto" w:fill="FFFFFF"/>
          <w:lang w:val="zh-CN"/>
        </w:rPr>
        <w:t>9分，</w:t>
      </w:r>
      <w:r>
        <w:rPr>
          <w:color w:val="000000"/>
          <w:kern w:val="0"/>
          <w:szCs w:val="32"/>
          <w:shd w:val="clear" w:color="auto" w:fill="FFFFFF"/>
          <w:lang w:val="zh-CN"/>
        </w:rPr>
        <w:t>自评得分</w:t>
      </w:r>
      <w:r>
        <w:rPr>
          <w:rFonts w:hint="eastAsia"/>
          <w:color w:val="000000"/>
          <w:kern w:val="0"/>
          <w:szCs w:val="32"/>
          <w:highlight w:val="none"/>
          <w:shd w:val="clear" w:color="auto" w:fill="FFFFFF"/>
          <w:lang w:val="en-US" w:eastAsia="zh-CN"/>
        </w:rPr>
        <w:t>6.3分</w:t>
      </w:r>
      <w:r>
        <w:rPr>
          <w:rFonts w:hint="eastAsia"/>
          <w:color w:val="000000"/>
          <w:kern w:val="0"/>
          <w:szCs w:val="32"/>
          <w:shd w:val="clear" w:color="auto" w:fill="FFFFFF"/>
          <w:lang w:val="zh-CN"/>
        </w:rPr>
        <w:t>。其中：（1）</w:t>
      </w:r>
      <w:r>
        <w:rPr>
          <w:color w:val="000000"/>
          <w:kern w:val="0"/>
          <w:szCs w:val="32"/>
          <w:shd w:val="clear" w:color="auto" w:fill="FFFFFF"/>
          <w:lang w:val="zh-CN"/>
        </w:rPr>
        <w:t>人均资产变化率总分</w:t>
      </w:r>
      <w:r>
        <w:rPr>
          <w:rFonts w:hint="eastAsia"/>
          <w:color w:val="000000"/>
          <w:kern w:val="0"/>
          <w:szCs w:val="32"/>
          <w:shd w:val="clear" w:color="auto" w:fill="FFFFFF"/>
          <w:lang w:val="zh-CN"/>
        </w:rPr>
        <w:t>3分，自评得分</w:t>
      </w:r>
      <w:r>
        <w:rPr>
          <w:rFonts w:hint="eastAsia"/>
          <w:color w:val="000000"/>
          <w:kern w:val="0"/>
          <w:szCs w:val="32"/>
          <w:shd w:val="clear" w:color="auto" w:fill="FFFFFF"/>
          <w:lang w:val="en-US" w:eastAsia="zh-CN"/>
        </w:rPr>
        <w:t>0.</w:t>
      </w:r>
      <w:r>
        <w:rPr>
          <w:rFonts w:hint="eastAsia"/>
          <w:color w:val="000000"/>
          <w:kern w:val="0"/>
          <w:szCs w:val="32"/>
          <w:shd w:val="clear" w:color="auto" w:fill="FFFFFF"/>
          <w:lang w:val="zh-CN"/>
        </w:rPr>
        <w:t>3分，202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年人均资产变化率为</w:t>
      </w:r>
      <w:r>
        <w:rPr>
          <w:rFonts w:hint="eastAsia"/>
          <w:color w:val="000000"/>
          <w:kern w:val="0"/>
          <w:szCs w:val="32"/>
          <w:shd w:val="clear" w:color="auto" w:fill="FFFFFF"/>
          <w:lang w:val="en-US" w:eastAsia="zh-CN"/>
        </w:rPr>
        <w:t>6.61</w:t>
      </w:r>
      <w:r>
        <w:rPr>
          <w:rFonts w:hint="eastAsia"/>
          <w:color w:val="000000"/>
          <w:kern w:val="0"/>
          <w:szCs w:val="32"/>
          <w:shd w:val="clear" w:color="auto" w:fill="FFFFFF"/>
          <w:lang w:val="zh-CN"/>
        </w:rPr>
        <w:t>%，</w:t>
      </w:r>
      <w:r>
        <w:rPr>
          <w:rFonts w:hint="eastAsia"/>
          <w:color w:val="000000"/>
          <w:kern w:val="0"/>
          <w:szCs w:val="32"/>
          <w:shd w:val="clear" w:color="auto" w:fill="FFFFFF"/>
          <w:lang w:val="en-US" w:eastAsia="zh-CN"/>
        </w:rPr>
        <w:t>大于2024年度人均资产变化率4.19%的1.4倍，人均资产增长率大</w:t>
      </w:r>
      <w:r>
        <w:rPr>
          <w:rFonts w:hint="eastAsia"/>
          <w:color w:val="000000"/>
          <w:kern w:val="0"/>
          <w:szCs w:val="32"/>
          <w:shd w:val="clear" w:color="auto" w:fill="FFFFFF"/>
          <w:lang w:val="zh-CN"/>
        </w:rPr>
        <w:t>于</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%。（2）</w:t>
      </w:r>
      <w:r>
        <w:rPr>
          <w:color w:val="000000"/>
          <w:kern w:val="0"/>
          <w:szCs w:val="32"/>
          <w:shd w:val="clear" w:color="auto" w:fill="FFFFFF"/>
          <w:lang w:val="zh-CN"/>
        </w:rPr>
        <w:t>资产利用率总分</w:t>
      </w:r>
      <w:r>
        <w:rPr>
          <w:rFonts w:hint="eastAsia"/>
          <w:color w:val="000000"/>
          <w:kern w:val="0"/>
          <w:szCs w:val="32"/>
          <w:shd w:val="clear" w:color="auto" w:fill="FFFFFF"/>
          <w:lang w:val="zh-CN"/>
        </w:rPr>
        <w:t>3分，自评得分</w:t>
      </w:r>
      <w:r>
        <w:rPr>
          <w:rFonts w:hint="eastAsia"/>
          <w:kern w:val="0"/>
          <w:szCs w:val="32"/>
          <w:shd w:val="clear" w:color="auto" w:fill="FFFFFF"/>
          <w:lang w:val="en-US" w:eastAsia="zh-CN"/>
        </w:rPr>
        <w:t>3</w:t>
      </w:r>
      <w:r>
        <w:rPr>
          <w:rFonts w:hint="eastAsia"/>
          <w:color w:val="000000"/>
          <w:kern w:val="0"/>
          <w:szCs w:val="32"/>
          <w:shd w:val="clear" w:color="auto" w:fill="FFFFFF"/>
          <w:lang w:val="zh-CN"/>
        </w:rPr>
        <w:t>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年办公家具超最低使用年限资产利用率</w:t>
      </w:r>
      <w:r>
        <w:rPr>
          <w:rFonts w:hint="eastAsia"/>
          <w:color w:val="000000"/>
          <w:kern w:val="0"/>
          <w:szCs w:val="32"/>
          <w:shd w:val="clear" w:color="auto" w:fill="FFFFFF"/>
          <w:lang w:val="en-US" w:eastAsia="zh-CN"/>
        </w:rPr>
        <w:t>大于2024年</w:t>
      </w:r>
      <w:r>
        <w:rPr>
          <w:rFonts w:hint="eastAsia"/>
          <w:color w:val="000000"/>
          <w:kern w:val="0"/>
          <w:szCs w:val="32"/>
          <w:shd w:val="clear" w:color="auto" w:fill="FFFFFF"/>
          <w:lang w:val="zh-CN"/>
        </w:rPr>
        <w:t>办公家具超最低使用年限资产利用率；202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年办公设备超最低使用年限资产利用率</w:t>
      </w:r>
      <w:r>
        <w:rPr>
          <w:rFonts w:hint="eastAsia"/>
          <w:color w:val="000000"/>
          <w:kern w:val="0"/>
          <w:szCs w:val="32"/>
          <w:shd w:val="clear" w:color="auto" w:fill="FFFFFF"/>
          <w:lang w:val="en-US" w:eastAsia="zh-CN"/>
        </w:rPr>
        <w:t>大于2024年</w:t>
      </w:r>
      <w:r>
        <w:rPr>
          <w:rFonts w:hint="eastAsia"/>
          <w:color w:val="000000"/>
          <w:kern w:val="0"/>
          <w:szCs w:val="32"/>
          <w:shd w:val="clear" w:color="auto" w:fill="FFFFFF"/>
          <w:lang w:val="zh-CN"/>
        </w:rPr>
        <w:t>办公设备超最低使用年限资产利用率。</w:t>
      </w:r>
      <w:r>
        <w:rPr>
          <w:color w:val="000000"/>
          <w:kern w:val="0"/>
          <w:szCs w:val="32"/>
          <w:shd w:val="clear" w:color="auto" w:fill="FFFFFF"/>
          <w:lang w:val="zh-CN"/>
        </w:rPr>
        <w:t>（</w:t>
      </w:r>
      <w:r>
        <w:rPr>
          <w:rFonts w:hint="eastAsia"/>
          <w:color w:val="000000"/>
          <w:kern w:val="0"/>
          <w:szCs w:val="32"/>
          <w:shd w:val="clear" w:color="auto" w:fill="FFFFFF"/>
          <w:lang w:val="zh-CN"/>
        </w:rPr>
        <w:t>3</w:t>
      </w:r>
      <w:r>
        <w:rPr>
          <w:color w:val="000000"/>
          <w:kern w:val="0"/>
          <w:szCs w:val="32"/>
          <w:shd w:val="clear" w:color="auto" w:fill="FFFFFF"/>
          <w:lang w:val="zh-CN"/>
        </w:rPr>
        <w:t>）资产盘活率总分</w:t>
      </w:r>
      <w:r>
        <w:rPr>
          <w:rFonts w:hint="eastAsia"/>
          <w:color w:val="000000"/>
          <w:kern w:val="0"/>
          <w:szCs w:val="32"/>
          <w:shd w:val="clear" w:color="auto" w:fill="FFFFFF"/>
          <w:lang w:val="zh-CN"/>
        </w:rPr>
        <w:t>3分，自评得分3分，我部门两年均无闲置的资产。</w:t>
      </w:r>
    </w:p>
    <w:p>
      <w:pPr>
        <w:numPr>
          <w:ilvl w:val="0"/>
          <w:numId w:val="0"/>
        </w:numPr>
        <w:adjustRightInd w:val="0"/>
        <w:snapToGrid w:val="0"/>
        <w:spacing w:line="560" w:lineRule="exact"/>
        <w:ind w:firstLine="640" w:firstLineChars="200"/>
        <w:contextualSpacing/>
        <w:jc w:val="left"/>
        <w:rPr>
          <w:lang w:val="zh-CN"/>
        </w:rPr>
      </w:pPr>
      <w:r>
        <w:rPr>
          <w:rFonts w:hint="eastAsia" w:eastAsia="楷体_GB2312"/>
          <w:color w:val="000000"/>
          <w:kern w:val="0"/>
          <w:szCs w:val="32"/>
          <w:highlight w:val="none"/>
          <w:shd w:val="clear" w:color="auto" w:fill="FFFFFF"/>
          <w:lang w:val="en-US" w:eastAsia="zh-CN"/>
        </w:rPr>
        <w:t>5.</w:t>
      </w:r>
      <w:r>
        <w:rPr>
          <w:rFonts w:eastAsia="楷体_GB2312"/>
          <w:color w:val="000000"/>
          <w:kern w:val="0"/>
          <w:szCs w:val="32"/>
          <w:highlight w:val="none"/>
          <w:shd w:val="clear" w:color="auto" w:fill="FFFFFF"/>
          <w:lang w:val="zh-CN"/>
        </w:rPr>
        <w:t>采购管理。</w:t>
      </w:r>
      <w:r>
        <w:rPr>
          <w:rFonts w:hint="eastAsia" w:ascii="仿宋_GB2312" w:hAnsi="仿宋" w:cs="仿宋"/>
          <w:sz w:val="32"/>
          <w:szCs w:val="32"/>
          <w:highlight w:val="none"/>
          <w:lang w:eastAsia="zh-CN"/>
        </w:rPr>
        <w:t>我</w:t>
      </w:r>
      <w:r>
        <w:rPr>
          <w:rFonts w:hint="eastAsia" w:ascii="仿宋_GB2312" w:hAnsi="仿宋" w:eastAsia="仿宋_GB2312" w:cs="仿宋"/>
          <w:sz w:val="32"/>
          <w:szCs w:val="32"/>
          <w:highlight w:val="none"/>
          <w:lang w:eastAsia="zh-CN"/>
        </w:rPr>
        <w:t>中</w:t>
      </w:r>
      <w:r>
        <w:rPr>
          <w:rFonts w:hint="eastAsia" w:ascii="仿宋_GB2312" w:hAnsi="仿宋" w:cs="仿宋"/>
          <w:sz w:val="32"/>
          <w:szCs w:val="32"/>
          <w:highlight w:val="none"/>
          <w:lang w:eastAsia="zh-CN"/>
        </w:rPr>
        <w:t>心按规定进行政府采购，</w:t>
      </w:r>
      <w:r>
        <w:rPr>
          <w:rFonts w:hint="eastAsia" w:ascii="仿宋_GB2312" w:hAnsi="仿宋" w:eastAsia="仿宋_GB2312" w:cs="仿宋"/>
          <w:sz w:val="32"/>
          <w:szCs w:val="32"/>
          <w:highlight w:val="none"/>
          <w:lang w:eastAsia="zh-CN"/>
        </w:rPr>
        <w:t>严格执行政府采购促进中小企业发展相关管理办法</w:t>
      </w:r>
      <w:r>
        <w:rPr>
          <w:rFonts w:hint="eastAsia" w:ascii="仿宋_GB2312" w:hAnsi="仿宋" w:cs="仿宋"/>
          <w:sz w:val="32"/>
          <w:szCs w:val="32"/>
          <w:highlight w:val="none"/>
          <w:lang w:eastAsia="zh-CN"/>
        </w:rPr>
        <w:t>。</w:t>
      </w:r>
      <w:r>
        <w:rPr>
          <w:color w:val="000000"/>
          <w:kern w:val="0"/>
          <w:szCs w:val="32"/>
          <w:highlight w:val="none"/>
          <w:shd w:val="clear" w:color="auto" w:fill="FFFFFF"/>
          <w:lang w:val="zh-CN"/>
        </w:rPr>
        <w:t>总分</w:t>
      </w:r>
      <w:r>
        <w:rPr>
          <w:rFonts w:hint="eastAsia"/>
          <w:color w:val="000000"/>
          <w:kern w:val="0"/>
          <w:szCs w:val="32"/>
          <w:highlight w:val="none"/>
          <w:shd w:val="clear" w:color="auto" w:fill="FFFFFF"/>
          <w:lang w:val="zh-CN"/>
        </w:rPr>
        <w:t>6分，</w:t>
      </w:r>
      <w:r>
        <w:rPr>
          <w:color w:val="000000"/>
          <w:kern w:val="0"/>
          <w:szCs w:val="32"/>
          <w:highlight w:val="none"/>
          <w:shd w:val="clear" w:color="auto" w:fill="FFFFFF"/>
          <w:lang w:val="zh-CN"/>
        </w:rPr>
        <w:t>自评得分</w:t>
      </w:r>
      <w:r>
        <w:rPr>
          <w:rFonts w:hint="eastAsia"/>
          <w:color w:val="000000"/>
          <w:kern w:val="0"/>
          <w:szCs w:val="32"/>
          <w:highlight w:val="none"/>
          <w:shd w:val="clear" w:color="auto" w:fill="FFFFFF"/>
          <w:lang w:val="zh-CN"/>
        </w:rPr>
        <w:t>6分。其中：（1）</w:t>
      </w:r>
      <w:r>
        <w:rPr>
          <w:color w:val="000000"/>
          <w:kern w:val="0"/>
          <w:szCs w:val="32"/>
          <w:highlight w:val="none"/>
          <w:shd w:val="clear" w:color="auto" w:fill="FFFFFF"/>
          <w:lang w:val="zh-CN"/>
        </w:rPr>
        <w:t>支持中小企业发展总分</w:t>
      </w:r>
      <w:r>
        <w:rPr>
          <w:rFonts w:hint="eastAsia"/>
          <w:color w:val="000000"/>
          <w:kern w:val="0"/>
          <w:szCs w:val="32"/>
          <w:highlight w:val="none"/>
          <w:shd w:val="clear" w:color="auto" w:fill="FFFFFF"/>
          <w:lang w:val="zh-CN"/>
        </w:rPr>
        <w:t>3分，自评得分3分，202</w:t>
      </w:r>
      <w:r>
        <w:rPr>
          <w:rFonts w:hint="eastAsia"/>
          <w:color w:val="000000"/>
          <w:kern w:val="0"/>
          <w:szCs w:val="32"/>
          <w:highlight w:val="none"/>
          <w:shd w:val="clear" w:color="auto" w:fill="FFFFFF"/>
          <w:lang w:val="en-US" w:eastAsia="zh-CN"/>
        </w:rPr>
        <w:t>5</w:t>
      </w:r>
      <w:r>
        <w:rPr>
          <w:rFonts w:hint="eastAsia"/>
          <w:color w:val="000000"/>
          <w:kern w:val="0"/>
          <w:szCs w:val="32"/>
          <w:highlight w:val="none"/>
          <w:shd w:val="clear" w:color="auto" w:fill="FFFFFF"/>
          <w:lang w:val="zh-CN"/>
        </w:rPr>
        <w:t>年政府采购支出为</w:t>
      </w:r>
      <w:r>
        <w:rPr>
          <w:rFonts w:hint="eastAsia"/>
          <w:color w:val="000000"/>
          <w:kern w:val="0"/>
          <w:szCs w:val="32"/>
          <w:highlight w:val="none"/>
          <w:shd w:val="clear" w:color="auto" w:fill="FFFFFF"/>
          <w:lang w:val="en-US" w:eastAsia="zh-CN"/>
        </w:rPr>
        <w:t>49.5</w:t>
      </w:r>
      <w:r>
        <w:rPr>
          <w:rFonts w:hint="eastAsia"/>
          <w:color w:val="000000"/>
          <w:kern w:val="0"/>
          <w:szCs w:val="32"/>
          <w:highlight w:val="none"/>
          <w:shd w:val="clear" w:color="auto" w:fill="FFFFFF"/>
          <w:lang w:val="zh-CN"/>
        </w:rPr>
        <w:t>万元，其中政府采购授予中小企业合同金额为</w:t>
      </w:r>
      <w:r>
        <w:rPr>
          <w:rFonts w:hint="eastAsia"/>
          <w:color w:val="000000"/>
          <w:kern w:val="0"/>
          <w:szCs w:val="32"/>
          <w:highlight w:val="none"/>
          <w:shd w:val="clear" w:color="auto" w:fill="FFFFFF"/>
          <w:lang w:val="en-US" w:eastAsia="zh-CN"/>
        </w:rPr>
        <w:t>44.5</w:t>
      </w:r>
      <w:r>
        <w:rPr>
          <w:rFonts w:hint="eastAsia"/>
          <w:color w:val="000000"/>
          <w:kern w:val="0"/>
          <w:szCs w:val="32"/>
          <w:highlight w:val="none"/>
          <w:shd w:val="clear" w:color="auto" w:fill="FFFFFF"/>
          <w:lang w:val="zh-CN"/>
        </w:rPr>
        <w:t>万元，占比</w:t>
      </w:r>
      <w:r>
        <w:rPr>
          <w:rFonts w:hint="eastAsia"/>
          <w:color w:val="000000"/>
          <w:kern w:val="0"/>
          <w:szCs w:val="32"/>
          <w:highlight w:val="none"/>
          <w:shd w:val="clear" w:color="auto" w:fill="FFFFFF"/>
          <w:lang w:val="en-US" w:eastAsia="zh-CN"/>
        </w:rPr>
        <w:t>89.90</w:t>
      </w:r>
      <w:r>
        <w:rPr>
          <w:rFonts w:hint="eastAsia"/>
          <w:color w:val="000000"/>
          <w:kern w:val="0"/>
          <w:szCs w:val="32"/>
          <w:highlight w:val="none"/>
          <w:shd w:val="clear" w:color="auto" w:fill="FFFFFF"/>
          <w:lang w:val="zh-CN"/>
        </w:rPr>
        <w:t>%。</w:t>
      </w:r>
      <w:r>
        <w:rPr>
          <w:rFonts w:hint="eastAsia"/>
          <w:color w:val="000000"/>
          <w:kern w:val="0"/>
          <w:szCs w:val="32"/>
          <w:shd w:val="clear" w:color="auto" w:fill="FFFFFF"/>
          <w:lang w:val="zh-CN"/>
        </w:rPr>
        <w:t>（2）</w:t>
      </w:r>
      <w:r>
        <w:rPr>
          <w:color w:val="000000"/>
          <w:kern w:val="0"/>
          <w:szCs w:val="32"/>
          <w:shd w:val="clear" w:color="auto" w:fill="FFFFFF"/>
          <w:lang w:val="zh-CN"/>
        </w:rPr>
        <w:t>采购执行率总分</w:t>
      </w:r>
      <w:r>
        <w:rPr>
          <w:rFonts w:hint="eastAsia"/>
          <w:color w:val="000000"/>
          <w:kern w:val="0"/>
          <w:szCs w:val="32"/>
          <w:shd w:val="clear" w:color="auto" w:fill="FFFFFF"/>
          <w:lang w:val="zh-CN"/>
        </w:rPr>
        <w:t>3分，自评得分3分，202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w:t>
      </w:r>
      <w:r>
        <w:rPr>
          <w:rFonts w:hint="eastAsia"/>
          <w:color w:val="000000"/>
          <w:kern w:val="0"/>
          <w:szCs w:val="32"/>
          <w:shd w:val="clear" w:color="auto" w:fill="FFFFFF"/>
          <w:lang w:val="en-US" w:eastAsia="zh-CN"/>
        </w:rPr>
        <w:t>预算资金安排49.5万元，实际支付49.5万元，</w:t>
      </w:r>
      <w:r>
        <w:rPr>
          <w:rFonts w:hint="eastAsia"/>
          <w:color w:val="000000"/>
          <w:kern w:val="0"/>
          <w:szCs w:val="32"/>
          <w:shd w:val="clear" w:color="auto" w:fill="FFFFFF"/>
          <w:lang w:val="zh-CN"/>
        </w:rPr>
        <w:t>采购执行率为100%</w:t>
      </w:r>
      <w:r>
        <w:rPr>
          <w:color w:val="000000"/>
          <w:kern w:val="0"/>
          <w:szCs w:val="32"/>
          <w:shd w:val="clear" w:color="auto" w:fill="FFFFFF"/>
          <w:lang w:val="zh-CN"/>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color w:val="000000"/>
          <w:kern w:val="0"/>
          <w:szCs w:val="32"/>
          <w:shd w:val="clear" w:color="auto" w:fill="FFFFFF"/>
        </w:rPr>
      </w:pPr>
      <w:r>
        <w:rPr>
          <w:rFonts w:eastAsia="楷体_GB2312"/>
          <w:b w:val="0"/>
          <w:bCs w:val="0"/>
          <w:color w:val="000000"/>
          <w:kern w:val="0"/>
          <w:szCs w:val="32"/>
          <w:shd w:val="clear" w:color="auto" w:fill="FFFFFF"/>
          <w:lang w:val="zh-CN"/>
        </w:rPr>
        <w:t>（二）部门预算项目绩效分析。</w:t>
      </w:r>
    </w:p>
    <w:p>
      <w:pPr>
        <w:pageBreakBefore w:val="0"/>
        <w:kinsoku/>
        <w:wordWrap/>
        <w:overflowPunct/>
        <w:topLinePunct w:val="0"/>
        <w:autoSpaceDE/>
        <w:autoSpaceDN/>
        <w:bidi w:val="0"/>
        <w:adjustRightInd w:val="0"/>
        <w:snapToGrid w:val="0"/>
        <w:spacing w:line="560" w:lineRule="exact"/>
        <w:ind w:firstLine="640" w:firstLineChars="200"/>
        <w:contextualSpacing/>
        <w:jc w:val="left"/>
        <w:textAlignment w:val="auto"/>
        <w:rPr>
          <w:color w:val="000000"/>
          <w:kern w:val="0"/>
          <w:szCs w:val="32"/>
          <w:shd w:val="clear" w:color="auto" w:fill="FFFFFF"/>
          <w:lang w:val="zh-CN"/>
        </w:rPr>
      </w:pPr>
      <w:r>
        <w:rPr>
          <w:color w:val="000000"/>
          <w:kern w:val="0"/>
          <w:szCs w:val="32"/>
          <w:shd w:val="clear" w:color="auto" w:fill="FFFFFF"/>
          <w:lang w:val="zh-CN"/>
        </w:rPr>
        <w:t>该类项目总数</w:t>
      </w:r>
      <w:r>
        <w:rPr>
          <w:rFonts w:hint="eastAsia"/>
          <w:color w:val="000000"/>
          <w:kern w:val="0"/>
          <w:szCs w:val="32"/>
          <w:shd w:val="clear" w:color="auto" w:fill="FFFFFF"/>
          <w:lang w:val="en-US" w:eastAsia="zh-CN"/>
        </w:rPr>
        <w:t>5</w:t>
      </w:r>
      <w:r>
        <w:rPr>
          <w:color w:val="000000"/>
          <w:kern w:val="0"/>
          <w:szCs w:val="32"/>
          <w:shd w:val="clear" w:color="auto" w:fill="FFFFFF"/>
          <w:lang w:val="zh-CN"/>
        </w:rPr>
        <w:t>个，</w:t>
      </w:r>
      <w:r>
        <w:rPr>
          <w:rFonts w:hint="eastAsia"/>
          <w:color w:val="auto"/>
          <w:kern w:val="0"/>
          <w:szCs w:val="32"/>
          <w:shd w:val="clear" w:color="auto" w:fill="FFFFFF"/>
          <w:lang w:val="en-US" w:eastAsia="zh-CN"/>
        </w:rPr>
        <w:t>包括医疗服务与保障能力提升中央财政补助资金、医保定点医药机构监管经费、市级干部挂职补助等5个项目。</w:t>
      </w:r>
      <w:r>
        <w:rPr>
          <w:color w:val="000000"/>
          <w:kern w:val="0"/>
          <w:szCs w:val="32"/>
          <w:shd w:val="clear" w:color="auto" w:fill="FFFFFF"/>
          <w:lang w:val="zh-CN"/>
        </w:rPr>
        <w:t>涉及预算总金额</w:t>
      </w:r>
      <w:r>
        <w:rPr>
          <w:rFonts w:hint="eastAsia"/>
          <w:color w:val="000000"/>
          <w:kern w:val="0"/>
          <w:szCs w:val="32"/>
          <w:shd w:val="clear" w:color="auto" w:fill="FFFFFF"/>
          <w:lang w:val="en-US" w:eastAsia="zh-CN"/>
        </w:rPr>
        <w:t>386.25</w:t>
      </w:r>
      <w:r>
        <w:rPr>
          <w:color w:val="000000"/>
          <w:kern w:val="0"/>
          <w:szCs w:val="32"/>
          <w:shd w:val="clear" w:color="auto" w:fill="FFFFFF"/>
          <w:lang w:val="zh-CN"/>
        </w:rPr>
        <w:t>万元，1</w:t>
      </w:r>
      <w:r>
        <w:rPr>
          <w:rFonts w:hint="eastAsia"/>
          <w:color w:val="000000"/>
          <w:kern w:val="0"/>
          <w:szCs w:val="32"/>
          <w:shd w:val="clear" w:color="auto" w:fill="FFFFFF"/>
          <w:lang w:val="zh-CN"/>
        </w:rPr>
        <w:t>—</w:t>
      </w:r>
      <w:r>
        <w:rPr>
          <w:color w:val="000000"/>
          <w:kern w:val="0"/>
          <w:szCs w:val="32"/>
          <w:shd w:val="clear" w:color="auto" w:fill="FFFFFF"/>
          <w:lang w:val="zh-CN"/>
        </w:rPr>
        <w:t>1</w:t>
      </w:r>
      <w:r>
        <w:rPr>
          <w:color w:val="000000"/>
          <w:kern w:val="0"/>
          <w:szCs w:val="32"/>
          <w:shd w:val="clear" w:color="auto" w:fill="FFFFFF"/>
        </w:rPr>
        <w:t>2</w:t>
      </w:r>
      <w:r>
        <w:rPr>
          <w:color w:val="000000"/>
          <w:kern w:val="0"/>
          <w:szCs w:val="32"/>
          <w:shd w:val="clear" w:color="auto" w:fill="FFFFFF"/>
          <w:lang w:val="zh-CN"/>
        </w:rPr>
        <w:t>月预算执行总体进度为</w:t>
      </w:r>
      <w:r>
        <w:rPr>
          <w:rFonts w:hint="eastAsia"/>
          <w:color w:val="000000"/>
          <w:kern w:val="0"/>
          <w:szCs w:val="32"/>
          <w:shd w:val="clear" w:color="auto" w:fill="FFFFFF"/>
          <w:lang w:val="en-US" w:eastAsia="zh-CN"/>
        </w:rPr>
        <w:t>96.74</w:t>
      </w:r>
      <w:r>
        <w:rPr>
          <w:color w:val="000000"/>
          <w:kern w:val="0"/>
          <w:szCs w:val="32"/>
          <w:shd w:val="clear" w:color="auto" w:fill="FFFFFF"/>
          <w:lang w:val="zh-CN"/>
        </w:rPr>
        <w:t>%，</w:t>
      </w:r>
      <w:r>
        <w:rPr>
          <w:rFonts w:hint="eastAsia"/>
          <w:color w:val="000000"/>
          <w:kern w:val="0"/>
          <w:szCs w:val="32"/>
          <w:shd w:val="clear" w:color="auto" w:fill="FFFFFF"/>
          <w:lang w:val="en-US" w:eastAsia="zh-CN"/>
        </w:rPr>
        <w:t>无</w:t>
      </w:r>
      <w:r>
        <w:rPr>
          <w:color w:val="000000"/>
          <w:kern w:val="0"/>
          <w:szCs w:val="32"/>
          <w:shd w:val="clear" w:color="auto" w:fill="FFFFFF"/>
          <w:lang w:val="zh-CN"/>
        </w:rPr>
        <w:t>预算结余率大于</w:t>
      </w:r>
      <w:r>
        <w:rPr>
          <w:color w:val="000000"/>
          <w:kern w:val="0"/>
          <w:szCs w:val="32"/>
          <w:shd w:val="clear" w:color="auto" w:fill="FFFFFF"/>
        </w:rPr>
        <w:t>10%</w:t>
      </w:r>
      <w:r>
        <w:rPr>
          <w:color w:val="000000"/>
          <w:kern w:val="0"/>
          <w:szCs w:val="32"/>
          <w:shd w:val="clear" w:color="auto" w:fill="FFFFFF"/>
          <w:lang w:val="zh-CN"/>
        </w:rPr>
        <w:t>的项目。</w:t>
      </w:r>
    </w:p>
    <w:p>
      <w:pPr>
        <w:numPr>
          <w:ilvl w:val="0"/>
          <w:numId w:val="0"/>
        </w:numPr>
        <w:adjustRightInd/>
        <w:snapToGrid/>
        <w:spacing w:line="560" w:lineRule="exact"/>
        <w:ind w:firstLine="640" w:firstLineChars="200"/>
        <w:contextualSpacing w:val="0"/>
        <w:jc w:val="left"/>
        <w:outlineLvl w:val="9"/>
        <w:rPr>
          <w:rFonts w:eastAsia="楷体_GB2312"/>
          <w:color w:val="000000"/>
          <w:kern w:val="0"/>
          <w:szCs w:val="32"/>
          <w:highlight w:val="none"/>
          <w:shd w:val="clear" w:color="auto" w:fill="FFFFFF"/>
          <w:lang w:val="zh-CN"/>
        </w:rPr>
      </w:pPr>
      <w:r>
        <w:rPr>
          <w:rFonts w:hint="eastAsia" w:eastAsia="楷体_GB2312"/>
          <w:color w:val="000000"/>
          <w:kern w:val="0"/>
          <w:szCs w:val="32"/>
          <w:highlight w:val="none"/>
          <w:shd w:val="clear" w:color="auto" w:fill="FFFFFF"/>
          <w:lang w:val="en-US" w:eastAsia="zh-CN"/>
        </w:rPr>
        <w:t>1.</w:t>
      </w:r>
      <w:r>
        <w:rPr>
          <w:rFonts w:eastAsia="楷体_GB2312"/>
          <w:color w:val="000000"/>
          <w:kern w:val="0"/>
          <w:szCs w:val="32"/>
          <w:highlight w:val="none"/>
          <w:shd w:val="clear" w:color="auto" w:fill="FFFFFF"/>
          <w:lang w:val="zh-CN"/>
        </w:rPr>
        <w:t>项目决策。</w:t>
      </w:r>
      <w:r>
        <w:rPr>
          <w:color w:val="000000"/>
          <w:kern w:val="0"/>
          <w:szCs w:val="32"/>
          <w:shd w:val="clear" w:color="auto" w:fill="FFFFFF"/>
          <w:lang w:val="zh-CN"/>
        </w:rPr>
        <w:t>总分</w:t>
      </w:r>
      <w:r>
        <w:rPr>
          <w:rFonts w:hint="eastAsia"/>
          <w:color w:val="000000"/>
          <w:kern w:val="0"/>
          <w:szCs w:val="32"/>
          <w:shd w:val="clear" w:color="auto" w:fill="FFFFFF"/>
          <w:lang w:val="zh-CN"/>
        </w:rPr>
        <w:t>12分，</w:t>
      </w:r>
      <w:r>
        <w:rPr>
          <w:color w:val="000000"/>
          <w:kern w:val="0"/>
          <w:szCs w:val="32"/>
          <w:shd w:val="clear" w:color="auto" w:fill="FFFFFF"/>
          <w:lang w:val="zh-CN"/>
        </w:rPr>
        <w:t>自评得分</w:t>
      </w:r>
      <w:r>
        <w:rPr>
          <w:rFonts w:hint="eastAsia"/>
          <w:color w:val="000000"/>
          <w:kern w:val="0"/>
          <w:szCs w:val="32"/>
          <w:shd w:val="clear" w:color="auto" w:fill="FFFFFF"/>
          <w:lang w:val="zh-CN"/>
        </w:rPr>
        <w:t>12分。其中：（1）</w:t>
      </w:r>
      <w:r>
        <w:rPr>
          <w:color w:val="000000"/>
          <w:kern w:val="0"/>
          <w:szCs w:val="32"/>
          <w:shd w:val="clear" w:color="auto" w:fill="FFFFFF"/>
          <w:lang w:val="zh-CN"/>
        </w:rPr>
        <w:t>决策程序总分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年预算项目设立均按规定履行评估论证、申报程序，程序合规。（2）</w:t>
      </w:r>
      <w:r>
        <w:rPr>
          <w:color w:val="000000"/>
          <w:kern w:val="0"/>
          <w:szCs w:val="32"/>
          <w:shd w:val="clear" w:color="auto" w:fill="FFFFFF"/>
          <w:lang w:val="zh-CN"/>
        </w:rPr>
        <w:t>目标设置总分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年预算项目绩效目标与计划期内的任务量、预算安排的资金量相匹配，绩效目标设置科学合理、规范完整、量化细化、预算匹配。（3）</w:t>
      </w:r>
      <w:r>
        <w:rPr>
          <w:color w:val="000000"/>
          <w:kern w:val="0"/>
          <w:szCs w:val="32"/>
          <w:shd w:val="clear" w:color="auto" w:fill="FFFFFF"/>
          <w:lang w:val="zh-CN"/>
        </w:rPr>
        <w:t>项目入库总分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年预算项目均在规定时间完成项目入库</w:t>
      </w:r>
      <w:r>
        <w:rPr>
          <w:color w:val="000000"/>
          <w:kern w:val="0"/>
          <w:szCs w:val="32"/>
          <w:shd w:val="clear" w:color="auto" w:fill="FFFFFF"/>
          <w:lang w:val="zh-CN"/>
        </w:rPr>
        <w:t>。</w:t>
      </w:r>
    </w:p>
    <w:p>
      <w:pPr>
        <w:pageBreakBefore w:val="0"/>
        <w:numPr>
          <w:ilvl w:val="-1"/>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cs="Times New Roman"/>
          <w:bCs/>
          <w:szCs w:val="32"/>
        </w:rPr>
      </w:pPr>
      <w:r>
        <w:rPr>
          <w:rFonts w:hint="eastAsia" w:eastAsia="楷体_GB2312"/>
          <w:color w:val="000000"/>
          <w:kern w:val="0"/>
          <w:szCs w:val="32"/>
          <w:highlight w:val="none"/>
          <w:shd w:val="clear" w:color="auto" w:fill="FFFFFF"/>
          <w:lang w:val="en-US" w:eastAsia="zh-CN"/>
        </w:rPr>
        <w:t>2.</w:t>
      </w:r>
      <w:r>
        <w:rPr>
          <w:rFonts w:eastAsia="楷体_GB2312"/>
          <w:color w:val="000000"/>
          <w:kern w:val="0"/>
          <w:szCs w:val="32"/>
          <w:highlight w:val="none"/>
          <w:shd w:val="clear" w:color="auto" w:fill="FFFFFF"/>
        </w:rPr>
        <w:t>项目执行</w:t>
      </w:r>
      <w:r>
        <w:rPr>
          <w:rFonts w:eastAsia="楷体_GB2312"/>
          <w:color w:val="000000"/>
          <w:kern w:val="0"/>
          <w:szCs w:val="32"/>
          <w:highlight w:val="none"/>
          <w:shd w:val="clear" w:color="auto" w:fill="FFFFFF"/>
          <w:lang w:val="zh-CN"/>
        </w:rPr>
        <w:t>。</w:t>
      </w:r>
      <w:r>
        <w:rPr>
          <w:color w:val="000000"/>
          <w:kern w:val="0"/>
          <w:szCs w:val="32"/>
          <w:shd w:val="clear" w:color="auto" w:fill="FFFFFF"/>
          <w:lang w:val="zh-CN"/>
        </w:rPr>
        <w:t>总分</w:t>
      </w:r>
      <w:r>
        <w:rPr>
          <w:rFonts w:hint="eastAsia"/>
          <w:color w:val="000000"/>
          <w:kern w:val="0"/>
          <w:szCs w:val="32"/>
          <w:shd w:val="clear" w:color="auto" w:fill="FFFFFF"/>
          <w:lang w:val="zh-CN"/>
        </w:rPr>
        <w:t>12分，</w:t>
      </w:r>
      <w:r>
        <w:rPr>
          <w:color w:val="000000"/>
          <w:kern w:val="0"/>
          <w:szCs w:val="32"/>
          <w:shd w:val="clear" w:color="auto" w:fill="FFFFFF"/>
          <w:lang w:val="zh-CN"/>
        </w:rPr>
        <w:t>自评得分</w:t>
      </w:r>
      <w:r>
        <w:rPr>
          <w:rFonts w:hint="eastAsia"/>
          <w:color w:val="000000"/>
          <w:kern w:val="0"/>
          <w:szCs w:val="32"/>
          <w:shd w:val="clear" w:color="auto" w:fill="FFFFFF"/>
          <w:lang w:val="zh-CN"/>
        </w:rPr>
        <w:t>12分。其中：（1）</w:t>
      </w:r>
      <w:r>
        <w:rPr>
          <w:color w:val="000000"/>
          <w:kern w:val="0"/>
          <w:szCs w:val="32"/>
          <w:shd w:val="clear" w:color="auto" w:fill="FFFFFF"/>
          <w:lang w:val="zh-CN"/>
        </w:rPr>
        <w:t>执行同向总分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年预算项目实际列支内容均与绩效目标设置方向相符。</w:t>
      </w:r>
      <w:r>
        <w:rPr>
          <w:color w:val="000000"/>
          <w:kern w:val="0"/>
          <w:szCs w:val="32"/>
          <w:shd w:val="clear" w:color="auto" w:fill="FFFFFF"/>
          <w:lang w:val="zh-CN"/>
        </w:rPr>
        <w:t>（</w:t>
      </w:r>
      <w:r>
        <w:rPr>
          <w:rFonts w:hint="eastAsia"/>
          <w:color w:val="000000"/>
          <w:kern w:val="0"/>
          <w:szCs w:val="32"/>
          <w:shd w:val="clear" w:color="auto" w:fill="FFFFFF"/>
          <w:lang w:val="zh-CN"/>
        </w:rPr>
        <w:t>2</w:t>
      </w:r>
      <w:r>
        <w:rPr>
          <w:color w:val="000000"/>
          <w:kern w:val="0"/>
          <w:szCs w:val="32"/>
          <w:shd w:val="clear" w:color="auto" w:fill="FFFFFF"/>
          <w:lang w:val="zh-CN"/>
        </w:rPr>
        <w:t>）项目调整总分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年预算项目均采取对应调整措施，</w:t>
      </w:r>
      <w:r>
        <w:rPr>
          <w:color w:val="000000"/>
          <w:kern w:val="0"/>
          <w:szCs w:val="32"/>
          <w:shd w:val="clear" w:color="auto" w:fill="FFFFFF"/>
          <w:lang w:val="zh-CN"/>
        </w:rPr>
        <w:t>项目总体执行较好。（</w:t>
      </w:r>
      <w:r>
        <w:rPr>
          <w:rFonts w:hint="eastAsia"/>
          <w:color w:val="000000"/>
          <w:kern w:val="0"/>
          <w:szCs w:val="32"/>
          <w:shd w:val="clear" w:color="auto" w:fill="FFFFFF"/>
          <w:lang w:val="zh-CN"/>
        </w:rPr>
        <w:t>3</w:t>
      </w:r>
      <w:r>
        <w:rPr>
          <w:color w:val="000000"/>
          <w:kern w:val="0"/>
          <w:szCs w:val="32"/>
          <w:shd w:val="clear" w:color="auto" w:fill="FFFFFF"/>
          <w:lang w:val="zh-CN"/>
        </w:rPr>
        <w:t>）执行结果总分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w:t>
      </w:r>
      <w:r>
        <w:rPr>
          <w:color w:val="000000"/>
          <w:kern w:val="0"/>
          <w:szCs w:val="32"/>
          <w:shd w:val="clear" w:color="auto" w:fill="FFFFFF"/>
          <w:lang w:val="zh-CN"/>
        </w:rPr>
        <w:t>项目总体执行</w:t>
      </w:r>
      <w:r>
        <w:rPr>
          <w:rFonts w:hint="eastAsia"/>
          <w:color w:val="000000"/>
          <w:kern w:val="0"/>
          <w:szCs w:val="32"/>
          <w:shd w:val="clear" w:color="auto" w:fill="FFFFFF"/>
          <w:lang w:val="zh-CN"/>
        </w:rPr>
        <w:t>进度</w:t>
      </w:r>
      <w:r>
        <w:rPr>
          <w:color w:val="000000"/>
          <w:kern w:val="0"/>
          <w:szCs w:val="32"/>
          <w:shd w:val="clear" w:color="auto" w:fill="FFFFFF"/>
          <w:lang w:val="zh-CN"/>
        </w:rPr>
        <w:t>为</w:t>
      </w:r>
      <w:r>
        <w:rPr>
          <w:rFonts w:hint="eastAsia"/>
          <w:color w:val="000000"/>
          <w:kern w:val="0"/>
          <w:szCs w:val="32"/>
          <w:shd w:val="clear" w:color="auto" w:fill="FFFFFF"/>
          <w:lang w:val="en-US" w:eastAsia="zh-CN"/>
        </w:rPr>
        <w:t>96.74</w:t>
      </w:r>
      <w:r>
        <w:rPr>
          <w:rFonts w:hint="eastAsia"/>
          <w:color w:val="000000"/>
          <w:kern w:val="0"/>
          <w:szCs w:val="32"/>
          <w:shd w:val="clear" w:color="auto" w:fill="FFFFFF"/>
          <w:lang w:val="zh-CN"/>
        </w:rPr>
        <w:t>%，所有项目预算执行进度均大于90%</w:t>
      </w:r>
      <w:r>
        <w:rPr>
          <w:color w:val="000000"/>
          <w:kern w:val="0"/>
          <w:szCs w:val="32"/>
          <w:shd w:val="clear" w:color="auto" w:fill="FFFFFF"/>
          <w:lang w:val="zh-CN"/>
        </w:rPr>
        <w:t>。</w:t>
      </w:r>
    </w:p>
    <w:p>
      <w:pPr>
        <w:numPr>
          <w:ilvl w:val="0"/>
          <w:numId w:val="0"/>
        </w:numPr>
        <w:adjustRightInd/>
        <w:snapToGrid/>
        <w:spacing w:line="560" w:lineRule="exact"/>
        <w:ind w:firstLine="640" w:firstLineChars="200"/>
        <w:contextualSpacing w:val="0"/>
        <w:jc w:val="left"/>
        <w:rPr>
          <w:rFonts w:eastAsia="楷体_GB2312"/>
          <w:color w:val="000000"/>
          <w:kern w:val="0"/>
          <w:szCs w:val="32"/>
          <w:shd w:val="clear" w:color="auto" w:fill="FFFFFF"/>
          <w:lang w:val="zh-CN"/>
        </w:rPr>
      </w:pPr>
      <w:r>
        <w:rPr>
          <w:rFonts w:hint="eastAsia" w:eastAsia="楷体_GB2312"/>
          <w:color w:val="000000"/>
          <w:kern w:val="0"/>
          <w:szCs w:val="32"/>
          <w:highlight w:val="none"/>
          <w:shd w:val="clear" w:color="auto" w:fill="FFFFFF"/>
          <w:lang w:val="en-US" w:eastAsia="zh-CN"/>
        </w:rPr>
        <w:t>3.</w:t>
      </w:r>
      <w:r>
        <w:rPr>
          <w:rFonts w:eastAsia="楷体_GB2312"/>
          <w:color w:val="000000"/>
          <w:kern w:val="0"/>
          <w:szCs w:val="32"/>
          <w:highlight w:val="none"/>
          <w:shd w:val="clear" w:color="auto" w:fill="FFFFFF"/>
          <w:lang w:val="zh-CN"/>
        </w:rPr>
        <w:t>目标实现</w:t>
      </w:r>
      <w:r>
        <w:rPr>
          <w:szCs w:val="32"/>
          <w:highlight w:val="none"/>
        </w:rPr>
        <w:t>。</w:t>
      </w:r>
      <w:r>
        <w:rPr>
          <w:color w:val="000000"/>
          <w:kern w:val="0"/>
          <w:szCs w:val="32"/>
          <w:shd w:val="clear" w:color="auto" w:fill="FFFFFF"/>
          <w:lang w:val="zh-CN"/>
        </w:rPr>
        <w:t>总分</w:t>
      </w:r>
      <w:r>
        <w:rPr>
          <w:rFonts w:hint="eastAsia"/>
          <w:color w:val="000000"/>
          <w:kern w:val="0"/>
          <w:szCs w:val="32"/>
          <w:shd w:val="clear" w:color="auto" w:fill="FFFFFF"/>
          <w:lang w:val="zh-CN"/>
        </w:rPr>
        <w:t>11分，</w:t>
      </w:r>
      <w:r>
        <w:rPr>
          <w:color w:val="000000"/>
          <w:kern w:val="0"/>
          <w:szCs w:val="32"/>
          <w:shd w:val="clear" w:color="auto" w:fill="FFFFFF"/>
          <w:lang w:val="zh-CN"/>
        </w:rPr>
        <w:t>自评得分</w:t>
      </w:r>
      <w:r>
        <w:rPr>
          <w:rFonts w:hint="eastAsia"/>
          <w:color w:val="000000"/>
          <w:kern w:val="0"/>
          <w:szCs w:val="32"/>
          <w:shd w:val="clear" w:color="auto" w:fill="FFFFFF"/>
          <w:lang w:val="zh-CN"/>
        </w:rPr>
        <w:t>11分。其中：（1）</w:t>
      </w:r>
      <w:r>
        <w:rPr>
          <w:color w:val="000000"/>
          <w:kern w:val="0"/>
          <w:szCs w:val="32"/>
          <w:shd w:val="clear" w:color="auto" w:fill="FFFFFF"/>
          <w:lang w:val="zh-CN"/>
        </w:rPr>
        <w:t>目标完成总分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年预算项目绩效目标数量指标完成率为100%。</w:t>
      </w:r>
      <w:r>
        <w:rPr>
          <w:color w:val="000000"/>
          <w:kern w:val="0"/>
          <w:szCs w:val="32"/>
          <w:shd w:val="clear" w:color="auto" w:fill="FFFFFF"/>
          <w:lang w:val="zh-CN"/>
        </w:rPr>
        <w:t>（</w:t>
      </w:r>
      <w:r>
        <w:rPr>
          <w:rFonts w:hint="eastAsia"/>
          <w:color w:val="000000"/>
          <w:kern w:val="0"/>
          <w:szCs w:val="32"/>
          <w:shd w:val="clear" w:color="auto" w:fill="FFFFFF"/>
          <w:lang w:val="zh-CN"/>
        </w:rPr>
        <w:t>2</w:t>
      </w:r>
      <w:r>
        <w:rPr>
          <w:color w:val="000000"/>
          <w:kern w:val="0"/>
          <w:szCs w:val="32"/>
          <w:shd w:val="clear" w:color="auto" w:fill="FFFFFF"/>
          <w:lang w:val="zh-CN"/>
        </w:rPr>
        <w:t>）目标偏离总分</w:t>
      </w:r>
      <w:r>
        <w:rPr>
          <w:rFonts w:hint="eastAsia"/>
          <w:color w:val="000000"/>
          <w:kern w:val="0"/>
          <w:szCs w:val="32"/>
          <w:shd w:val="clear" w:color="auto" w:fill="FFFFFF"/>
          <w:lang w:val="zh-CN"/>
        </w:rPr>
        <w:t>4分，自评得分4分，202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年预算项目绩效目标数量指标实现程度与预期目标无偏离超过30%情况。</w:t>
      </w:r>
      <w:r>
        <w:rPr>
          <w:color w:val="000000"/>
          <w:kern w:val="0"/>
          <w:szCs w:val="32"/>
          <w:shd w:val="clear" w:color="auto" w:fill="FFFFFF"/>
          <w:lang w:val="zh-CN"/>
        </w:rPr>
        <w:t>（</w:t>
      </w:r>
      <w:r>
        <w:rPr>
          <w:rFonts w:hint="eastAsia"/>
          <w:color w:val="000000"/>
          <w:kern w:val="0"/>
          <w:szCs w:val="32"/>
          <w:shd w:val="clear" w:color="auto" w:fill="FFFFFF"/>
          <w:lang w:val="zh-CN"/>
        </w:rPr>
        <w:t>3</w:t>
      </w:r>
      <w:r>
        <w:rPr>
          <w:color w:val="000000"/>
          <w:kern w:val="0"/>
          <w:szCs w:val="32"/>
          <w:shd w:val="clear" w:color="auto" w:fill="FFFFFF"/>
          <w:lang w:val="zh-CN"/>
        </w:rPr>
        <w:t>）实现效果总分</w:t>
      </w:r>
      <w:r>
        <w:rPr>
          <w:rFonts w:hint="eastAsia"/>
          <w:color w:val="000000"/>
          <w:kern w:val="0"/>
          <w:szCs w:val="32"/>
          <w:shd w:val="clear" w:color="auto" w:fill="FFFFFF"/>
          <w:lang w:val="en-US" w:eastAsia="zh-CN"/>
        </w:rPr>
        <w:t>3</w:t>
      </w:r>
      <w:r>
        <w:rPr>
          <w:rFonts w:hint="eastAsia"/>
          <w:color w:val="000000"/>
          <w:kern w:val="0"/>
          <w:szCs w:val="32"/>
          <w:shd w:val="clear" w:color="auto" w:fill="FFFFFF"/>
          <w:lang w:val="zh-CN"/>
        </w:rPr>
        <w:t>分，自评得分</w:t>
      </w:r>
      <w:r>
        <w:rPr>
          <w:rFonts w:hint="eastAsia"/>
          <w:color w:val="000000"/>
          <w:kern w:val="0"/>
          <w:szCs w:val="32"/>
          <w:shd w:val="clear" w:color="auto" w:fill="FFFFFF"/>
          <w:lang w:val="en-US" w:eastAsia="zh-CN"/>
        </w:rPr>
        <w:t>3</w:t>
      </w:r>
      <w:r>
        <w:rPr>
          <w:rFonts w:hint="eastAsia"/>
          <w:color w:val="000000"/>
          <w:kern w:val="0"/>
          <w:szCs w:val="32"/>
          <w:shd w:val="clear" w:color="auto" w:fill="FFFFFF"/>
          <w:lang w:val="zh-CN"/>
        </w:rPr>
        <w:t>分，202</w:t>
      </w:r>
      <w:r>
        <w:rPr>
          <w:rFonts w:hint="eastAsia"/>
          <w:color w:val="000000"/>
          <w:kern w:val="0"/>
          <w:szCs w:val="32"/>
          <w:shd w:val="clear" w:color="auto" w:fill="FFFFFF"/>
          <w:lang w:val="en-US" w:eastAsia="zh-CN"/>
        </w:rPr>
        <w:t>5</w:t>
      </w:r>
      <w:r>
        <w:rPr>
          <w:rFonts w:hint="eastAsia"/>
          <w:color w:val="000000"/>
          <w:kern w:val="0"/>
          <w:szCs w:val="32"/>
          <w:shd w:val="clear" w:color="auto" w:fill="FFFFFF"/>
          <w:lang w:val="zh-CN"/>
        </w:rPr>
        <w:t>年预算项目绩效目标效益指标实施效果为100%</w:t>
      </w:r>
      <w:r>
        <w:rPr>
          <w:color w:val="000000"/>
          <w:kern w:val="0"/>
          <w:szCs w:val="32"/>
          <w:shd w:val="clear" w:color="auto" w:fill="FFFFFF"/>
          <w:lang w:val="zh-CN"/>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rFonts w:ascii="Times New Roman" w:hAnsi="Times New Roman" w:cs="Times New Roman"/>
          <w:color w:val="000000"/>
          <w:kern w:val="0"/>
          <w:szCs w:val="32"/>
          <w:highlight w:val="yellow"/>
          <w:shd w:val="clear" w:color="auto" w:fill="FFFFFF"/>
          <w:lang w:val="zh-CN"/>
        </w:rPr>
      </w:pPr>
      <w:r>
        <w:rPr>
          <w:rFonts w:hint="eastAsia" w:eastAsia="楷体_GB2312"/>
          <w:b w:val="0"/>
          <w:bCs w:val="0"/>
          <w:szCs w:val="32"/>
          <w:lang w:val="zh-CN"/>
        </w:rPr>
        <w:t>（三）</w:t>
      </w:r>
      <w:r>
        <w:rPr>
          <w:rFonts w:eastAsia="楷体_GB2312"/>
          <w:b w:val="0"/>
          <w:bCs w:val="0"/>
          <w:szCs w:val="32"/>
          <w:lang w:val="zh-CN"/>
        </w:rPr>
        <w:t>绩效结果应用情况。</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rPr>
          <w:b/>
          <w:szCs w:val="32"/>
        </w:rPr>
      </w:pPr>
      <w:r>
        <w:rPr>
          <w:rFonts w:hint="eastAsia" w:ascii="Times New Roman" w:hAnsi="Times New Roman" w:cs="Times New Roman"/>
          <w:kern w:val="0"/>
          <w:sz w:val="32"/>
          <w:szCs w:val="32"/>
          <w:lang w:eastAsia="zh-CN"/>
        </w:rPr>
        <w:t>市</w:t>
      </w:r>
      <w:r>
        <w:rPr>
          <w:rFonts w:hint="eastAsia" w:ascii="Times New Roman" w:hAnsi="Times New Roman" w:cs="Times New Roman"/>
          <w:kern w:val="0"/>
          <w:sz w:val="32"/>
          <w:szCs w:val="32"/>
          <w:lang w:val="en-US" w:eastAsia="zh-CN"/>
        </w:rPr>
        <w:t>医保事务中心</w:t>
      </w:r>
      <w:r>
        <w:rPr>
          <w:rFonts w:hint="default" w:ascii="Times New Roman" w:hAnsi="Times New Roman" w:eastAsia="仿宋_GB2312" w:cs="Times New Roman"/>
          <w:color w:val="auto"/>
          <w:kern w:val="2"/>
          <w:sz w:val="32"/>
          <w:szCs w:val="32"/>
        </w:rPr>
        <w:t>将实际完成数和年度指标值进行对比分析，对预算指标进行合理评估，科学、合理的</w:t>
      </w:r>
      <w:r>
        <w:rPr>
          <w:rFonts w:hint="default" w:ascii="Times New Roman" w:hAnsi="Times New Roman" w:cs="Times New Roman"/>
          <w:color w:val="auto"/>
          <w:kern w:val="2"/>
          <w:sz w:val="32"/>
          <w:szCs w:val="32"/>
          <w:lang w:eastAsia="zh-CN"/>
        </w:rPr>
        <w:t>编制部门预算，提高资金使用效率，</w:t>
      </w:r>
      <w:r>
        <w:rPr>
          <w:rFonts w:hint="default" w:ascii="Times New Roman" w:hAnsi="Times New Roman" w:eastAsia="仿宋_GB2312" w:cs="Times New Roman"/>
          <w:color w:val="auto"/>
          <w:kern w:val="2"/>
          <w:sz w:val="32"/>
          <w:szCs w:val="32"/>
        </w:rPr>
        <w:t>绩效自评结果拟在</w:t>
      </w:r>
      <w:r>
        <w:rPr>
          <w:rFonts w:hint="eastAsia" w:cs="Times New Roman"/>
          <w:color w:val="auto"/>
          <w:kern w:val="2"/>
          <w:sz w:val="32"/>
          <w:szCs w:val="32"/>
          <w:lang w:val="en-US" w:eastAsia="zh-CN"/>
        </w:rPr>
        <w:t>攀枝花市医疗保障局</w:t>
      </w:r>
      <w:r>
        <w:rPr>
          <w:rFonts w:hint="default" w:ascii="Times New Roman" w:hAnsi="Times New Roman" w:eastAsia="仿宋_GB2312" w:cs="Times New Roman"/>
          <w:color w:val="auto"/>
          <w:kern w:val="2"/>
          <w:sz w:val="32"/>
          <w:szCs w:val="32"/>
        </w:rPr>
        <w:t>网站公示公开</w:t>
      </w:r>
      <w:r>
        <w:rPr>
          <w:rFonts w:hint="eastAsia" w:cs="Times New Roman"/>
          <w:color w:val="auto"/>
          <w:kern w:val="2"/>
          <w:sz w:val="32"/>
          <w:szCs w:val="32"/>
          <w:lang w:eastAsia="zh-CN"/>
        </w:rPr>
        <w:t>，</w:t>
      </w:r>
      <w:r>
        <w:rPr>
          <w:bCs/>
          <w:szCs w:val="32"/>
        </w:rPr>
        <w:t>并按要求反馈市级财政部门，对绩效管理过程中发现的问题及时纠偏，绩效结果得到充分应用</w:t>
      </w:r>
      <w:r>
        <w:rPr>
          <w:rFonts w:hint="default" w:ascii="Times New Roman" w:hAnsi="Times New Roman" w:eastAsia="仿宋_GB2312" w:cs="Times New Roman"/>
          <w:color w:val="auto"/>
          <w:kern w:val="2"/>
          <w:sz w:val="32"/>
          <w:szCs w:val="32"/>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黑体"/>
          <w:color w:val="000000"/>
          <w:kern w:val="0"/>
          <w:szCs w:val="32"/>
          <w:shd w:val="clear" w:color="auto" w:fill="FFFFFF"/>
        </w:rPr>
      </w:pPr>
      <w:r>
        <w:rPr>
          <w:rFonts w:eastAsia="黑体"/>
          <w:color w:val="000000"/>
          <w:kern w:val="0"/>
          <w:szCs w:val="32"/>
          <w:shd w:val="clear" w:color="auto" w:fill="FFFFFF"/>
        </w:rPr>
        <w:t>四、评价结论及建议</w:t>
      </w:r>
    </w:p>
    <w:p>
      <w:pPr>
        <w:spacing w:line="540" w:lineRule="exact"/>
        <w:ind w:firstLine="640" w:firstLineChars="200"/>
        <w:rPr>
          <w:kern w:val="0"/>
          <w:szCs w:val="32"/>
        </w:rPr>
      </w:pPr>
      <w:r>
        <w:rPr>
          <w:rFonts w:eastAsia="楷体_GB2312"/>
          <w:b w:val="0"/>
          <w:bCs w:val="0"/>
          <w:color w:val="000000"/>
          <w:kern w:val="0"/>
          <w:szCs w:val="32"/>
          <w:shd w:val="clear" w:color="auto" w:fill="FFFFFF"/>
          <w:lang w:val="zh-CN"/>
        </w:rPr>
        <w:t>（一）评价结论。</w:t>
      </w:r>
    </w:p>
    <w:p>
      <w:pPr>
        <w:spacing w:line="540" w:lineRule="exact"/>
        <w:ind w:firstLine="640" w:firstLineChars="200"/>
        <w:rPr>
          <w:rFonts w:eastAsia="楷体_GB2312"/>
          <w:b/>
          <w:bCs/>
          <w:color w:val="auto"/>
          <w:kern w:val="0"/>
          <w:szCs w:val="32"/>
          <w:highlight w:val="none"/>
          <w:shd w:val="clear" w:color="auto" w:fill="FFFFFF"/>
        </w:rPr>
      </w:pP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w:t>
      </w:r>
      <w:r>
        <w:rPr>
          <w:rFonts w:hint="eastAsia" w:cs="Times New Roman"/>
          <w:color w:val="auto"/>
          <w:sz w:val="32"/>
          <w:szCs w:val="32"/>
          <w:lang w:eastAsia="zh-CN"/>
        </w:rPr>
        <w:t>我</w:t>
      </w:r>
      <w:r>
        <w:rPr>
          <w:rFonts w:hint="default" w:ascii="Times New Roman" w:hAnsi="Times New Roman" w:eastAsia="仿宋_GB2312" w:cs="Times New Roman"/>
          <w:color w:val="auto"/>
          <w:sz w:val="32"/>
          <w:szCs w:val="32"/>
        </w:rPr>
        <w:t>中心坚持以人民为中心，围绕保障人民群众医疗保障权益，认真履职尽责。全力推进全民参保计划，广泛开展医保政策宣传，不断提升群众参保积极性与参保覆盖率；严格落实国家、省、市各项医保待遇政策，强化医保基金预算管理，从严规范基金支出，切实守牢基金安全底线，保障医保基金平稳可持续运行。</w:t>
      </w:r>
      <w:r>
        <w:rPr>
          <w:rFonts w:ascii="Times New Roman" w:hAnsi="Times New Roman" w:eastAsia="仿宋_GB2312" w:cs="Times New Roman"/>
          <w:bCs/>
          <w:color w:val="auto"/>
          <w:sz w:val="32"/>
          <w:szCs w:val="32"/>
          <w:shd w:val="clear" w:color="auto" w:fill="FFFFFF"/>
        </w:rPr>
        <w:t>深入推进按疾病诊断相关分组（DRG）付费国家示范点建设</w:t>
      </w:r>
      <w:r>
        <w:rPr>
          <w:rFonts w:hint="eastAsia" w:cs="Times New Roman"/>
          <w:bCs/>
          <w:color w:val="auto"/>
          <w:sz w:val="32"/>
          <w:szCs w:val="32"/>
          <w:shd w:val="clear" w:color="auto" w:fill="FFFFFF"/>
          <w:lang w:eastAsia="zh-CN"/>
        </w:rPr>
        <w:t>；</w:t>
      </w:r>
      <w:r>
        <w:rPr>
          <w:rFonts w:ascii="Times New Roman" w:hAnsi="Times New Roman" w:eastAsia="仿宋_GB2312" w:cs="Times New Roman"/>
          <w:bCs/>
          <w:color w:val="auto"/>
          <w:sz w:val="32"/>
          <w:szCs w:val="32"/>
          <w:shd w:val="clear" w:color="auto" w:fill="FFFFFF"/>
        </w:rPr>
        <w:t>着力打造便捷高效的医保经办管理服务体系</w:t>
      </w:r>
      <w:r>
        <w:rPr>
          <w:rFonts w:hint="eastAsia" w:ascii="Times New Roman" w:hAnsi="Times New Roman" w:cs="Times New Roman"/>
          <w:bCs/>
          <w:color w:val="auto"/>
          <w:sz w:val="32"/>
          <w:szCs w:val="32"/>
          <w:lang w:eastAsia="zh-CN"/>
        </w:rPr>
        <w:t>；</w:t>
      </w:r>
      <w:r>
        <w:rPr>
          <w:rFonts w:ascii="Times New Roman" w:hAnsi="Times New Roman" w:eastAsia="仿宋_GB2312" w:cs="Times New Roman"/>
          <w:bCs/>
          <w:color w:val="auto"/>
          <w:sz w:val="32"/>
          <w:szCs w:val="32"/>
        </w:rPr>
        <w:t>不断加大基金监管工作力度，严厉打击欺诈骗保行为</w:t>
      </w:r>
      <w:r>
        <w:rPr>
          <w:rFonts w:hint="eastAsia" w:ascii="Times New Roman" w:hAnsi="Times New Roman" w:cs="Times New Roman"/>
          <w:bCs/>
          <w:color w:val="auto"/>
          <w:sz w:val="32"/>
          <w:szCs w:val="32"/>
          <w:lang w:eastAsia="zh-CN"/>
        </w:rPr>
        <w:t>；</w:t>
      </w:r>
      <w:r>
        <w:rPr>
          <w:rFonts w:ascii="Times New Roman" w:hAnsi="Times New Roman" w:eastAsia="仿宋_GB2312" w:cs="Times New Roman"/>
          <w:bCs/>
          <w:color w:val="auto"/>
          <w:sz w:val="32"/>
          <w:szCs w:val="32"/>
        </w:rPr>
        <w:t>进一步完善医保信息平台建设，有效提升了医疗保障服务能力，</w:t>
      </w:r>
      <w:r>
        <w:rPr>
          <w:rFonts w:ascii="Times New Roman" w:hAnsi="Times New Roman" w:eastAsia="仿宋_GB2312" w:cs="Times New Roman"/>
          <w:color w:val="auto"/>
          <w:sz w:val="32"/>
          <w:szCs w:val="32"/>
        </w:rPr>
        <w:t>按预期绩效目标圆满完成了各项医保工作任务，实现了保运转，惠民生、促发展、推改革的总体目标。</w:t>
      </w:r>
      <w:r>
        <w:rPr>
          <w:rFonts w:hint="eastAsia" w:cs="Times New Roman"/>
          <w:color w:val="auto"/>
          <w:sz w:val="32"/>
          <w:szCs w:val="32"/>
          <w:lang w:val="en-US" w:eastAsia="zh-CN"/>
        </w:rPr>
        <w:t>综上，</w:t>
      </w:r>
      <w:r>
        <w:rPr>
          <w:rFonts w:hint="eastAsia" w:ascii="仿宋_GB2312" w:hAnsi="仿宋_GB2312" w:eastAsia="仿宋_GB2312" w:cs="仿宋_GB2312"/>
          <w:color w:val="auto"/>
          <w:sz w:val="32"/>
          <w:szCs w:val="32"/>
          <w:highlight w:val="none"/>
        </w:rPr>
        <w:t>绩效自评</w:t>
      </w:r>
      <w:r>
        <w:rPr>
          <w:rFonts w:hint="default" w:ascii="Times New Roman" w:hAnsi="Times New Roman" w:eastAsia="仿宋_GB2312" w:cs="Times New Roman"/>
          <w:color w:val="auto"/>
          <w:sz w:val="32"/>
          <w:szCs w:val="32"/>
          <w:highlight w:val="none"/>
        </w:rPr>
        <w:t>得分</w:t>
      </w:r>
      <w:r>
        <w:rPr>
          <w:rFonts w:hint="default" w:ascii="Times New Roman" w:hAnsi="Times New Roman" w:cs="Times New Roman"/>
          <w:color w:val="auto"/>
          <w:sz w:val="32"/>
          <w:szCs w:val="32"/>
          <w:highlight w:val="none"/>
          <w:lang w:val="en-US" w:eastAsia="zh-CN"/>
        </w:rPr>
        <w:t>94.1</w:t>
      </w:r>
      <w:r>
        <w:rPr>
          <w:rFonts w:hint="eastAsia"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分</w:t>
      </w:r>
      <w:r>
        <w:rPr>
          <w:rFonts w:hint="eastAsia" w:ascii="仿宋_GB2312" w:hAnsi="仿宋_GB2312" w:eastAsia="仿宋_GB2312" w:cs="仿宋_GB2312"/>
          <w:color w:val="auto"/>
          <w:sz w:val="32"/>
          <w:szCs w:val="32"/>
          <w:highlight w:val="none"/>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楷体_GB2312"/>
          <w:b w:val="0"/>
          <w:bCs w:val="0"/>
          <w:color w:val="000000"/>
          <w:kern w:val="0"/>
          <w:szCs w:val="32"/>
          <w:shd w:val="clear" w:color="auto" w:fill="FFFFFF"/>
          <w:lang w:val="zh-CN"/>
        </w:rPr>
      </w:pPr>
      <w:r>
        <w:rPr>
          <w:rFonts w:eastAsia="楷体_GB2312"/>
          <w:b w:val="0"/>
          <w:bCs w:val="0"/>
          <w:color w:val="000000"/>
          <w:kern w:val="0"/>
          <w:szCs w:val="32"/>
          <w:shd w:val="clear" w:color="auto" w:fill="FFFFFF"/>
          <w:lang w:val="zh-CN"/>
        </w:rPr>
        <w:t>（二）存在问题。</w:t>
      </w:r>
    </w:p>
    <w:p>
      <w:pPr>
        <w:pageBreakBefore w:val="0"/>
        <w:widowControl/>
        <w:kinsoku/>
        <w:wordWrap/>
        <w:overflowPunct/>
        <w:topLinePunct w:val="0"/>
        <w:autoSpaceDE/>
        <w:autoSpaceDN/>
        <w:bidi w:val="0"/>
        <w:adjustRightInd w:val="0"/>
        <w:snapToGrid w:val="0"/>
        <w:spacing w:line="560" w:lineRule="exact"/>
        <w:ind w:firstLine="640" w:firstLineChars="200"/>
        <w:contextualSpacing/>
        <w:textAlignment w:val="auto"/>
        <w:rPr>
          <w:rFonts w:hint="eastAsia" w:ascii="仿宋_GB2312" w:hAnsi="仿宋_GB2312" w:eastAsia="仿宋_GB2312" w:cs="仿宋_GB2312"/>
          <w:b w:val="0"/>
          <w:bCs/>
          <w:sz w:val="32"/>
          <w:szCs w:val="32"/>
          <w:highlight w:val="none"/>
          <w:lang w:val="zh-CN"/>
        </w:rPr>
      </w:pPr>
      <w:r>
        <w:rPr>
          <w:rFonts w:hint="default" w:eastAsia="方正仿宋_GBK"/>
          <w:sz w:val="32"/>
          <w:szCs w:val="32"/>
        </w:rPr>
        <w:t>项目预算执行率有待提高，</w:t>
      </w:r>
      <w:bookmarkStart w:id="3" w:name="OLE_LINK2"/>
      <w:bookmarkStart w:id="4" w:name="OLE_LINK7"/>
      <w:r>
        <w:rPr>
          <w:rFonts w:hint="eastAsia" w:eastAsia="方正仿宋_GBK"/>
          <w:sz w:val="32"/>
          <w:szCs w:val="32"/>
          <w:lang w:val="en-US" w:eastAsia="zh-CN"/>
        </w:rPr>
        <w:t>2025年</w:t>
      </w:r>
      <w:r>
        <w:rPr>
          <w:rFonts w:hint="default" w:eastAsia="方正仿宋_GBK"/>
          <w:sz w:val="32"/>
          <w:szCs w:val="32"/>
          <w:highlight w:val="none"/>
        </w:rPr>
        <w:t>医疗服务与保障能力提升</w:t>
      </w:r>
      <w:r>
        <w:rPr>
          <w:rFonts w:hint="eastAsia" w:eastAsia="方正仿宋_GBK"/>
          <w:sz w:val="32"/>
          <w:szCs w:val="32"/>
          <w:highlight w:val="none"/>
          <w:lang w:val="en-US" w:eastAsia="zh-CN"/>
        </w:rPr>
        <w:t>中央财政</w:t>
      </w:r>
      <w:r>
        <w:rPr>
          <w:rFonts w:hint="default" w:eastAsia="方正仿宋_GBK"/>
          <w:sz w:val="32"/>
          <w:szCs w:val="32"/>
          <w:highlight w:val="none"/>
        </w:rPr>
        <w:t>补助资金因</w:t>
      </w:r>
      <w:r>
        <w:rPr>
          <w:rFonts w:hint="eastAsia" w:eastAsia="方正仿宋_GBK"/>
          <w:sz w:val="32"/>
          <w:szCs w:val="32"/>
          <w:highlight w:val="none"/>
          <w:lang w:val="en-US" w:eastAsia="zh-CN"/>
        </w:rPr>
        <w:t>受二次分配、多层级</w:t>
      </w:r>
      <w:r>
        <w:rPr>
          <w:rFonts w:hint="default" w:eastAsia="方正仿宋_GBK"/>
          <w:sz w:val="32"/>
          <w:szCs w:val="32"/>
          <w:highlight w:val="none"/>
        </w:rPr>
        <w:t>审核</w:t>
      </w:r>
      <w:bookmarkEnd w:id="3"/>
      <w:r>
        <w:rPr>
          <w:rFonts w:hint="default" w:eastAsia="方正仿宋_GBK"/>
          <w:sz w:val="32"/>
          <w:szCs w:val="32"/>
          <w:highlight w:val="none"/>
        </w:rPr>
        <w:t>等因素影响</w:t>
      </w:r>
      <w:bookmarkEnd w:id="4"/>
      <w:r>
        <w:rPr>
          <w:rFonts w:hint="default" w:eastAsia="方正仿宋_GBK"/>
          <w:sz w:val="32"/>
          <w:szCs w:val="32"/>
          <w:highlight w:val="none"/>
        </w:rPr>
        <w:t>，预算执行率</w:t>
      </w:r>
      <w:r>
        <w:rPr>
          <w:rFonts w:hint="eastAsia" w:eastAsia="方正仿宋_GBK"/>
          <w:sz w:val="32"/>
          <w:szCs w:val="32"/>
          <w:highlight w:val="none"/>
          <w:lang w:val="en-US" w:eastAsia="zh-CN"/>
        </w:rPr>
        <w:t>为91.22</w:t>
      </w:r>
      <w:r>
        <w:rPr>
          <w:rFonts w:hint="default" w:eastAsia="方正仿宋_GBK"/>
          <w:sz w:val="32"/>
          <w:szCs w:val="32"/>
          <w:highlight w:val="none"/>
        </w:rPr>
        <w:t>%。</w:t>
      </w:r>
    </w:p>
    <w:p>
      <w:pPr>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rPr>
          <w:rFonts w:eastAsia="楷体_GB2312"/>
          <w:b w:val="0"/>
          <w:bCs w:val="0"/>
          <w:color w:val="000000"/>
          <w:kern w:val="0"/>
          <w:szCs w:val="32"/>
          <w:shd w:val="clear" w:color="auto" w:fill="FFFFFF"/>
          <w:lang w:val="zh-CN"/>
        </w:rPr>
      </w:pPr>
      <w:r>
        <w:rPr>
          <w:rFonts w:eastAsia="楷体_GB2312"/>
          <w:b w:val="0"/>
          <w:bCs w:val="0"/>
          <w:color w:val="000000"/>
          <w:kern w:val="0"/>
          <w:szCs w:val="32"/>
          <w:shd w:val="clear" w:color="auto" w:fill="FFFFFF"/>
          <w:lang w:val="zh-CN"/>
        </w:rPr>
        <w:t>（三）改进建议。</w:t>
      </w:r>
      <w:bookmarkStart w:id="5" w:name="_Hlk110546638"/>
    </w:p>
    <w:bookmarkEnd w:id="5"/>
    <w:p>
      <w:pPr>
        <w:spacing w:line="578" w:lineRule="exact"/>
        <w:ind w:left="0" w:leftChars="0" w:firstLine="640" w:firstLineChars="200"/>
        <w:rPr>
          <w:color w:val="000000"/>
          <w:kern w:val="0"/>
          <w:szCs w:val="32"/>
          <w:shd w:val="clear" w:color="auto" w:fill="FFFFFF"/>
        </w:rPr>
      </w:pPr>
      <w:r>
        <w:rPr>
          <w:color w:val="000000"/>
          <w:kern w:val="0"/>
          <w:szCs w:val="32"/>
          <w:shd w:val="clear" w:color="auto" w:fill="FFFFFF"/>
        </w:rPr>
        <w:t>一是强化协同联动，</w:t>
      </w:r>
      <w:r>
        <w:rPr>
          <w:rFonts w:hint="eastAsia"/>
          <w:color w:val="000000"/>
          <w:kern w:val="0"/>
          <w:szCs w:val="32"/>
          <w:shd w:val="clear" w:color="auto" w:fill="FFFFFF"/>
          <w:lang w:val="en-US" w:eastAsia="zh-CN"/>
        </w:rPr>
        <w:t>落实财政资金到位</w:t>
      </w:r>
      <w:r>
        <w:rPr>
          <w:color w:val="000000"/>
          <w:kern w:val="0"/>
          <w:szCs w:val="32"/>
          <w:shd w:val="clear" w:color="auto" w:fill="FFFFFF"/>
        </w:rPr>
        <w:t>。主动加强与</w:t>
      </w:r>
      <w:r>
        <w:rPr>
          <w:rFonts w:hint="eastAsia"/>
          <w:color w:val="000000"/>
          <w:kern w:val="0"/>
          <w:szCs w:val="32"/>
          <w:shd w:val="clear" w:color="auto" w:fill="FFFFFF"/>
          <w:lang w:val="en-US" w:eastAsia="zh-CN"/>
        </w:rPr>
        <w:t>市级</w:t>
      </w:r>
      <w:r>
        <w:rPr>
          <w:color w:val="000000"/>
          <w:kern w:val="0"/>
          <w:szCs w:val="32"/>
          <w:shd w:val="clear" w:color="auto" w:fill="FFFFFF"/>
        </w:rPr>
        <w:t>财政部门沟通对接，密切跟踪资金下达进度，优化资金拨付流程，确保项目资金及时足额到位。</w:t>
      </w:r>
    </w:p>
    <w:p>
      <w:pPr>
        <w:spacing w:line="578" w:lineRule="exact"/>
        <w:ind w:left="0" w:leftChars="0" w:firstLine="640" w:firstLineChars="200"/>
        <w:rPr>
          <w:color w:val="000000"/>
          <w:kern w:val="0"/>
          <w:szCs w:val="32"/>
          <w:shd w:val="clear" w:color="auto" w:fill="FFFFFF"/>
        </w:rPr>
      </w:pPr>
      <w:r>
        <w:rPr>
          <w:color w:val="000000"/>
          <w:kern w:val="0"/>
          <w:szCs w:val="32"/>
          <w:shd w:val="clear" w:color="auto" w:fill="FFFFFF"/>
        </w:rPr>
        <w:t>二是压实管理责任，加快预算执行进度。压实项目管理科室主体责任，细化执行节点，强化动态管控，精准高效推进项目实施。</w:t>
      </w:r>
    </w:p>
    <w:p>
      <w:pPr>
        <w:spacing w:line="578" w:lineRule="exact"/>
        <w:ind w:left="0" w:leftChars="0" w:firstLine="640" w:firstLineChars="200"/>
        <w:rPr>
          <w:color w:val="000000"/>
          <w:kern w:val="0"/>
          <w:szCs w:val="32"/>
          <w:shd w:val="clear" w:color="auto" w:fill="FFFFFF"/>
        </w:rPr>
      </w:pPr>
      <w:r>
        <w:rPr>
          <w:color w:val="000000"/>
          <w:kern w:val="0"/>
          <w:szCs w:val="32"/>
          <w:shd w:val="clear" w:color="auto" w:fill="FFFFFF"/>
        </w:rPr>
        <w:t>三是</w:t>
      </w:r>
      <w:r>
        <w:rPr>
          <w:rFonts w:hint="eastAsia"/>
          <w:color w:val="000000"/>
          <w:kern w:val="0"/>
          <w:szCs w:val="32"/>
          <w:shd w:val="clear" w:color="auto" w:fill="FFFFFF"/>
          <w:lang w:val="en-US" w:eastAsia="zh-CN"/>
        </w:rPr>
        <w:t>强化日常监管</w:t>
      </w:r>
      <w:r>
        <w:rPr>
          <w:color w:val="000000"/>
          <w:kern w:val="0"/>
          <w:szCs w:val="32"/>
          <w:shd w:val="clear" w:color="auto" w:fill="FFFFFF"/>
        </w:rPr>
        <w:t>，提升资金使用质效。强化</w:t>
      </w:r>
      <w:r>
        <w:rPr>
          <w:rFonts w:hint="eastAsia"/>
          <w:color w:val="000000"/>
          <w:kern w:val="0"/>
          <w:szCs w:val="32"/>
          <w:shd w:val="clear" w:color="auto" w:fill="FFFFFF"/>
          <w:lang w:val="en-US" w:eastAsia="zh-CN"/>
        </w:rPr>
        <w:t>资金</w:t>
      </w:r>
      <w:r>
        <w:rPr>
          <w:color w:val="000000"/>
          <w:kern w:val="0"/>
          <w:szCs w:val="32"/>
          <w:shd w:val="clear" w:color="auto" w:fill="FFFFFF"/>
        </w:rPr>
        <w:t>日常监管与风险防控，规范资金使用行为</w:t>
      </w:r>
      <w:r>
        <w:rPr>
          <w:rFonts w:hint="eastAsia"/>
          <w:color w:val="000000"/>
          <w:kern w:val="0"/>
          <w:szCs w:val="32"/>
          <w:shd w:val="clear" w:color="auto" w:fill="FFFFFF"/>
          <w:lang w:eastAsia="zh-CN"/>
        </w:rPr>
        <w:t>。</w:t>
      </w:r>
      <w:r>
        <w:rPr>
          <w:color w:val="000000"/>
          <w:kern w:val="0"/>
          <w:szCs w:val="32"/>
          <w:shd w:val="clear" w:color="auto" w:fill="FFFFFF"/>
        </w:rPr>
        <w:t>深化预算绩效管理，强化绩效评价结果运用，以评促改、以评促优，切实提升政策落实成效与项目实施水平。</w:t>
      </w:r>
    </w:p>
    <w:p>
      <w:pPr>
        <w:spacing w:line="578" w:lineRule="exact"/>
        <w:ind w:left="0" w:leftChars="0" w:firstLine="0" w:firstLineChars="0"/>
        <w:rPr>
          <w:color w:val="000000"/>
          <w:kern w:val="0"/>
          <w:szCs w:val="32"/>
          <w:shd w:val="clear" w:color="auto" w:fill="FFFFFF"/>
        </w:rPr>
      </w:pPr>
    </w:p>
    <w:p>
      <w:pPr>
        <w:numPr>
          <w:ilvl w:val="-1"/>
          <w:numId w:val="0"/>
        </w:numPr>
        <w:spacing w:line="578" w:lineRule="exact"/>
        <w:ind w:left="1677" w:leftChars="224" w:hanging="960" w:hangingChars="300"/>
        <w:rPr>
          <w:rFonts w:hint="eastAsia" w:ascii="Times New Roman" w:hAnsi="Times New Roman" w:cs="Times New Roman"/>
          <w:b w:val="0"/>
          <w:bCs/>
          <w:color w:val="000000"/>
          <w:kern w:val="0"/>
          <w:szCs w:val="32"/>
          <w:shd w:val="clear" w:color="auto" w:fill="FFFFFF"/>
        </w:rPr>
      </w:pPr>
      <w:r>
        <w:rPr>
          <w:rFonts w:ascii="Times New Roman" w:hAnsi="Times New Roman" w:cs="Times New Roman"/>
          <w:b w:val="0"/>
          <w:bCs/>
          <w:color w:val="000000"/>
          <w:kern w:val="0"/>
          <w:szCs w:val="32"/>
          <w:shd w:val="clear" w:color="auto" w:fill="FFFFFF"/>
        </w:rPr>
        <w:t>附件</w:t>
      </w:r>
      <w:r>
        <w:rPr>
          <w:rFonts w:hint="eastAsia" w:cs="Times New Roman"/>
          <w:b w:val="0"/>
          <w:bCs/>
          <w:color w:val="000000"/>
          <w:kern w:val="0"/>
          <w:szCs w:val="32"/>
          <w:shd w:val="clear" w:color="auto" w:fill="FFFFFF"/>
          <w:lang w:eastAsia="zh-CN"/>
        </w:rPr>
        <w:t>：</w:t>
      </w:r>
      <w:r>
        <w:rPr>
          <w:rFonts w:ascii="Times New Roman" w:hAnsi="Times New Roman" w:cs="Times New Roman"/>
          <w:b w:val="0"/>
          <w:bCs/>
          <w:color w:val="000000"/>
          <w:kern w:val="0"/>
          <w:szCs w:val="32"/>
          <w:shd w:val="clear" w:color="auto" w:fill="FFFFFF"/>
        </w:rPr>
        <w:t>1</w:t>
      </w:r>
      <w:r>
        <w:rPr>
          <w:rFonts w:hint="default" w:ascii="Times New Roman" w:hAnsi="Times New Roman" w:cs="Times New Roman"/>
          <w:b w:val="0"/>
          <w:bCs/>
          <w:color w:val="000000"/>
          <w:kern w:val="0"/>
          <w:szCs w:val="32"/>
          <w:shd w:val="clear" w:color="auto" w:fill="FFFFFF"/>
        </w:rPr>
        <w:t>.</w:t>
      </w:r>
      <w:r>
        <w:rPr>
          <w:rFonts w:hint="eastAsia" w:ascii="Times New Roman" w:hAnsi="Times New Roman" w:cs="Times New Roman"/>
          <w:b w:val="0"/>
          <w:bCs/>
          <w:color w:val="000000"/>
          <w:kern w:val="0"/>
          <w:szCs w:val="32"/>
          <w:shd w:val="clear" w:color="auto" w:fill="FFFFFF"/>
        </w:rPr>
        <w:t>攀枝花市医疗保障事务中心部门预算绩效自评打分</w:t>
      </w:r>
      <w:r>
        <w:rPr>
          <w:rFonts w:hint="eastAsia" w:cs="Times New Roman"/>
          <w:b w:val="0"/>
          <w:bCs/>
          <w:color w:val="000000"/>
          <w:kern w:val="0"/>
          <w:szCs w:val="32"/>
          <w:shd w:val="clear" w:color="auto" w:fill="FFFFFF"/>
          <w:lang w:val="en-US" w:eastAsia="zh-CN"/>
        </w:rPr>
        <w:t xml:space="preserve"> </w:t>
      </w:r>
      <w:r>
        <w:rPr>
          <w:rFonts w:hint="eastAsia" w:ascii="Times New Roman" w:hAnsi="Times New Roman" w:cs="Times New Roman"/>
          <w:b w:val="0"/>
          <w:bCs/>
          <w:color w:val="000000"/>
          <w:kern w:val="0"/>
          <w:szCs w:val="32"/>
          <w:shd w:val="clear" w:color="auto" w:fill="FFFFFF"/>
        </w:rPr>
        <w:t xml:space="preserve">表 </w:t>
      </w:r>
    </w:p>
    <w:p>
      <w:pPr>
        <w:numPr>
          <w:ilvl w:val="-1"/>
          <w:numId w:val="0"/>
        </w:numPr>
        <w:spacing w:line="578" w:lineRule="exact"/>
        <w:ind w:left="1709" w:leftChars="534" w:firstLine="0" w:firstLineChars="0"/>
        <w:rPr>
          <w:rFonts w:hint="eastAsia" w:ascii="Times New Roman" w:hAnsi="Times New Roman" w:cs="Times New Roman"/>
          <w:b w:val="0"/>
          <w:bCs/>
          <w:color w:val="000000"/>
          <w:kern w:val="0"/>
          <w:szCs w:val="32"/>
          <w:shd w:val="clear" w:color="auto" w:fill="FFFFFF"/>
        </w:rPr>
      </w:pPr>
      <w:r>
        <w:rPr>
          <w:rFonts w:hint="eastAsia" w:cs="Times New Roman"/>
          <w:b w:val="0"/>
          <w:bCs/>
          <w:color w:val="000000"/>
          <w:kern w:val="0"/>
          <w:szCs w:val="32"/>
          <w:shd w:val="clear" w:color="auto" w:fill="FFFFFF"/>
          <w:lang w:val="en-US" w:eastAsia="zh-CN"/>
        </w:rPr>
        <w:t>2.</w:t>
      </w:r>
      <w:r>
        <w:rPr>
          <w:rFonts w:hint="eastAsia" w:ascii="Times New Roman" w:hAnsi="Times New Roman" w:cs="Times New Roman"/>
          <w:b w:val="0"/>
          <w:bCs/>
          <w:color w:val="000000"/>
          <w:kern w:val="0"/>
          <w:szCs w:val="32"/>
          <w:shd w:val="clear" w:color="auto" w:fill="FFFFFF"/>
        </w:rPr>
        <w:t>攀枝花市医疗保障事务中心部门整体绩效目标完成情况自评表（</w:t>
      </w:r>
      <w:r>
        <w:rPr>
          <w:rFonts w:hint="default" w:ascii="Times New Roman" w:hAnsi="Times New Roman" w:cs="Times New Roman"/>
          <w:b w:val="0"/>
          <w:bCs/>
          <w:color w:val="000000"/>
          <w:kern w:val="0"/>
          <w:szCs w:val="32"/>
          <w:shd w:val="clear" w:color="auto" w:fill="FFFFFF"/>
        </w:rPr>
        <w:t xml:space="preserve">2025 </w:t>
      </w:r>
      <w:r>
        <w:rPr>
          <w:rFonts w:hint="eastAsia" w:ascii="Times New Roman" w:hAnsi="Times New Roman" w:cs="Times New Roman"/>
          <w:b w:val="0"/>
          <w:bCs/>
          <w:color w:val="000000"/>
          <w:kern w:val="0"/>
          <w:szCs w:val="32"/>
          <w:shd w:val="clear" w:color="auto" w:fill="FFFFFF"/>
        </w:rPr>
        <w:t xml:space="preserve">年度） </w:t>
      </w:r>
    </w:p>
    <w:p>
      <w:pPr>
        <w:numPr>
          <w:ilvl w:val="-1"/>
          <w:numId w:val="0"/>
        </w:numPr>
        <w:spacing w:line="578" w:lineRule="exact"/>
        <w:ind w:left="1709" w:leftChars="534" w:firstLine="0" w:firstLineChars="0"/>
        <w:rPr>
          <w:rFonts w:hint="eastAsia" w:ascii="Times New Roman" w:hAnsi="Times New Roman" w:cs="Times New Roman"/>
          <w:b w:val="0"/>
          <w:bCs/>
          <w:color w:val="000000"/>
          <w:kern w:val="0"/>
          <w:szCs w:val="32"/>
          <w:shd w:val="clear" w:color="auto" w:fill="FFFFFF"/>
        </w:rPr>
      </w:pPr>
      <w:r>
        <w:rPr>
          <w:rFonts w:hint="eastAsia" w:cs="Times New Roman"/>
          <w:b w:val="0"/>
          <w:bCs/>
          <w:color w:val="000000"/>
          <w:kern w:val="0"/>
          <w:szCs w:val="32"/>
          <w:shd w:val="clear" w:color="auto" w:fill="FFFFFF"/>
          <w:lang w:val="en-US" w:eastAsia="zh-CN"/>
        </w:rPr>
        <w:t>3.</w:t>
      </w:r>
      <w:r>
        <w:rPr>
          <w:rFonts w:hint="eastAsia" w:ascii="Times New Roman" w:hAnsi="Times New Roman" w:cs="Times New Roman"/>
          <w:b w:val="0"/>
          <w:bCs/>
          <w:color w:val="000000"/>
          <w:kern w:val="0"/>
          <w:szCs w:val="32"/>
          <w:shd w:val="clear" w:color="auto" w:fill="FFFFFF"/>
        </w:rPr>
        <w:t>市医保事务中心</w:t>
      </w:r>
      <w:r>
        <w:rPr>
          <w:rFonts w:hint="default" w:ascii="Times New Roman" w:hAnsi="Times New Roman" w:cs="Times New Roman"/>
          <w:b w:val="0"/>
          <w:bCs/>
          <w:color w:val="000000"/>
          <w:kern w:val="0"/>
          <w:szCs w:val="32"/>
          <w:shd w:val="clear" w:color="auto" w:fill="FFFFFF"/>
        </w:rPr>
        <w:t xml:space="preserve">2025 </w:t>
      </w:r>
      <w:r>
        <w:rPr>
          <w:rFonts w:hint="eastAsia" w:ascii="Times New Roman" w:hAnsi="Times New Roman" w:cs="Times New Roman"/>
          <w:b w:val="0"/>
          <w:bCs/>
          <w:color w:val="000000"/>
          <w:kern w:val="0"/>
          <w:szCs w:val="32"/>
          <w:shd w:val="clear" w:color="auto" w:fill="FFFFFF"/>
        </w:rPr>
        <w:t xml:space="preserve">年度部门预算绩效评价指标体系 </w:t>
      </w:r>
    </w:p>
    <w:p>
      <w:pPr>
        <w:numPr>
          <w:ilvl w:val="-1"/>
          <w:numId w:val="0"/>
        </w:numPr>
        <w:spacing w:line="578" w:lineRule="exact"/>
        <w:ind w:left="1190" w:leftChars="372" w:firstLine="320" w:firstLineChars="100"/>
        <w:rPr>
          <w:rFonts w:hint="eastAsia" w:ascii="Times New Roman" w:hAnsi="Times New Roman" w:cs="Times New Roman"/>
          <w:b w:val="0"/>
          <w:bCs/>
          <w:color w:val="000000"/>
          <w:kern w:val="0"/>
          <w:szCs w:val="32"/>
          <w:shd w:val="clear" w:color="auto" w:fill="FFFFFF"/>
        </w:rPr>
      </w:pPr>
      <w:r>
        <w:rPr>
          <w:rFonts w:hint="eastAsia" w:cs="Times New Roman"/>
          <w:b w:val="0"/>
          <w:bCs/>
          <w:color w:val="000000"/>
          <w:kern w:val="0"/>
          <w:szCs w:val="32"/>
          <w:shd w:val="clear" w:color="auto" w:fill="FFFFFF"/>
          <w:lang w:val="en-US" w:eastAsia="zh-CN"/>
        </w:rPr>
        <w:t>4.</w:t>
      </w:r>
      <w:r>
        <w:rPr>
          <w:rFonts w:hint="eastAsia" w:ascii="Times New Roman" w:hAnsi="Times New Roman" w:cs="Times New Roman"/>
          <w:b w:val="0"/>
          <w:bCs/>
          <w:color w:val="000000"/>
          <w:kern w:val="0"/>
          <w:szCs w:val="32"/>
          <w:shd w:val="clear" w:color="auto" w:fill="FFFFFF"/>
        </w:rPr>
        <w:t>市医保事务中心</w:t>
      </w:r>
      <w:r>
        <w:rPr>
          <w:rFonts w:hint="default" w:ascii="Times New Roman" w:hAnsi="Times New Roman" w:cs="Times New Roman"/>
          <w:b w:val="0"/>
          <w:bCs/>
          <w:color w:val="000000"/>
          <w:kern w:val="0"/>
          <w:szCs w:val="32"/>
          <w:shd w:val="clear" w:color="auto" w:fill="FFFFFF"/>
        </w:rPr>
        <w:t>2025</w:t>
      </w:r>
      <w:r>
        <w:rPr>
          <w:rFonts w:hint="eastAsia" w:ascii="Times New Roman" w:hAnsi="Times New Roman" w:cs="Times New Roman"/>
          <w:b w:val="0"/>
          <w:bCs/>
          <w:color w:val="000000"/>
          <w:kern w:val="0"/>
          <w:szCs w:val="32"/>
          <w:shd w:val="clear" w:color="auto" w:fill="FFFFFF"/>
        </w:rPr>
        <w:t xml:space="preserve">年度项目绩效自评报告 </w:t>
      </w:r>
    </w:p>
    <w:p>
      <w:pPr>
        <w:numPr>
          <w:ilvl w:val="-1"/>
          <w:numId w:val="0"/>
        </w:numPr>
        <w:spacing w:line="578" w:lineRule="exact"/>
        <w:ind w:left="1190" w:leftChars="372" w:firstLine="320" w:firstLineChars="100"/>
        <w:rPr>
          <w:rFonts w:ascii="Times New Roman" w:hAnsi="Times New Roman" w:cs="Times New Roman"/>
          <w:b w:val="0"/>
          <w:bCs/>
          <w:color w:val="000000"/>
          <w:kern w:val="0"/>
          <w:szCs w:val="32"/>
          <w:shd w:val="clear" w:color="auto" w:fill="FFFFFF"/>
        </w:rPr>
      </w:pPr>
      <w:r>
        <w:rPr>
          <w:rFonts w:hint="eastAsia" w:cs="Times New Roman"/>
          <w:b w:val="0"/>
          <w:bCs/>
          <w:color w:val="000000"/>
          <w:kern w:val="0"/>
          <w:szCs w:val="32"/>
          <w:shd w:val="clear" w:color="auto" w:fill="FFFFFF"/>
          <w:lang w:val="en-US" w:eastAsia="zh-CN"/>
        </w:rPr>
        <w:t>5.</w:t>
      </w:r>
      <w:r>
        <w:rPr>
          <w:rFonts w:hint="eastAsia" w:ascii="Times New Roman" w:hAnsi="Times New Roman" w:cs="Times New Roman"/>
          <w:b w:val="0"/>
          <w:bCs/>
          <w:color w:val="000000"/>
          <w:kern w:val="0"/>
          <w:szCs w:val="32"/>
          <w:shd w:val="clear" w:color="auto" w:fill="FFFFFF"/>
        </w:rPr>
        <w:t>市医保事务中心</w:t>
      </w:r>
      <w:r>
        <w:rPr>
          <w:rFonts w:hint="default" w:ascii="Times New Roman" w:hAnsi="Times New Roman" w:cs="Times New Roman"/>
          <w:b w:val="0"/>
          <w:bCs/>
          <w:color w:val="000000"/>
          <w:kern w:val="0"/>
          <w:szCs w:val="32"/>
          <w:shd w:val="clear" w:color="auto" w:fill="FFFFFF"/>
        </w:rPr>
        <w:t>2025</w:t>
      </w:r>
      <w:r>
        <w:rPr>
          <w:rFonts w:hint="eastAsia" w:ascii="Times New Roman" w:hAnsi="Times New Roman" w:cs="Times New Roman"/>
          <w:b w:val="0"/>
          <w:bCs/>
          <w:color w:val="000000"/>
          <w:kern w:val="0"/>
          <w:szCs w:val="32"/>
          <w:shd w:val="clear" w:color="auto" w:fill="FFFFFF"/>
        </w:rPr>
        <w:t>年度项目支出绩效自评表</w:t>
      </w:r>
    </w:p>
    <w:p>
      <w:pPr>
        <w:numPr>
          <w:ilvl w:val="-1"/>
          <w:numId w:val="0"/>
        </w:numPr>
        <w:spacing w:line="578" w:lineRule="exact"/>
        <w:ind w:left="1190" w:leftChars="372" w:firstLine="320" w:firstLineChars="100"/>
        <w:rPr>
          <w:rFonts w:ascii="Times New Roman" w:hAnsi="Times New Roman" w:cs="Times New Roman"/>
          <w:b w:val="0"/>
          <w:bCs/>
          <w:color w:val="000000"/>
          <w:kern w:val="0"/>
          <w:szCs w:val="32"/>
          <w:shd w:val="clear" w:color="auto" w:fill="FFFFFF"/>
        </w:rPr>
      </w:pPr>
      <w:r>
        <w:rPr>
          <w:rFonts w:hint="eastAsia" w:cs="Times New Roman"/>
          <w:b w:val="0"/>
          <w:bCs/>
          <w:color w:val="000000"/>
          <w:kern w:val="0"/>
          <w:szCs w:val="32"/>
          <w:shd w:val="clear" w:color="auto" w:fill="FFFFFF"/>
          <w:lang w:val="en-US" w:eastAsia="zh-CN"/>
        </w:rPr>
        <w:t>6.</w:t>
      </w:r>
      <w:r>
        <w:rPr>
          <w:rFonts w:hint="eastAsia" w:ascii="Times New Roman" w:hAnsi="Times New Roman" w:cs="Times New Roman"/>
          <w:b w:val="0"/>
          <w:bCs/>
          <w:color w:val="000000"/>
          <w:kern w:val="0"/>
          <w:szCs w:val="32"/>
          <w:shd w:val="clear" w:color="auto" w:fill="FFFFFF"/>
        </w:rPr>
        <w:t>市医保事务中心</w:t>
      </w:r>
      <w:r>
        <w:rPr>
          <w:rFonts w:hint="default" w:ascii="Times New Roman" w:hAnsi="Times New Roman" w:cs="Times New Roman"/>
          <w:b w:val="0"/>
          <w:bCs/>
          <w:color w:val="000000"/>
          <w:kern w:val="0"/>
          <w:szCs w:val="32"/>
          <w:shd w:val="clear" w:color="auto" w:fill="FFFFFF"/>
        </w:rPr>
        <w:t>2025</w:t>
      </w:r>
      <w:r>
        <w:rPr>
          <w:rFonts w:hint="eastAsia" w:ascii="Times New Roman" w:hAnsi="Times New Roman" w:cs="Times New Roman"/>
          <w:b w:val="0"/>
          <w:bCs/>
          <w:color w:val="000000"/>
          <w:kern w:val="0"/>
          <w:szCs w:val="32"/>
          <w:shd w:val="clear" w:color="auto" w:fill="FFFFFF"/>
        </w:rPr>
        <w:t>年度项目绩效评价指标体系</w:t>
      </w:r>
    </w:p>
    <w:p>
      <w:pPr>
        <w:numPr>
          <w:ilvl w:val="-1"/>
          <w:numId w:val="0"/>
        </w:numPr>
        <w:spacing w:line="578" w:lineRule="exact"/>
        <w:ind w:left="1267" w:leftChars="396" w:firstLine="0" w:firstLineChars="0"/>
        <w:rPr>
          <w:color w:val="000000"/>
          <w:kern w:val="0"/>
          <w:szCs w:val="32"/>
          <w:shd w:val="clear" w:color="auto" w:fill="FFFFFF"/>
        </w:rPr>
      </w:pPr>
    </w:p>
    <w:p>
      <w:pPr>
        <w:numPr>
          <w:ilvl w:val="-1"/>
          <w:numId w:val="0"/>
        </w:numPr>
        <w:spacing w:line="578" w:lineRule="exact"/>
        <w:ind w:left="0" w:leftChars="0" w:firstLine="0" w:firstLineChars="0"/>
        <w:rPr>
          <w:color w:val="000000"/>
          <w:kern w:val="0"/>
          <w:szCs w:val="32"/>
          <w:shd w:val="clear" w:color="auto" w:fill="FFFFFF"/>
        </w:rPr>
      </w:pPr>
    </w:p>
    <w:p>
      <w:pPr>
        <w:numPr>
          <w:ilvl w:val="-1"/>
          <w:numId w:val="0"/>
        </w:numPr>
        <w:spacing w:line="578" w:lineRule="exact"/>
        <w:ind w:left="1907" w:leftChars="496" w:hanging="320" w:hangingChars="100"/>
        <w:jc w:val="center"/>
        <w:rPr>
          <w:rFonts w:hint="eastAsia"/>
          <w:color w:val="000000"/>
          <w:kern w:val="0"/>
          <w:szCs w:val="32"/>
          <w:shd w:val="clear" w:color="auto" w:fill="FFFFFF"/>
          <w:lang w:val="en-US" w:eastAsia="zh-CN"/>
        </w:rPr>
      </w:pPr>
      <w:r>
        <w:rPr>
          <w:rFonts w:hint="eastAsia"/>
          <w:color w:val="000000"/>
          <w:kern w:val="0"/>
          <w:szCs w:val="32"/>
          <w:shd w:val="clear" w:color="auto" w:fill="FFFFFF"/>
          <w:lang w:val="en-US" w:eastAsia="zh-CN"/>
        </w:rPr>
        <w:t xml:space="preserve">    攀枝花市医疗保障事务中心 </w:t>
      </w:r>
    </w:p>
    <w:p>
      <w:pPr>
        <w:numPr>
          <w:ilvl w:val="-1"/>
          <w:numId w:val="0"/>
        </w:numPr>
        <w:spacing w:line="578" w:lineRule="exact"/>
        <w:ind w:left="1907" w:leftChars="496" w:hanging="320" w:hangingChars="100"/>
        <w:jc w:val="center"/>
        <w:rPr>
          <w:rFonts w:hint="default"/>
          <w:color w:val="000000"/>
          <w:kern w:val="0"/>
          <w:szCs w:val="32"/>
          <w:shd w:val="clear" w:color="auto" w:fill="FFFFFF"/>
          <w:lang w:val="en-US" w:eastAsia="zh-CN"/>
        </w:rPr>
      </w:pPr>
      <w:r>
        <w:rPr>
          <w:rFonts w:hint="eastAsia"/>
          <w:color w:val="000000"/>
          <w:kern w:val="0"/>
          <w:szCs w:val="32"/>
          <w:shd w:val="clear" w:color="auto" w:fill="FFFFFF"/>
          <w:lang w:val="en-US" w:eastAsia="zh-CN"/>
        </w:rPr>
        <w:t xml:space="preserve">   2026年3月13日</w:t>
      </w:r>
    </w:p>
    <w:p>
      <w:pPr>
        <w:spacing w:line="578" w:lineRule="exact"/>
        <w:jc w:val="left"/>
        <w:rPr>
          <w:color w:val="000000"/>
          <w:kern w:val="0"/>
          <w:szCs w:val="32"/>
          <w:shd w:val="clear" w:color="auto" w:fill="FFFFFF"/>
        </w:rPr>
        <w:sectPr>
          <w:headerReference r:id="rId3" w:type="default"/>
          <w:footerReference r:id="rId4"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435" w:charSpace="0"/>
        </w:sectPr>
      </w:pPr>
    </w:p>
    <w:p>
      <w:pPr>
        <w:spacing w:line="240" w:lineRule="auto"/>
        <w:jc w:val="left"/>
        <w:rPr>
          <w:rFonts w:eastAsia="黑体"/>
        </w:rPr>
      </w:pPr>
      <w:r>
        <w:rPr>
          <w:rFonts w:eastAsia="黑体"/>
        </w:rPr>
        <w:t>附表</w:t>
      </w:r>
      <w:r>
        <w:rPr>
          <w:rFonts w:hint="eastAsia" w:eastAsia="黑体"/>
        </w:rPr>
        <w:t>1</w:t>
      </w:r>
    </w:p>
    <w:p>
      <w:pPr>
        <w:widowControl/>
        <w:spacing w:line="600" w:lineRule="exact"/>
        <w:jc w:val="center"/>
        <w:textAlignment w:val="center"/>
        <w:rPr>
          <w:rFonts w:hint="eastAsia"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szCs w:val="32"/>
          <w:lang w:val="en-US" w:eastAsia="zh-CN"/>
        </w:rPr>
        <w:t>攀枝花市医疗保障事务中心部门</w:t>
      </w:r>
      <w:r>
        <w:rPr>
          <w:rFonts w:hint="eastAsia" w:ascii="方正小标宋_GBK" w:hAnsi="方正小标宋_GBK" w:eastAsia="方正小标宋_GBK" w:cs="方正小标宋_GBK"/>
          <w:color w:val="000000"/>
          <w:kern w:val="0"/>
          <w:sz w:val="32"/>
          <w:szCs w:val="32"/>
        </w:rPr>
        <w:t>预算绩效自评打分表</w:t>
      </w:r>
    </w:p>
    <w:tbl>
      <w:tblPr>
        <w:tblStyle w:val="16"/>
        <w:tblW w:w="1294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73"/>
        <w:gridCol w:w="1513"/>
        <w:gridCol w:w="1869"/>
        <w:gridCol w:w="681"/>
        <w:gridCol w:w="6750"/>
        <w:gridCol w:w="682"/>
        <w:gridCol w:w="3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13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绩效评价指标指标分值</w:t>
            </w:r>
          </w:p>
        </w:tc>
        <w:tc>
          <w:tcPr>
            <w:tcW w:w="67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指标解释</w:t>
            </w:r>
          </w:p>
        </w:tc>
        <w:tc>
          <w:tcPr>
            <w:tcW w:w="68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kern w:val="0"/>
                <w:sz w:val="18"/>
                <w:szCs w:val="18"/>
              </w:rPr>
            </w:pPr>
            <w:r>
              <w:rPr>
                <w:rFonts w:hint="default" w:ascii="Times New Roman" w:hAnsi="Times New Roman" w:eastAsia="黑体" w:cs="Times New Roman"/>
                <w:color w:val="000000"/>
                <w:kern w:val="0"/>
                <w:sz w:val="18"/>
                <w:szCs w:val="18"/>
              </w:rPr>
              <w:t>自评得分</w:t>
            </w:r>
          </w:p>
        </w:tc>
        <w:tc>
          <w:tcPr>
            <w:tcW w:w="374"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kern w:val="0"/>
                <w:sz w:val="18"/>
                <w:szCs w:val="18"/>
              </w:rPr>
            </w:pPr>
            <w:r>
              <w:rPr>
                <w:rFonts w:hint="default" w:ascii="Times New Roman" w:hAnsi="Times New Roman" w:eastAsia="黑体" w:cs="Times New Roman"/>
                <w:color w:val="000000"/>
                <w:kern w:val="0"/>
                <w:sz w:val="18"/>
                <w:szCs w:val="18"/>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一级指标</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二级指标</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三级指标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黑体" w:cs="Times New Roman"/>
                <w:color w:val="000000"/>
                <w:sz w:val="18"/>
                <w:szCs w:val="18"/>
              </w:rPr>
            </w:pPr>
            <w:r>
              <w:rPr>
                <w:rFonts w:hint="default" w:ascii="Times New Roman" w:hAnsi="Times New Roman" w:eastAsia="黑体" w:cs="Times New Roman"/>
                <w:color w:val="000000"/>
                <w:kern w:val="0"/>
                <w:sz w:val="18"/>
                <w:szCs w:val="18"/>
              </w:rPr>
              <w:t>指标</w:t>
            </w:r>
            <w:r>
              <w:rPr>
                <w:rFonts w:hint="default" w:ascii="Times New Roman" w:hAnsi="Times New Roman" w:eastAsia="黑体" w:cs="Times New Roman"/>
                <w:color w:val="000000"/>
                <w:kern w:val="0"/>
                <w:sz w:val="18"/>
                <w:szCs w:val="18"/>
              </w:rPr>
              <w:br w:type="textWrapping"/>
            </w:r>
            <w:r>
              <w:rPr>
                <w:rFonts w:hint="default" w:ascii="Times New Roman" w:hAnsi="Times New Roman" w:eastAsia="黑体" w:cs="Times New Roman"/>
                <w:color w:val="000000"/>
                <w:kern w:val="0"/>
                <w:sz w:val="18"/>
                <w:szCs w:val="18"/>
              </w:rPr>
              <w:t>分值</w:t>
            </w:r>
          </w:p>
        </w:tc>
        <w:tc>
          <w:tcPr>
            <w:tcW w:w="67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682"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374"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kern w:val="0"/>
                <w:sz w:val="18"/>
                <w:szCs w:val="18"/>
              </w:rPr>
            </w:pPr>
          </w:p>
        </w:tc>
        <w:tc>
          <w:tcPr>
            <w:tcW w:w="1513"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履职效能（15分）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人员经费保障</w:t>
            </w:r>
          </w:p>
        </w:tc>
        <w:tc>
          <w:tcPr>
            <w:tcW w:w="681" w:type="dxa"/>
            <w:vMerge w:val="restart"/>
            <w:tcBorders>
              <w:top w:val="nil"/>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15</w:t>
            </w:r>
          </w:p>
        </w:tc>
        <w:tc>
          <w:tcPr>
            <w:tcW w:w="6750"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部门整体绩效目标中选定3-5个核心职能目标，反映该项职能目标完成效果情况，请将xx履职效果改成核心职能目标。</w:t>
            </w:r>
          </w:p>
        </w:tc>
        <w:tc>
          <w:tcPr>
            <w:tcW w:w="68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cs="Times New Roman"/>
                <w:sz w:val="18"/>
                <w:szCs w:val="18"/>
                <w:lang w:val="en-US" w:eastAsia="zh-CN"/>
              </w:rPr>
            </w:pPr>
            <w:r>
              <w:rPr>
                <w:rFonts w:hint="default" w:ascii="Times New Roman" w:hAnsi="Times New Roman" w:cs="Times New Roman"/>
                <w:sz w:val="18"/>
                <w:szCs w:val="18"/>
                <w:lang w:val="en-US" w:eastAsia="zh-CN"/>
              </w:rPr>
              <w:t>15</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kern w:val="0"/>
                <w:sz w:val="18"/>
                <w:szCs w:val="18"/>
              </w:rPr>
            </w:pPr>
          </w:p>
        </w:tc>
        <w:tc>
          <w:tcPr>
            <w:tcW w:w="1513"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kern w:val="0"/>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kern w:val="0"/>
                <w:sz w:val="18"/>
                <w:szCs w:val="18"/>
              </w:rPr>
            </w:pPr>
            <w:r>
              <w:rPr>
                <w:rFonts w:hint="eastAsia" w:asciiTheme="majorEastAsia" w:hAnsiTheme="majorEastAsia" w:eastAsiaTheme="majorEastAsia" w:cstheme="majorEastAsia"/>
                <w:color w:val="000000"/>
                <w:kern w:val="0"/>
                <w:sz w:val="18"/>
                <w:szCs w:val="18"/>
              </w:rPr>
              <w:t>医保参保推广</w:t>
            </w:r>
          </w:p>
        </w:tc>
        <w:tc>
          <w:tcPr>
            <w:tcW w:w="681"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kern w:val="0"/>
                <w:sz w:val="18"/>
                <w:szCs w:val="18"/>
              </w:rPr>
            </w:pPr>
          </w:p>
        </w:tc>
        <w:tc>
          <w:tcPr>
            <w:tcW w:w="6750"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p>
        </w:tc>
        <w:tc>
          <w:tcPr>
            <w:tcW w:w="682" w:type="dxa"/>
            <w:vMerge w:val="continue"/>
            <w:tcBorders>
              <w:left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jc w:val="center"/>
        </w:trPr>
        <w:tc>
          <w:tcPr>
            <w:tcW w:w="10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
                <w:color w:val="000000"/>
                <w:kern w:val="0"/>
                <w:sz w:val="18"/>
                <w:szCs w:val="18"/>
              </w:rPr>
              <w:t>总体绩效</w:t>
            </w:r>
            <w:r>
              <w:rPr>
                <w:rFonts w:hint="default" w:ascii="Times New Roman" w:hAnsi="Times New Roman" w:eastAsia="宋体" w:cs="Times New Roman"/>
                <w:b/>
                <w:color w:val="000000"/>
                <w:kern w:val="0"/>
                <w:sz w:val="18"/>
                <w:szCs w:val="18"/>
              </w:rPr>
              <w:br w:type="textWrapping"/>
            </w:r>
            <w:r>
              <w:rPr>
                <w:rFonts w:hint="default" w:ascii="Times New Roman" w:hAnsi="Times New Roman" w:eastAsia="宋体" w:cs="Times New Roman"/>
                <w:b/>
                <w:color w:val="000000"/>
                <w:kern w:val="0"/>
                <w:sz w:val="18"/>
                <w:szCs w:val="18"/>
              </w:rPr>
              <w:t>（65分）</w:t>
            </w:r>
          </w:p>
          <w:p>
            <w:pPr>
              <w:widowControl/>
              <w:spacing w:line="240" w:lineRule="exact"/>
              <w:jc w:val="center"/>
              <w:textAlignment w:val="center"/>
              <w:rPr>
                <w:rFonts w:hint="default" w:ascii="Times New Roman" w:hAnsi="Times New Roman" w:eastAsia="宋体" w:cs="Times New Roman"/>
                <w:b/>
                <w:color w:val="000000"/>
                <w:sz w:val="18"/>
                <w:szCs w:val="18"/>
              </w:rPr>
            </w:pPr>
          </w:p>
        </w:tc>
        <w:tc>
          <w:tcPr>
            <w:tcW w:w="1513"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定点医药机构监管</w:t>
            </w:r>
          </w:p>
        </w:tc>
        <w:tc>
          <w:tcPr>
            <w:tcW w:w="68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p>
        </w:tc>
        <w:tc>
          <w:tcPr>
            <w:tcW w:w="675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p>
        </w:tc>
        <w:tc>
          <w:tcPr>
            <w:tcW w:w="68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预算管理（2</w:t>
            </w:r>
            <w:r>
              <w:rPr>
                <w:rFonts w:hint="default" w:ascii="Times New Roman" w:hAnsi="Times New Roman" w:eastAsia="宋体" w:cs="Times New Roman"/>
                <w:b/>
                <w:color w:val="000000"/>
                <w:kern w:val="0"/>
                <w:sz w:val="18"/>
                <w:szCs w:val="18"/>
                <w:lang w:val="en-US" w:eastAsia="zh-CN"/>
              </w:rPr>
              <w:t>3</w:t>
            </w:r>
            <w:r>
              <w:rPr>
                <w:rFonts w:hint="default" w:ascii="Times New Roman" w:hAnsi="Times New Roman" w:eastAsia="宋体" w:cs="Times New Roman"/>
                <w:b/>
                <w:color w:val="000000"/>
                <w:kern w:val="0"/>
                <w:sz w:val="18"/>
                <w:szCs w:val="18"/>
              </w:rPr>
              <w:t>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预算编制质量</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8</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部门是否严格按要求编制年初部门预算，年初预算编制的科学性和准确性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8</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支出执行进度</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6</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部门1至6月、1至10月预算执行情况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5</w:t>
            </w:r>
            <w:r>
              <w:rPr>
                <w:rFonts w:hint="default" w:ascii="Times New Roman" w:hAnsi="Times New Roman" w:eastAsia="宋体" w:cs="Times New Roman"/>
                <w:color w:val="auto"/>
                <w:kern w:val="0"/>
                <w:sz w:val="18"/>
                <w:szCs w:val="18"/>
                <w:lang w:val="en-US" w:eastAsia="zh-CN"/>
              </w:rPr>
              <w:t>.</w:t>
            </w:r>
            <w:r>
              <w:rPr>
                <w:rFonts w:hint="eastAsia" w:eastAsia="宋体" w:cs="Times New Roman"/>
                <w:color w:val="auto"/>
                <w:kern w:val="0"/>
                <w:sz w:val="18"/>
                <w:szCs w:val="18"/>
                <w:lang w:val="en-US" w:eastAsia="zh-CN"/>
              </w:rPr>
              <w:t>8</w:t>
            </w:r>
            <w:r>
              <w:rPr>
                <w:rFonts w:hint="default" w:ascii="Times New Roman" w:hAnsi="Times New Roman" w:eastAsia="宋体" w:cs="Times New Roman"/>
                <w:color w:val="auto"/>
                <w:kern w:val="0"/>
                <w:sz w:val="18"/>
                <w:szCs w:val="18"/>
                <w:lang w:val="en-US" w:eastAsia="zh-CN"/>
              </w:rPr>
              <w:t>9</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预算年终结余</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部门整体年终预算结余情况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3.96</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严控一般性支出</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5</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部门严控“三公”经费、会议、培训、差旅、办节办展、办公设备购置、信息网络及软件购置更新、课题经费等8项一般性支出情况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2</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财务管理（1</w:t>
            </w:r>
            <w:r>
              <w:rPr>
                <w:rFonts w:hint="default" w:ascii="Times New Roman" w:hAnsi="Times New Roman" w:eastAsia="宋体" w:cs="Times New Roman"/>
                <w:b/>
                <w:color w:val="000000"/>
                <w:kern w:val="0"/>
                <w:sz w:val="18"/>
                <w:szCs w:val="18"/>
                <w:lang w:val="en-US" w:eastAsia="zh-CN"/>
              </w:rPr>
              <w:t>2</w:t>
            </w:r>
            <w:r>
              <w:rPr>
                <w:rFonts w:hint="default" w:ascii="Times New Roman" w:hAnsi="Times New Roman" w:eastAsia="宋体" w:cs="Times New Roman"/>
                <w:b/>
                <w:color w:val="000000"/>
                <w:kern w:val="0"/>
                <w:sz w:val="18"/>
                <w:szCs w:val="18"/>
              </w:rPr>
              <w:t>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财务管理制度</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部门财务管理制度建立情况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财务岗位设置</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部门财务岗位设置是否符合相关财务管理制度要求</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资金使用规范</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部门资金使用是否符合相关财务管理制度规定</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kern w:val="0"/>
                <w:sz w:val="18"/>
                <w:szCs w:val="18"/>
              </w:rPr>
            </w:pPr>
          </w:p>
          <w:p>
            <w:pPr>
              <w:widowControl/>
              <w:spacing w:line="240" w:lineRule="exact"/>
              <w:jc w:val="center"/>
              <w:textAlignment w:val="center"/>
              <w:rPr>
                <w:rFonts w:hint="default" w:ascii="Times New Roman" w:hAnsi="Times New Roman" w:eastAsia="宋体" w:cs="Times New Roman"/>
                <w:b/>
                <w:color w:val="000000"/>
                <w:kern w:val="0"/>
                <w:sz w:val="18"/>
                <w:szCs w:val="18"/>
              </w:rPr>
            </w:pPr>
            <w:r>
              <w:rPr>
                <w:rFonts w:hint="default" w:ascii="Times New Roman" w:hAnsi="Times New Roman" w:eastAsia="宋体" w:cs="Times New Roman"/>
                <w:b/>
                <w:color w:val="000000"/>
                <w:kern w:val="0"/>
                <w:sz w:val="18"/>
                <w:szCs w:val="18"/>
              </w:rPr>
              <w:t>资产管理（9分）</w:t>
            </w:r>
          </w:p>
          <w:p>
            <w:pPr>
              <w:widowControl/>
              <w:spacing w:line="240" w:lineRule="exact"/>
              <w:jc w:val="center"/>
              <w:textAlignment w:val="center"/>
              <w:rPr>
                <w:rFonts w:hint="default" w:ascii="Times New Roman" w:hAnsi="Times New Roman" w:eastAsia="宋体" w:cs="Times New Roman"/>
                <w:b/>
                <w:color w:val="000000"/>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人均资产变化率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部门人均资产变化情况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eastAsia" w:eastAsia="宋体" w:cs="Times New Roman"/>
                <w:color w:val="000000"/>
                <w:kern w:val="0"/>
                <w:sz w:val="18"/>
                <w:szCs w:val="18"/>
                <w:lang w:val="en-US" w:eastAsia="zh-CN"/>
              </w:rPr>
              <w:t>0.3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资产利用率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部门资产超最低使用年限情况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jc w:val="center"/>
        </w:trPr>
        <w:tc>
          <w:tcPr>
            <w:tcW w:w="1073" w:type="dxa"/>
            <w:vMerge w:val="continue"/>
            <w:tcBorders>
              <w:left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p>
        </w:tc>
        <w:tc>
          <w:tcPr>
            <w:tcW w:w="1513"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资产盘活率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部门闲置一年以上的资产盘活情况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采购管理（6分）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支持中小企业发展</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部门是否严格执行政府采购促进中小企业发展相关管理办法</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采购执行率</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部门政府采购项目资金支付比例情况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项目绩效</w:t>
            </w:r>
            <w:r>
              <w:rPr>
                <w:rFonts w:hint="default" w:ascii="Times New Roman" w:hAnsi="Times New Roman" w:eastAsia="宋体" w:cs="Times New Roman"/>
                <w:b/>
                <w:color w:val="000000"/>
                <w:kern w:val="0"/>
                <w:sz w:val="18"/>
                <w:szCs w:val="18"/>
              </w:rPr>
              <w:br w:type="textWrapping"/>
            </w:r>
            <w:r>
              <w:rPr>
                <w:rFonts w:hint="default" w:ascii="Times New Roman" w:hAnsi="Times New Roman" w:eastAsia="宋体" w:cs="Times New Roman"/>
                <w:b/>
                <w:color w:val="000000"/>
                <w:kern w:val="0"/>
                <w:sz w:val="18"/>
                <w:szCs w:val="18"/>
              </w:rPr>
              <w:t>（35分）</w:t>
            </w:r>
          </w:p>
        </w:tc>
        <w:tc>
          <w:tcPr>
            <w:tcW w:w="15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项目决策（12分）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决策程序</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部门预算项目设立是否按规定履行评估论证、申报程序</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目标设置</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部门预算项目绩效目标与计划期内的任务量、预算安排的资金量匹配情况，绩效目标设置是否科学合理、规范完整、量化细化、预算匹配</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项目入库</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部门预算项目是否在规定时间完成项目入库</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项目执行（12分）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执行同向</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部门预算项目实际列支内容是否与绩效目标设置方向相符</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项目调整</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部门预算项目是否采取对应调整措施</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nil"/>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执行结果</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部门预算项目预算执行情况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目标实现（11分）</w:t>
            </w: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目标完成</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部门预算项目绩效目标数量指标完成情况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目标偏离</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4</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部门预算项目绩效目标数量指标实现程度与预期目标的偏离情况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4</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Times New Roman" w:hAnsi="Times New Roman" w:cs="Times New Roman"/>
                <w:sz w:val="18"/>
                <w:szCs w:val="18"/>
              </w:rPr>
            </w:pPr>
          </w:p>
        </w:tc>
        <w:tc>
          <w:tcPr>
            <w:tcW w:w="18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实现效果</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3</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heme="majorEastAsia" w:hAnsiTheme="majorEastAsia" w:eastAsiaTheme="majorEastAsia" w:cstheme="majorEastAsia"/>
                <w:color w:val="000000"/>
                <w:sz w:val="18"/>
                <w:szCs w:val="18"/>
              </w:rPr>
            </w:pPr>
            <w:r>
              <w:rPr>
                <w:rFonts w:hint="eastAsia" w:asciiTheme="majorEastAsia" w:hAnsiTheme="majorEastAsia" w:eastAsiaTheme="majorEastAsia" w:cstheme="majorEastAsia"/>
                <w:color w:val="000000"/>
                <w:kern w:val="0"/>
                <w:sz w:val="18"/>
                <w:szCs w:val="18"/>
              </w:rPr>
              <w:t>部门预算项目绩效目标效益指标实施效果</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lang w:val="en-US" w:eastAsia="zh-CN"/>
              </w:rPr>
            </w:pPr>
            <w:r>
              <w:rPr>
                <w:rFonts w:hint="default" w:ascii="Times New Roman" w:hAnsi="Times New Roman" w:eastAsia="宋体" w:cs="Times New Roman"/>
                <w:color w:val="000000"/>
                <w:kern w:val="0"/>
                <w:sz w:val="18"/>
                <w:szCs w:val="18"/>
                <w:lang w:val="en-US" w:eastAsia="zh-CN"/>
              </w:rPr>
              <w:t>3</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b/>
                <w:color w:val="000000"/>
                <w:sz w:val="18"/>
                <w:szCs w:val="18"/>
              </w:rPr>
            </w:pPr>
            <w:r>
              <w:rPr>
                <w:rFonts w:hint="default" w:ascii="Times New Roman" w:hAnsi="Times New Roman" w:eastAsia="宋体" w:cs="Times New Roman"/>
                <w:b/>
                <w:color w:val="000000"/>
                <w:kern w:val="0"/>
                <w:sz w:val="18"/>
                <w:szCs w:val="18"/>
              </w:rPr>
              <w:t>扣分项</w:t>
            </w:r>
            <w:r>
              <w:rPr>
                <w:rFonts w:hint="default" w:ascii="Times New Roman" w:hAnsi="Times New Roman" w:eastAsia="宋体" w:cs="Times New Roman"/>
                <w:b/>
                <w:color w:val="000000"/>
                <w:kern w:val="0"/>
                <w:sz w:val="18"/>
                <w:szCs w:val="18"/>
              </w:rPr>
              <w:br w:type="textWrapping"/>
            </w:r>
            <w:r>
              <w:rPr>
                <w:rFonts w:hint="default" w:ascii="Times New Roman" w:hAnsi="Times New Roman" w:eastAsia="宋体" w:cs="Times New Roman"/>
                <w:b/>
                <w:color w:val="000000"/>
                <w:kern w:val="0"/>
                <w:sz w:val="18"/>
                <w:szCs w:val="18"/>
              </w:rPr>
              <w:t>（10分）</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rPr>
              <w:t>被评价部门配合度</w:t>
            </w:r>
          </w:p>
        </w:tc>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rPr>
              <w:t>-</w:t>
            </w:r>
          </w:p>
        </w:tc>
        <w:tc>
          <w:tcPr>
            <w:tcW w:w="6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kern w:val="0"/>
                <w:sz w:val="18"/>
                <w:szCs w:val="18"/>
              </w:rPr>
              <w:t>被评价对象工作配合情况</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Times New Roman" w:hAnsi="Times New Roman" w:eastAsia="宋体" w:cs="Times New Roman"/>
                <w:color w:val="000000"/>
                <w:kern w:val="0"/>
                <w:sz w:val="18"/>
                <w:szCs w:val="18"/>
              </w:rPr>
            </w:pPr>
            <w:r>
              <w:rPr>
                <w:rFonts w:hint="eastAsia" w:eastAsia="宋体" w:cs="Times New Roman"/>
                <w:color w:val="000000"/>
                <w:kern w:val="0"/>
                <w:sz w:val="18"/>
                <w:szCs w:val="18"/>
                <w:lang w:val="en-US" w:eastAsia="zh-CN"/>
              </w:rPr>
              <w:t>0</w:t>
            </w:r>
          </w:p>
        </w:tc>
        <w:tc>
          <w:tcPr>
            <w:tcW w:w="3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default" w:ascii="Times New Roman" w:hAnsi="Times New Roman" w:eastAsia="宋体" w:cs="Times New Roman"/>
                <w:color w:val="000000"/>
                <w:kern w:val="0"/>
                <w:sz w:val="18"/>
                <w:szCs w:val="18"/>
              </w:rPr>
            </w:pPr>
          </w:p>
        </w:tc>
      </w:tr>
    </w:tbl>
    <w:p>
      <w:pPr>
        <w:spacing w:line="578" w:lineRule="exact"/>
        <w:jc w:val="left"/>
        <w:rPr>
          <w:rFonts w:eastAsia="黑体"/>
        </w:rPr>
        <w:sectPr>
          <w:pgSz w:w="16838" w:h="11906" w:orient="landscape"/>
          <w:pgMar w:top="1587" w:right="2098" w:bottom="1474" w:left="1984" w:header="851" w:footer="992" w:gutter="0"/>
          <w:pgBorders>
            <w:top w:val="none" w:sz="0" w:space="0"/>
            <w:left w:val="none" w:sz="0" w:space="0"/>
            <w:bottom w:val="none" w:sz="0" w:space="0"/>
            <w:right w:val="none" w:sz="0" w:space="0"/>
          </w:pgBorders>
          <w:pgNumType w:fmt="numberInDash"/>
          <w:cols w:space="720" w:num="1"/>
          <w:docGrid w:type="lines" w:linePitch="435" w:charSpace="0"/>
        </w:sectPr>
      </w:pPr>
    </w:p>
    <w:p>
      <w:pPr>
        <w:spacing w:line="578" w:lineRule="exact"/>
        <w:jc w:val="left"/>
        <w:rPr>
          <w:rFonts w:eastAsia="黑体"/>
        </w:rPr>
      </w:pPr>
      <w:r>
        <w:rPr>
          <w:rFonts w:eastAsia="黑体"/>
        </w:rPr>
        <w:t>附表</w:t>
      </w:r>
      <w:r>
        <w:rPr>
          <w:rFonts w:hint="eastAsia" w:eastAsia="黑体"/>
        </w:rPr>
        <w:t>2</w:t>
      </w:r>
    </w:p>
    <w:tbl>
      <w:tblPr>
        <w:tblStyle w:val="16"/>
        <w:tblW w:w="95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049"/>
        <w:gridCol w:w="819"/>
        <w:gridCol w:w="1389"/>
        <w:gridCol w:w="2524"/>
        <w:gridCol w:w="858"/>
        <w:gridCol w:w="818"/>
        <w:gridCol w:w="750"/>
        <w:gridCol w:w="13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9576" w:type="dxa"/>
            <w:gridSpan w:val="8"/>
            <w:shd w:val="clear" w:color="auto" w:fill="auto"/>
            <w:vAlign w:val="center"/>
          </w:tcPr>
          <w:p>
            <w:pPr>
              <w:widowControl/>
              <w:spacing w:line="600" w:lineRule="exact"/>
              <w:jc w:val="center"/>
              <w:textAlignment w:val="center"/>
              <w:rPr>
                <w:rFonts w:eastAsia="黑体"/>
                <w:color w:val="000000"/>
                <w:sz w:val="28"/>
                <w:szCs w:val="28"/>
              </w:rPr>
            </w:pPr>
            <w:r>
              <w:rPr>
                <w:rFonts w:hint="eastAsia" w:ascii="方正小标宋_GBK" w:hAnsi="方正小标宋_GBK" w:eastAsia="方正小标宋_GBK" w:cs="方正小标宋_GBK"/>
                <w:szCs w:val="32"/>
                <w:lang w:val="en-US" w:eastAsia="zh-CN"/>
              </w:rPr>
              <w:t>攀枝花市医疗保障事务中心部门</w:t>
            </w:r>
            <w:r>
              <w:rPr>
                <w:rFonts w:hint="eastAsia" w:ascii="方正小标宋_GBK" w:hAnsi="方正小标宋_GBK" w:eastAsia="方正小标宋_GBK" w:cs="方正小标宋_GBK"/>
                <w:color w:val="000000"/>
                <w:kern w:val="0"/>
                <w:sz w:val="32"/>
                <w:szCs w:val="32"/>
              </w:rPr>
              <w:t>整体绩效目标完成情况自评表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576" w:type="dxa"/>
            <w:gridSpan w:val="8"/>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（2025年度）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9576" w:type="dxa"/>
            <w:gridSpan w:val="8"/>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2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部门名称</w:t>
            </w:r>
          </w:p>
        </w:tc>
        <w:tc>
          <w:tcPr>
            <w:tcW w:w="6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18"/>
                <w:szCs w:val="18"/>
                <w:lang w:val="en-US" w:eastAsia="zh-CN"/>
              </w:rPr>
            </w:pPr>
            <w:r>
              <w:rPr>
                <w:rFonts w:hint="eastAsia" w:eastAsia="宋体"/>
                <w:color w:val="000000"/>
                <w:kern w:val="0"/>
                <w:sz w:val="18"/>
                <w:szCs w:val="18"/>
                <w:lang w:val="en-US" w:eastAsia="zh-CN"/>
              </w:rPr>
              <w:t>攀枝花市医疗保障事务中心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年度部门整体支出预算</w:t>
            </w: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资金总额</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财政拨款</w:t>
            </w:r>
          </w:p>
        </w:tc>
        <w:tc>
          <w:tcPr>
            <w:tcW w:w="2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sz w:val="18"/>
                <w:szCs w:val="18"/>
              </w:rPr>
            </w:pP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18"/>
                <w:szCs w:val="18"/>
                <w:lang w:val="en-US" w:eastAsia="zh-CN"/>
              </w:rPr>
            </w:pPr>
            <w:r>
              <w:rPr>
                <w:rFonts w:hint="eastAsia" w:eastAsia="宋体"/>
                <w:color w:val="000000"/>
                <w:kern w:val="0"/>
                <w:sz w:val="18"/>
                <w:szCs w:val="18"/>
                <w:lang w:val="en-US" w:eastAsia="zh-CN"/>
              </w:rPr>
              <w:t>1407.72</w:t>
            </w:r>
          </w:p>
        </w:tc>
        <w:tc>
          <w:tcPr>
            <w:tcW w:w="3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18"/>
                <w:szCs w:val="18"/>
                <w:lang w:val="en-US" w:eastAsia="zh-CN"/>
              </w:rPr>
            </w:pPr>
            <w:r>
              <w:rPr>
                <w:rFonts w:hint="eastAsia" w:eastAsia="宋体"/>
                <w:color w:val="000000"/>
                <w:kern w:val="0"/>
                <w:sz w:val="18"/>
                <w:szCs w:val="18"/>
                <w:lang w:val="en-US" w:eastAsia="zh-CN"/>
              </w:rPr>
              <w:t>1407.72</w:t>
            </w:r>
          </w:p>
        </w:tc>
        <w:tc>
          <w:tcPr>
            <w:tcW w:w="29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18"/>
                <w:szCs w:val="18"/>
                <w:lang w:eastAsia="zh-CN"/>
              </w:rPr>
            </w:pPr>
            <w:r>
              <w:rPr>
                <w:rFonts w:hint="eastAsia" w:eastAsia="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年度总体</w:t>
            </w:r>
          </w:p>
          <w:p>
            <w:pPr>
              <w:widowControl/>
              <w:spacing w:line="300" w:lineRule="exact"/>
              <w:jc w:val="center"/>
              <w:textAlignment w:val="center"/>
              <w:rPr>
                <w:rFonts w:eastAsia="宋体"/>
                <w:color w:val="000000"/>
                <w:sz w:val="18"/>
                <w:szCs w:val="18"/>
              </w:rPr>
            </w:pPr>
            <w:r>
              <w:rPr>
                <w:rFonts w:eastAsia="宋体"/>
                <w:color w:val="000000"/>
                <w:kern w:val="0"/>
                <w:sz w:val="18"/>
                <w:szCs w:val="18"/>
              </w:rPr>
              <w:t>目标</w:t>
            </w:r>
          </w:p>
        </w:tc>
        <w:tc>
          <w:tcPr>
            <w:tcW w:w="8527"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18"/>
                <w:szCs w:val="18"/>
              </w:rPr>
            </w:pPr>
            <w:r>
              <w:rPr>
                <w:rFonts w:hint="eastAsia" w:asciiTheme="minorEastAsia" w:hAnsiTheme="minorEastAsia" w:eastAsiaTheme="minorEastAsia" w:cstheme="minorEastAsia"/>
                <w:color w:val="000000"/>
                <w:kern w:val="0"/>
                <w:sz w:val="18"/>
                <w:szCs w:val="18"/>
              </w:rPr>
              <w:t>一是聚焦新生儿、学生、农村低收入人口等重点群体，深入基层抓好参保宣传工作，全力推进全民参保。</w:t>
            </w:r>
            <w:r>
              <w:rPr>
                <w:rFonts w:hint="eastAsia" w:asciiTheme="minorEastAsia" w:hAnsiTheme="minorEastAsia" w:eastAsiaTheme="minorEastAsia" w:cstheme="minorEastAsia"/>
                <w:color w:val="000000"/>
                <w:kern w:val="0"/>
                <w:sz w:val="18"/>
                <w:szCs w:val="18"/>
                <w:lang w:val="en-US" w:eastAsia="zh-CN"/>
              </w:rPr>
              <w:t xml:space="preserve">                                                                                   </w:t>
            </w:r>
            <w:r>
              <w:rPr>
                <w:rFonts w:hint="eastAsia" w:asciiTheme="minorEastAsia" w:hAnsiTheme="minorEastAsia" w:eastAsiaTheme="minorEastAsia" w:cstheme="minorEastAsia"/>
                <w:color w:val="000000"/>
                <w:kern w:val="0"/>
                <w:sz w:val="18"/>
                <w:szCs w:val="18"/>
              </w:rPr>
              <w:t>二是按照省、市医保局安排部署，常态化开展医保基金使用日常巡查，持续加大定点医疗机构监督检查力度，规范定点医疗机构行为。</w:t>
            </w:r>
            <w:r>
              <w:rPr>
                <w:rFonts w:hint="eastAsia" w:asciiTheme="minorEastAsia" w:hAnsiTheme="minorEastAsia" w:eastAsiaTheme="minorEastAsia" w:cstheme="minorEastAsia"/>
                <w:color w:val="000000"/>
                <w:kern w:val="0"/>
                <w:sz w:val="18"/>
                <w:szCs w:val="18"/>
                <w:lang w:val="en-US" w:eastAsia="zh-CN"/>
              </w:rPr>
              <w:t xml:space="preserve">                                                                                             </w:t>
            </w:r>
            <w:r>
              <w:rPr>
                <w:rFonts w:hint="eastAsia" w:asciiTheme="minorEastAsia" w:hAnsiTheme="minorEastAsia" w:eastAsiaTheme="minorEastAsia" w:cstheme="minorEastAsia"/>
                <w:color w:val="000000"/>
                <w:kern w:val="0"/>
                <w:sz w:val="18"/>
                <w:szCs w:val="18"/>
              </w:rPr>
              <w:t>三是持续推进攀枝花市基本医疗保险DRG点数法付费、二类门诊特殊疾病医疗补助按病种结合人头付费等工作，巩固国家DRG付费示范点成果。</w:t>
            </w:r>
            <w:r>
              <w:rPr>
                <w:rFonts w:hint="eastAsia" w:asciiTheme="minorEastAsia" w:hAnsiTheme="minorEastAsia" w:eastAsiaTheme="minorEastAsia" w:cstheme="minorEastAsia"/>
                <w:color w:val="000000"/>
                <w:kern w:val="0"/>
                <w:sz w:val="18"/>
                <w:szCs w:val="18"/>
                <w:lang w:val="en-US" w:eastAsia="zh-CN"/>
              </w:rPr>
              <w:t xml:space="preserve">                                                                                                     </w:t>
            </w:r>
            <w:r>
              <w:rPr>
                <w:rFonts w:hint="eastAsia" w:asciiTheme="minorEastAsia" w:hAnsiTheme="minorEastAsia" w:eastAsiaTheme="minorEastAsia" w:cstheme="minorEastAsia"/>
                <w:color w:val="000000"/>
                <w:kern w:val="0"/>
                <w:sz w:val="18"/>
                <w:szCs w:val="18"/>
              </w:rPr>
              <w:t>四是为提高医保基金使用效率，保障参保人员持续、稳定的康复医疗需求，促进我市康复医疗事业发展，拟在DRG支付方式改革成果的基础上，积极开展“康复病组按价值付费”工作。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年度主要</w:t>
            </w:r>
          </w:p>
          <w:p>
            <w:pPr>
              <w:widowControl/>
              <w:spacing w:line="300" w:lineRule="exact"/>
              <w:jc w:val="center"/>
              <w:textAlignment w:val="center"/>
              <w:rPr>
                <w:rFonts w:eastAsia="宋体"/>
                <w:color w:val="000000"/>
                <w:sz w:val="18"/>
                <w:szCs w:val="18"/>
              </w:rPr>
            </w:pPr>
            <w:r>
              <w:rPr>
                <w:rFonts w:eastAsia="宋体"/>
                <w:color w:val="000000"/>
                <w:kern w:val="0"/>
                <w:sz w:val="18"/>
                <w:szCs w:val="18"/>
              </w:rPr>
              <w:t>任务</w:t>
            </w: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任务名称</w:t>
            </w:r>
          </w:p>
        </w:tc>
        <w:tc>
          <w:tcPr>
            <w:tcW w:w="6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hint="default" w:eastAsia="宋体"/>
                <w:color w:val="auto"/>
                <w:kern w:val="0"/>
                <w:sz w:val="18"/>
                <w:szCs w:val="18"/>
              </w:rPr>
              <w:t>全民参保扩面集中推广</w:t>
            </w:r>
          </w:p>
        </w:tc>
        <w:tc>
          <w:tcPr>
            <w:tcW w:w="6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widowControl/>
              <w:suppressLineNumbers w:val="0"/>
              <w:spacing w:after="0" w:line="300" w:lineRule="exact"/>
              <w:ind w:right="0" w:rightChars="0"/>
              <w:jc w:val="both"/>
              <w:rPr>
                <w:rFonts w:hint="default" w:ascii="Times New Roman" w:hAnsi="Times New Roman" w:eastAsia="宋体" w:cs="Times New Roman"/>
                <w:color w:val="auto"/>
                <w:kern w:val="2"/>
                <w:sz w:val="18"/>
                <w:szCs w:val="18"/>
                <w:lang w:val="en-US" w:eastAsia="zh-CN" w:bidi="ar-SA"/>
              </w:rPr>
            </w:pPr>
            <w:r>
              <w:rPr>
                <w:rFonts w:hint="default" w:eastAsia="宋体"/>
                <w:color w:val="auto"/>
                <w:kern w:val="0"/>
                <w:sz w:val="18"/>
                <w:szCs w:val="18"/>
              </w:rPr>
              <w:t>在全市范围内开展城乡居民医保参保扩面推广完成2024年参保任务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sz w:val="18"/>
                <w:szCs w:val="18"/>
              </w:rPr>
            </w:pP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auto"/>
                <w:kern w:val="0"/>
                <w:sz w:val="18"/>
                <w:szCs w:val="18"/>
              </w:rPr>
            </w:pPr>
            <w:r>
              <w:rPr>
                <w:rFonts w:hint="default" w:eastAsia="宋体"/>
                <w:color w:val="auto"/>
                <w:kern w:val="0"/>
                <w:sz w:val="18"/>
                <w:szCs w:val="18"/>
              </w:rPr>
              <w:t>医保定点医药机构监管稽核</w:t>
            </w:r>
          </w:p>
        </w:tc>
        <w:tc>
          <w:tcPr>
            <w:tcW w:w="6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widowControl/>
              <w:suppressLineNumbers w:val="0"/>
              <w:spacing w:after="0" w:line="300" w:lineRule="exact"/>
              <w:ind w:right="0" w:rightChars="0"/>
              <w:jc w:val="both"/>
              <w:rPr>
                <w:rFonts w:hint="default" w:ascii="Times New Roman" w:hAnsi="Times New Roman" w:eastAsia="宋体" w:cs="Times New Roman"/>
                <w:color w:val="auto"/>
                <w:kern w:val="2"/>
                <w:sz w:val="18"/>
                <w:szCs w:val="18"/>
                <w:lang w:val="en-US" w:eastAsia="zh-CN" w:bidi="ar-SA"/>
              </w:rPr>
            </w:pPr>
            <w:r>
              <w:rPr>
                <w:rFonts w:hint="default" w:eastAsia="宋体"/>
                <w:color w:val="auto"/>
                <w:kern w:val="0"/>
                <w:sz w:val="18"/>
                <w:szCs w:val="18"/>
              </w:rPr>
              <w:t>开展基金检查和监管稽核工作，规范定点医疗机构行为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sz w:val="18"/>
                <w:szCs w:val="18"/>
              </w:rPr>
            </w:pPr>
          </w:p>
        </w:tc>
        <w:tc>
          <w:tcPr>
            <w:tcW w:w="22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default" w:eastAsia="宋体"/>
                <w:color w:val="auto"/>
                <w:kern w:val="0"/>
                <w:sz w:val="18"/>
                <w:szCs w:val="18"/>
              </w:rPr>
              <w:t>按疾病诊断相关分组结合点数法付费项目维护和服务</w:t>
            </w:r>
          </w:p>
        </w:tc>
        <w:tc>
          <w:tcPr>
            <w:tcW w:w="63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Lines w:val="0"/>
              <w:widowControl/>
              <w:suppressLineNumbers w:val="0"/>
              <w:spacing w:after="0" w:line="300" w:lineRule="exact"/>
              <w:ind w:right="0" w:rightChars="0"/>
              <w:jc w:val="both"/>
              <w:rPr>
                <w:rFonts w:hint="default" w:ascii="Times New Roman" w:hAnsi="Times New Roman" w:eastAsia="宋体" w:cs="Times New Roman"/>
                <w:color w:val="auto"/>
                <w:kern w:val="2"/>
                <w:sz w:val="18"/>
                <w:szCs w:val="18"/>
                <w:lang w:val="en-US" w:eastAsia="zh-CN" w:bidi="ar-SA"/>
              </w:rPr>
            </w:pPr>
            <w:r>
              <w:rPr>
                <w:rFonts w:hint="default" w:eastAsia="宋体"/>
                <w:color w:val="auto"/>
                <w:kern w:val="0"/>
                <w:sz w:val="18"/>
                <w:szCs w:val="18"/>
              </w:rPr>
              <w:t>实现定点医疗机构医保基金有效控费，医保基金得到合理使用，形成可复制、可借鉴的改革示范经验，促进医保、医疗、医药协同发展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2" w:hRule="atLeast"/>
          <w:jc w:val="center"/>
        </w:trPr>
        <w:tc>
          <w:tcPr>
            <w:tcW w:w="10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年度绩效</w:t>
            </w:r>
          </w:p>
          <w:p>
            <w:pPr>
              <w:widowControl/>
              <w:spacing w:line="300" w:lineRule="exact"/>
              <w:jc w:val="center"/>
              <w:textAlignment w:val="center"/>
              <w:rPr>
                <w:rFonts w:eastAsia="宋体"/>
                <w:color w:val="000000"/>
                <w:sz w:val="18"/>
                <w:szCs w:val="18"/>
              </w:rPr>
            </w:pPr>
            <w:r>
              <w:rPr>
                <w:rFonts w:eastAsia="宋体"/>
                <w:color w:val="000000"/>
                <w:kern w:val="0"/>
                <w:sz w:val="18"/>
                <w:szCs w:val="18"/>
              </w:rPr>
              <w:t>指标</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一级指标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二级指标</w:t>
            </w: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18"/>
                <w:szCs w:val="18"/>
              </w:rPr>
            </w:pPr>
            <w:r>
              <w:rPr>
                <w:rFonts w:eastAsia="宋体"/>
                <w:color w:val="000000"/>
                <w:kern w:val="0"/>
                <w:sz w:val="18"/>
                <w:szCs w:val="18"/>
              </w:rPr>
              <w:t>三级指标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绩效指标</w:t>
            </w:r>
          </w:p>
          <w:p>
            <w:pPr>
              <w:widowControl/>
              <w:spacing w:line="300" w:lineRule="exact"/>
              <w:jc w:val="center"/>
              <w:textAlignment w:val="center"/>
              <w:rPr>
                <w:rFonts w:eastAsia="宋体"/>
                <w:color w:val="000000"/>
                <w:sz w:val="18"/>
                <w:szCs w:val="18"/>
              </w:rPr>
            </w:pPr>
            <w:r>
              <w:rPr>
                <w:rFonts w:eastAsia="宋体"/>
                <w:color w:val="000000"/>
                <w:kern w:val="0"/>
                <w:sz w:val="18"/>
                <w:szCs w:val="18"/>
              </w:rPr>
              <w:t>性质</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绩效</w:t>
            </w:r>
          </w:p>
          <w:p>
            <w:pPr>
              <w:widowControl/>
              <w:spacing w:line="300" w:lineRule="exact"/>
              <w:jc w:val="center"/>
              <w:textAlignment w:val="center"/>
              <w:rPr>
                <w:rFonts w:eastAsia="宋体"/>
                <w:color w:val="000000"/>
                <w:sz w:val="18"/>
                <w:szCs w:val="18"/>
              </w:rPr>
            </w:pPr>
            <w:r>
              <w:rPr>
                <w:rFonts w:eastAsia="宋体"/>
                <w:color w:val="000000"/>
                <w:kern w:val="0"/>
                <w:sz w:val="18"/>
                <w:szCs w:val="18"/>
              </w:rPr>
              <w:t>指标值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绩效度</w:t>
            </w:r>
          </w:p>
          <w:p>
            <w:pPr>
              <w:widowControl/>
              <w:spacing w:line="300" w:lineRule="exact"/>
              <w:jc w:val="center"/>
              <w:textAlignment w:val="center"/>
              <w:rPr>
                <w:rFonts w:eastAsia="宋体"/>
                <w:color w:val="000000"/>
                <w:sz w:val="18"/>
                <w:szCs w:val="18"/>
              </w:rPr>
            </w:pPr>
            <w:r>
              <w:rPr>
                <w:rFonts w:eastAsia="宋体"/>
                <w:color w:val="000000"/>
                <w:kern w:val="0"/>
                <w:sz w:val="18"/>
                <w:szCs w:val="18"/>
              </w:rPr>
              <w:t>量单位</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rPr>
            </w:pPr>
            <w:r>
              <w:rPr>
                <w:rFonts w:eastAsia="宋体"/>
                <w:color w:val="000000"/>
                <w:kern w:val="0"/>
                <w:sz w:val="18"/>
                <w:szCs w:val="18"/>
              </w:rPr>
              <w:t>实际完成</w:t>
            </w:r>
          </w:p>
          <w:p>
            <w:pPr>
              <w:widowControl/>
              <w:spacing w:line="300" w:lineRule="exact"/>
              <w:jc w:val="center"/>
              <w:textAlignment w:val="center"/>
              <w:rPr>
                <w:rFonts w:eastAsia="宋体"/>
                <w:color w:val="000000"/>
                <w:sz w:val="18"/>
                <w:szCs w:val="18"/>
              </w:rPr>
            </w:pPr>
            <w:r>
              <w:rPr>
                <w:rFonts w:eastAsia="宋体"/>
                <w:color w:val="000000"/>
                <w:kern w:val="0"/>
                <w:sz w:val="18"/>
                <w:szCs w:val="18"/>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18"/>
                <w:szCs w:val="18"/>
              </w:rPr>
            </w:pPr>
          </w:p>
        </w:tc>
        <w:tc>
          <w:tcPr>
            <w:tcW w:w="81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产出指标</w:t>
            </w:r>
          </w:p>
        </w:tc>
        <w:tc>
          <w:tcPr>
            <w:tcW w:w="138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时效指标</w:t>
            </w:r>
          </w:p>
          <w:p>
            <w:pPr>
              <w:widowControl/>
              <w:spacing w:line="300" w:lineRule="exact"/>
              <w:jc w:val="center"/>
              <w:textAlignment w:val="center"/>
              <w:rPr>
                <w:rFonts w:hint="eastAsia" w:asciiTheme="minorEastAsia" w:hAnsiTheme="minorEastAsia" w:eastAsiaTheme="minorEastAsia" w:cstheme="minorEastAsia"/>
                <w:color w:val="000000"/>
                <w:kern w:val="2"/>
                <w:sz w:val="18"/>
                <w:szCs w:val="18"/>
                <w:lang w:val="en-US" w:eastAsia="zh-CN" w:bidi="ar-SA"/>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项目完成时间</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年</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rPr>
            </w:pPr>
            <w:r>
              <w:rPr>
                <w:rFonts w:hint="eastAsia" w:asciiTheme="minorEastAsia" w:hAnsiTheme="minorEastAsia" w:eastAsiaTheme="minorEastAsia" w:cstheme="minorEastAsia"/>
                <w:color w:val="000000"/>
                <w:kern w:val="0"/>
                <w:sz w:val="18"/>
                <w:szCs w:val="18"/>
                <w:lang w:val="en-US" w:eastAsia="zh-CN"/>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18"/>
                <w:szCs w:val="18"/>
              </w:rPr>
            </w:pPr>
          </w:p>
        </w:tc>
        <w:tc>
          <w:tcPr>
            <w:tcW w:w="81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p>
        </w:tc>
        <w:tc>
          <w:tcPr>
            <w:tcW w:w="138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kern w:val="2"/>
                <w:sz w:val="18"/>
                <w:szCs w:val="18"/>
                <w:lang w:val="en-US" w:eastAsia="zh-CN" w:bidi="ar-SA"/>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资金拨付时间</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年</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lang w:val="en-US" w:eastAsia="zh-CN"/>
              </w:rPr>
              <w:t>≤1年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6"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18"/>
                <w:szCs w:val="18"/>
              </w:rPr>
            </w:pPr>
          </w:p>
        </w:tc>
        <w:tc>
          <w:tcPr>
            <w:tcW w:w="81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p>
        </w:tc>
        <w:tc>
          <w:tcPr>
            <w:tcW w:w="138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rPr>
              <w:t>质量指标</w:t>
            </w: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居民参保覆盖率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95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07"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18"/>
                <w:szCs w:val="18"/>
              </w:rPr>
            </w:pPr>
          </w:p>
        </w:tc>
        <w:tc>
          <w:tcPr>
            <w:tcW w:w="81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p>
        </w:tc>
        <w:tc>
          <w:tcPr>
            <w:tcW w:w="1389"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8"/>
                <w:szCs w:val="18"/>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定点医疗机构监管检查</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定性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宋体" w:hAnsi="宋体" w:eastAsia="宋体" w:cs="宋体"/>
                <w:i w:val="0"/>
                <w:color w:val="000000"/>
                <w:kern w:val="0"/>
                <w:sz w:val="18"/>
                <w:szCs w:val="18"/>
                <w:u w:val="none"/>
                <w:lang w:val="en-US" w:eastAsia="zh-CN" w:bidi="ar"/>
              </w:rPr>
              <w:t>全覆盖</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全覆盖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41" w:hRule="atLeast"/>
          <w:jc w:val="center"/>
        </w:trPr>
        <w:tc>
          <w:tcPr>
            <w:tcW w:w="104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kern w:val="0"/>
                <w:sz w:val="18"/>
                <w:szCs w:val="18"/>
              </w:rPr>
            </w:pPr>
          </w:p>
        </w:tc>
        <w:tc>
          <w:tcPr>
            <w:tcW w:w="81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p>
        </w:tc>
        <w:tc>
          <w:tcPr>
            <w:tcW w:w="1389"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kern w:val="0"/>
                <w:sz w:val="18"/>
                <w:szCs w:val="18"/>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医保基金费用结算</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color w:val="000000"/>
                <w:kern w:val="0"/>
                <w:sz w:val="18"/>
                <w:szCs w:val="18"/>
                <w:lang w:val="en-US" w:eastAsia="zh-CN"/>
              </w:rPr>
              <w:t>定性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宋体" w:hAnsi="宋体" w:eastAsia="宋体" w:cs="宋体"/>
                <w:i w:val="0"/>
                <w:color w:val="000000"/>
                <w:kern w:val="0"/>
                <w:sz w:val="18"/>
                <w:szCs w:val="18"/>
                <w:u w:val="none"/>
                <w:lang w:val="en-US" w:eastAsia="zh-CN" w:bidi="ar"/>
              </w:rPr>
              <w:t>提质增效</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kern w:val="0"/>
                <w:sz w:val="18"/>
                <w:szCs w:val="18"/>
                <w:lang w:val="en-US" w:eastAsia="zh-CN"/>
              </w:rPr>
            </w:pPr>
            <w:r>
              <w:rPr>
                <w:rFonts w:hint="eastAsia" w:asciiTheme="minorEastAsia" w:hAnsiTheme="minorEastAsia" w:eastAsiaTheme="minorEastAsia" w:cstheme="minorEastAsia"/>
                <w:color w:val="000000"/>
                <w:kern w:val="0"/>
                <w:sz w:val="18"/>
                <w:szCs w:val="18"/>
                <w:lang w:val="en-US" w:eastAsia="zh-CN"/>
              </w:rPr>
              <w:t>提质增效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p>
        </w:tc>
        <w:tc>
          <w:tcPr>
            <w:tcW w:w="81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p>
        </w:tc>
        <w:tc>
          <w:tcPr>
            <w:tcW w:w="138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sz w:val="18"/>
                <w:szCs w:val="18"/>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医保基金使用效率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lang w:val="en-US" w:eastAsia="zh-CN"/>
              </w:rPr>
              <w:t>定性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szCs w:val="18"/>
              </w:rPr>
            </w:pPr>
            <w:r>
              <w:rPr>
                <w:rFonts w:hint="eastAsia" w:ascii="宋体" w:hAnsi="宋体" w:eastAsia="宋体" w:cs="宋体"/>
                <w:i w:val="0"/>
                <w:color w:val="000000"/>
                <w:kern w:val="0"/>
                <w:sz w:val="18"/>
                <w:szCs w:val="18"/>
                <w:u w:val="none"/>
                <w:lang w:val="en-US" w:eastAsia="zh-CN" w:bidi="ar"/>
              </w:rPr>
              <w:t>稳步提高</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稳步提高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2"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p>
        </w:tc>
        <w:tc>
          <w:tcPr>
            <w:tcW w:w="819" w:type="dxa"/>
            <w:vMerge w:val="continue"/>
            <w:tcBorders>
              <w:left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18"/>
                <w:szCs w:val="18"/>
              </w:rPr>
            </w:pPr>
          </w:p>
        </w:tc>
        <w:tc>
          <w:tcPr>
            <w:tcW w:w="1389"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数量指标</w:t>
            </w: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居民参保集中推广活动次数</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次</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≥2次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25"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p>
        </w:tc>
        <w:tc>
          <w:tcPr>
            <w:tcW w:w="819" w:type="dxa"/>
            <w:vMerge w:val="continue"/>
            <w:tcBorders>
              <w:left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18"/>
                <w:szCs w:val="18"/>
              </w:rPr>
            </w:pPr>
          </w:p>
        </w:tc>
        <w:tc>
          <w:tcPr>
            <w:tcW w:w="138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稽核监督检查次数</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kern w:val="2"/>
                <w:sz w:val="18"/>
                <w:szCs w:val="18"/>
                <w:lang w:val="en-US" w:eastAsia="zh-CN" w:bidi="ar-SA"/>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kern w:val="2"/>
                <w:sz w:val="18"/>
                <w:szCs w:val="18"/>
                <w:lang w:val="en-US" w:eastAsia="zh-CN" w:bidi="ar-SA"/>
              </w:rPr>
            </w:pPr>
            <w:r>
              <w:rPr>
                <w:rFonts w:hint="eastAsia" w:asciiTheme="minorEastAsia" w:hAnsiTheme="minorEastAsia" w:eastAsiaTheme="minorEastAsia" w:cstheme="minorEastAsia"/>
                <w:color w:val="000000"/>
                <w:sz w:val="18"/>
                <w:szCs w:val="18"/>
                <w:lang w:val="en-US" w:eastAsia="zh-CN"/>
              </w:rPr>
              <w:t>次</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≥5次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45"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p>
        </w:tc>
        <w:tc>
          <w:tcPr>
            <w:tcW w:w="819" w:type="dxa"/>
            <w:vMerge w:val="continue"/>
            <w:tcBorders>
              <w:left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18"/>
                <w:szCs w:val="18"/>
              </w:rPr>
            </w:pPr>
          </w:p>
        </w:tc>
        <w:tc>
          <w:tcPr>
            <w:tcW w:w="1389" w:type="dxa"/>
            <w:vMerge w:val="continue"/>
            <w:tcBorders>
              <w:left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00" w:lineRule="exact"/>
              <w:jc w:val="left"/>
              <w:rPr>
                <w:rFonts w:hint="eastAsia" w:asciiTheme="minorEastAsia" w:hAnsiTheme="minorEastAsia" w:eastAsiaTheme="minorEastAsia" w:cstheme="minorEastAsia"/>
                <w:i w:val="0"/>
                <w:color w:val="000000"/>
                <w:kern w:val="0"/>
                <w:sz w:val="18"/>
                <w:szCs w:val="18"/>
                <w:u w:val="none"/>
                <w:lang w:val="en-US" w:eastAsia="zh-CN" w:bidi="ar"/>
              </w:rPr>
            </w:pPr>
            <w:r>
              <w:rPr>
                <w:rFonts w:hint="eastAsia" w:asciiTheme="minorEastAsia" w:hAnsiTheme="minorEastAsia" w:eastAsiaTheme="minorEastAsia" w:cstheme="minorEastAsia"/>
                <w:i w:val="0"/>
                <w:color w:val="000000"/>
                <w:kern w:val="0"/>
                <w:sz w:val="18"/>
                <w:szCs w:val="18"/>
                <w:u w:val="none"/>
                <w:lang w:val="en-US" w:eastAsia="zh-CN" w:bidi="ar"/>
              </w:rPr>
              <w:t>全市定点医疗机构DRG付费</w:t>
            </w:r>
          </w:p>
          <w:p>
            <w:pPr>
              <w:keepNext w:val="0"/>
              <w:keepLines w:val="0"/>
              <w:widowControl/>
              <w:suppressLineNumbers w:val="0"/>
              <w:spacing w:line="200" w:lineRule="exact"/>
              <w:jc w:val="left"/>
              <w:textAlignment w:val="auto"/>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工作覆盖面</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100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97"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bookmarkStart w:id="6" w:name="OLE_LINK4" w:colFirst="3" w:colLast="7"/>
          </w:p>
        </w:tc>
        <w:tc>
          <w:tcPr>
            <w:tcW w:w="819"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Theme="minorEastAsia" w:hAnsiTheme="minorEastAsia" w:eastAsiaTheme="minorEastAsia" w:cstheme="minorEastAsia"/>
                <w:sz w:val="18"/>
                <w:szCs w:val="18"/>
              </w:rPr>
            </w:pPr>
          </w:p>
        </w:tc>
        <w:tc>
          <w:tcPr>
            <w:tcW w:w="1389"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lang w:eastAsia="zh-CN"/>
              </w:rPr>
            </w:pP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康复病组按价值付费试点病种</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8</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个</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default"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36个细分组病组</w:t>
            </w:r>
          </w:p>
        </w:tc>
      </w:tr>
      <w:bookmarkEnd w:id="6"/>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sz w:val="18"/>
                <w:szCs w:val="18"/>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效益指标</w:t>
            </w:r>
          </w:p>
        </w:tc>
        <w:tc>
          <w:tcPr>
            <w:tcW w:w="13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kern w:val="0"/>
                <w:sz w:val="18"/>
                <w:szCs w:val="18"/>
              </w:rPr>
              <w:t>社会效益指标</w:t>
            </w:r>
          </w:p>
        </w:tc>
        <w:tc>
          <w:tcPr>
            <w:tcW w:w="25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rPr>
            </w:pPr>
            <w:r>
              <w:rPr>
                <w:rFonts w:hint="eastAsia" w:asciiTheme="minorEastAsia" w:hAnsiTheme="minorEastAsia" w:eastAsiaTheme="minorEastAsia" w:cstheme="minorEastAsia"/>
                <w:color w:val="000000"/>
                <w:sz w:val="18"/>
                <w:szCs w:val="18"/>
              </w:rPr>
              <w:t>医保工作经办能力</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定性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逐步提高</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asciiTheme="minorEastAsia" w:hAnsiTheme="minorEastAsia" w:eastAsiaTheme="minorEastAsia" w:cstheme="minorEastAsia"/>
                <w:color w:val="000000"/>
                <w:sz w:val="18"/>
                <w:szCs w:val="18"/>
                <w:lang w:val="en-US" w:eastAsia="zh-CN"/>
              </w:rPr>
            </w:pPr>
            <w:r>
              <w:rPr>
                <w:rFonts w:hint="eastAsia" w:asciiTheme="minorEastAsia" w:hAnsiTheme="minorEastAsia" w:eastAsiaTheme="minorEastAsia" w:cstheme="minorEastAsia"/>
                <w:color w:val="000000"/>
                <w:sz w:val="18"/>
                <w:szCs w:val="18"/>
                <w:lang w:val="en-US" w:eastAsia="zh-CN"/>
              </w:rPr>
              <w:t>逐步提高</w:t>
            </w:r>
          </w:p>
        </w:tc>
      </w:tr>
    </w:tbl>
    <w:p>
      <w:pPr>
        <w:pStyle w:val="20"/>
      </w:pPr>
    </w:p>
    <w:sectPr>
      <w:pgSz w:w="11906" w:h="16838"/>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兰亭黑_GBK">
    <w:altName w:val="微软雅黑"/>
    <w:panose1 w:val="00000000000000000000"/>
    <w:charset w:val="86"/>
    <w:family w:val="script"/>
    <w:pitch w:val="default"/>
    <w:sig w:usb0="00000000" w:usb1="00000000" w:usb2="0008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Wingdings 2">
    <w:panose1 w:val="05020102010507070707"/>
    <w:charset w:val="02"/>
    <w:family w:val="roman"/>
    <w:pitch w:val="default"/>
    <w:sig w:usb0="00000000" w:usb1="00000000" w:usb2="00000000" w:usb3="00000000" w:csb0="80000000" w:csb1="00000000"/>
  </w:font>
  <w:font w:name="方正小标宋_GBK">
    <w:panose1 w:val="03000509000000000000"/>
    <w:charset w:val="86"/>
    <w:family w:val="auto"/>
    <w:pitch w:val="default"/>
    <w:sig w:usb0="00000001" w:usb1="080E0000" w:usb2="00000000" w:usb3="00000000" w:csb0="00040000" w:csb1="00000000"/>
  </w:font>
  <w:font w:name="方正小标宋简体">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3665" distR="113665" simplePos="0" relativeHeight="251659264" behindDoc="0" locked="0" layoutInCell="1" allowOverlap="1">
              <wp:simplePos x="0" y="0"/>
              <wp:positionH relativeFrom="margin">
                <wp:align>outside</wp:align>
              </wp:positionH>
              <wp:positionV relativeFrom="paragraph">
                <wp:posOffset>0</wp:posOffset>
              </wp:positionV>
              <wp:extent cx="713740" cy="505460"/>
              <wp:effectExtent l="0" t="0" r="0" b="0"/>
              <wp:wrapNone/>
              <wp:docPr id="1" name="文本框 2"/>
              <wp:cNvGraphicFramePr/>
              <a:graphic xmlns:a="http://schemas.openxmlformats.org/drawingml/2006/main">
                <a:graphicData uri="http://schemas.microsoft.com/office/word/2010/wordprocessingShape">
                  <wps:wsp>
                    <wps:cNvSpPr/>
                    <wps:spPr>
                      <a:xfrm>
                        <a:off x="0" y="0"/>
                        <a:ext cx="713587" cy="505309"/>
                      </a:xfrm>
                      <a:prstGeom prst="rect">
                        <a:avLst/>
                      </a:prstGeom>
                      <a:noFill/>
                      <a:ln w="6350" cap="flat" cmpd="sng">
                        <a:noFill/>
                        <a:prstDash val="solid"/>
                        <a:round/>
                      </a:ln>
                    </wps:spPr>
                    <wps:txbx>
                      <w:txbxContent>
                        <w:p>
                          <w:pPr>
                            <w:pStyle w:val="12"/>
                            <w:ind w:right="451" w:rightChars="141"/>
                            <w:jc w:val="right"/>
                            <w:rPr>
                              <w:rFonts w:ascii="宋体"/>
                              <w:sz w:val="28"/>
                              <w:szCs w:val="28"/>
                            </w:rPr>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4 -</w:t>
                          </w:r>
                          <w:r>
                            <w:rPr>
                              <w:rFonts w:ascii="宋体"/>
                              <w:sz w:val="28"/>
                              <w:szCs w:val="28"/>
                            </w:rPr>
                            <w:fldChar w:fldCharType="end"/>
                          </w:r>
                        </w:p>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39.8pt;width:56.2pt;mso-position-horizontal:outside;mso-position-horizontal-relative:margin;mso-wrap-style:none;z-index:251659264;mso-width-relative:page;mso-height-relative:page;" filled="f" stroked="f" coordsize="21600,21600" o:gfxdata="UEsDBAoAAAAAAIdO4kAAAAAAAAAAAAAAAAAEAAAAZHJzL1BLAwQUAAAACACHTuJADes9ANgAAAAE&#10;AQAADwAAAGRycy9kb3ducmV2LnhtbE2PwU7DMBBE70j9B2srcamonQgVCHF6AAESogfSCombG2/j&#10;qPE6xG5S+HpcLvSy0mhGM2/z5dG2bMDeN44kJHMBDKlyuqFawmb9dHULzAdFWrWOUMI3elgWk4tc&#10;ZdqN9I5DGWoWS8hnSoIJocs495VBq/zcdUjR27neqhBlX3PdqzGW25anQiy4VQ3FBaM6fDBY7cuD&#10;lfD2+Pz5MTOvIl39zHZuLDfD18teystpIu6BBTyG/zCc8CM6FJFp6w6kPWslxEfC3z15SXoNbCvh&#10;5m4BvMj5OXzxC1BLAwQUAAAACACHTuJAzCx/VAQCAAD0AwAADgAAAGRycy9lMm9Eb2MueG1srVNL&#10;btswEN0X6B0I7mvJNpykguWgqJGiQNEGSHsAmqIkAvyBQ1lyD9DeoKtuuu+5fI4MKdkO0k0W3UhD&#10;cvhm3pvH9e2gFdkLD9Kaks5nOSXCcFtJ05T029e7NzeUQGCmYsoaUdKDAHq7ef1q3btCLGxrVSU8&#10;QRADRe9K2obgiiwD3grNYGadMHhYW69ZwKVvssqzHtG1yhZ5fpX11lfOWy4AcHc7HtIJ0b8E0Na1&#10;5GJreaeFCSOqF4oFpAStdEA3qdu6Fjx8qWsQgaiSItOQvlgE4138Zps1KxrPXCv51AJ7SQvPOGkm&#10;DRY9Q21ZYKTz8h8oLbm3YOsw41ZnI5GkCLKY58+0eWiZE4kLSg3uLDr8P1j+eX/viazQCZQYpnHg&#10;x18/j7//Hv/8IIsoT++gwKwHd++nFWAYuQ611/GPLMiQJD2cJRVDIBw3r+fL1c01JRyPVvlqmb+N&#10;mNnlsvMQPgirSQxK6nFiSUi2/wRhTD2lxFrG3kmlcJ8VypC+pFfLFc6SM3RijQ7AUDtkA6ZJME/y&#10;I8yWQUv2DM0AVslqHL+3nanGUspgc5HxyDFGYdgNeBjDna0OqBY+Huy0tf47JT1ap6QGXwol6qPB&#10;yUSXnQJ/CnangBmOF0uKjY7h+zC6sXNeNi3i5qlvcO+6gFyTBJfaU3dohiTiZNzotqfrlHV5rJt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Des9ANgAAAAEAQAADwAAAAAAAAABACAAAAAiAAAAZHJz&#10;L2Rvd25yZXYueG1sUEsBAhQAFAAAAAgAh07iQMwsf1QEAgAA9AMAAA4AAAAAAAAAAQAgAAAAJwEA&#10;AGRycy9lMm9Eb2MueG1sUEsFBgAAAAAGAAYAWQEAAJ0FAAAAAA==&#10;">
              <v:fill on="f" focussize="0,0"/>
              <v:stroke on="f" weight="0.5pt" joinstyle="round"/>
              <v:imagedata o:title=""/>
              <o:lock v:ext="edit" aspectratio="f"/>
              <v:textbox inset="0mm,0mm,0mm,0mm" style="mso-fit-shape-to-text:t;">
                <w:txbxContent>
                  <w:p>
                    <w:pPr>
                      <w:pStyle w:val="12"/>
                      <w:ind w:right="451" w:rightChars="141"/>
                      <w:jc w:val="right"/>
                      <w:rPr>
                        <w:rFonts w:ascii="宋体"/>
                        <w:sz w:val="28"/>
                        <w:szCs w:val="28"/>
                      </w:rPr>
                    </w:pPr>
                    <w:r>
                      <w:rPr>
                        <w:rFonts w:ascii="宋体"/>
                        <w:sz w:val="28"/>
                        <w:szCs w:val="28"/>
                      </w:rPr>
                      <w:fldChar w:fldCharType="begin"/>
                    </w:r>
                    <w:r>
                      <w:rPr>
                        <w:rFonts w:ascii="宋体"/>
                        <w:sz w:val="28"/>
                        <w:szCs w:val="28"/>
                      </w:rPr>
                      <w:instrText xml:space="preserve">PAGE   \* MERGEFORMAT</w:instrText>
                    </w:r>
                    <w:r>
                      <w:rPr>
                        <w:rFonts w:ascii="宋体"/>
                        <w:sz w:val="28"/>
                        <w:szCs w:val="28"/>
                      </w:rPr>
                      <w:fldChar w:fldCharType="separate"/>
                    </w:r>
                    <w:r>
                      <w:rPr>
                        <w:rFonts w:ascii="宋体"/>
                        <w:sz w:val="28"/>
                        <w:szCs w:val="28"/>
                        <w:lang w:val="zh-CN"/>
                      </w:rPr>
                      <w:t>-</w:t>
                    </w:r>
                    <w:r>
                      <w:rPr>
                        <w:rFonts w:ascii="宋体"/>
                        <w:sz w:val="28"/>
                        <w:szCs w:val="28"/>
                      </w:rPr>
                      <w:t xml:space="preserve"> 4 -</w:t>
                    </w:r>
                    <w:r>
                      <w:rPr>
                        <w:rFonts w:ascii="宋体"/>
                        <w:sz w:val="28"/>
                        <w:szCs w:val="28"/>
                      </w:rPr>
                      <w:fldChar w:fldCharType="end"/>
                    </w:r>
                  </w:p>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C20814"/>
    <w:multiLevelType w:val="singleLevel"/>
    <w:tmpl w:val="E2C20814"/>
    <w:lvl w:ilvl="0" w:tentative="0">
      <w:start w:val="2"/>
      <w:numFmt w:val="chineseCounting"/>
      <w:suff w:val="nothing"/>
      <w:lvlText w:val="（%1）"/>
      <w:lvlJc w:val="left"/>
      <w:rPr>
        <w:rFonts w:hint="eastAsia"/>
        <w:highlight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
  <w:rsids>
    <w:rsidRoot w:val="00000000"/>
    <w:rsid w:val="00593490"/>
    <w:rsid w:val="010B405F"/>
    <w:rsid w:val="01715C98"/>
    <w:rsid w:val="018A47AA"/>
    <w:rsid w:val="02025699"/>
    <w:rsid w:val="02F53218"/>
    <w:rsid w:val="031A6D2F"/>
    <w:rsid w:val="03594FB0"/>
    <w:rsid w:val="040A2CF3"/>
    <w:rsid w:val="060E651E"/>
    <w:rsid w:val="07126F6F"/>
    <w:rsid w:val="07516852"/>
    <w:rsid w:val="07E125D6"/>
    <w:rsid w:val="08947E20"/>
    <w:rsid w:val="08A74FB5"/>
    <w:rsid w:val="0A481E7F"/>
    <w:rsid w:val="0B3E774A"/>
    <w:rsid w:val="0C2B3D1C"/>
    <w:rsid w:val="0C4A7B29"/>
    <w:rsid w:val="0C7749C5"/>
    <w:rsid w:val="0CB87EBC"/>
    <w:rsid w:val="0CCA69A3"/>
    <w:rsid w:val="0E1924B1"/>
    <w:rsid w:val="0E2B5569"/>
    <w:rsid w:val="0EE515CF"/>
    <w:rsid w:val="0F2E63AB"/>
    <w:rsid w:val="0FDC3796"/>
    <w:rsid w:val="102C3EE1"/>
    <w:rsid w:val="10E5667A"/>
    <w:rsid w:val="11577A02"/>
    <w:rsid w:val="12284281"/>
    <w:rsid w:val="130A1E31"/>
    <w:rsid w:val="1400537A"/>
    <w:rsid w:val="147E306D"/>
    <w:rsid w:val="14A348DF"/>
    <w:rsid w:val="153A6A99"/>
    <w:rsid w:val="158838EA"/>
    <w:rsid w:val="164E1FE8"/>
    <w:rsid w:val="1670035F"/>
    <w:rsid w:val="16E45701"/>
    <w:rsid w:val="172D48D7"/>
    <w:rsid w:val="172E62EC"/>
    <w:rsid w:val="17C40CDE"/>
    <w:rsid w:val="18084A09"/>
    <w:rsid w:val="191E4EBC"/>
    <w:rsid w:val="19B168AB"/>
    <w:rsid w:val="1B58157D"/>
    <w:rsid w:val="1C27223D"/>
    <w:rsid w:val="1C817B9F"/>
    <w:rsid w:val="1D267800"/>
    <w:rsid w:val="1DAA311C"/>
    <w:rsid w:val="1EB3600A"/>
    <w:rsid w:val="1EE34E87"/>
    <w:rsid w:val="1F5F584A"/>
    <w:rsid w:val="20931C4F"/>
    <w:rsid w:val="20A138CB"/>
    <w:rsid w:val="20F548BD"/>
    <w:rsid w:val="214524A3"/>
    <w:rsid w:val="215F4227"/>
    <w:rsid w:val="237613B4"/>
    <w:rsid w:val="23FF0336"/>
    <w:rsid w:val="293E4A5F"/>
    <w:rsid w:val="29835EF6"/>
    <w:rsid w:val="29A30A29"/>
    <w:rsid w:val="29C46CBE"/>
    <w:rsid w:val="2A314A71"/>
    <w:rsid w:val="2AB9708F"/>
    <w:rsid w:val="2AFA6C8D"/>
    <w:rsid w:val="2B710BFC"/>
    <w:rsid w:val="2BBF0A23"/>
    <w:rsid w:val="2C302EEC"/>
    <w:rsid w:val="2CF303F6"/>
    <w:rsid w:val="2DDB4A8F"/>
    <w:rsid w:val="2E334A71"/>
    <w:rsid w:val="2E8552A2"/>
    <w:rsid w:val="30025039"/>
    <w:rsid w:val="310E7F75"/>
    <w:rsid w:val="313308E4"/>
    <w:rsid w:val="31F17F52"/>
    <w:rsid w:val="32C73722"/>
    <w:rsid w:val="32CD14B3"/>
    <w:rsid w:val="331A668C"/>
    <w:rsid w:val="3345159F"/>
    <w:rsid w:val="339B738A"/>
    <w:rsid w:val="33CB5F21"/>
    <w:rsid w:val="35187F0A"/>
    <w:rsid w:val="35B1113D"/>
    <w:rsid w:val="35FA6EAF"/>
    <w:rsid w:val="36436573"/>
    <w:rsid w:val="36721C56"/>
    <w:rsid w:val="376C68FE"/>
    <w:rsid w:val="384026DF"/>
    <w:rsid w:val="39245CCA"/>
    <w:rsid w:val="39492BEE"/>
    <w:rsid w:val="39A575B2"/>
    <w:rsid w:val="3A361E80"/>
    <w:rsid w:val="3AA50AA5"/>
    <w:rsid w:val="3AEA555B"/>
    <w:rsid w:val="3B750F5E"/>
    <w:rsid w:val="3BB52F69"/>
    <w:rsid w:val="3E4C3613"/>
    <w:rsid w:val="3F096F93"/>
    <w:rsid w:val="3F7171A7"/>
    <w:rsid w:val="3FC512A1"/>
    <w:rsid w:val="3FEF3E6C"/>
    <w:rsid w:val="40183AC7"/>
    <w:rsid w:val="408C017C"/>
    <w:rsid w:val="41790595"/>
    <w:rsid w:val="41F91888"/>
    <w:rsid w:val="42E07BC4"/>
    <w:rsid w:val="431C03CC"/>
    <w:rsid w:val="438C587E"/>
    <w:rsid w:val="43B14016"/>
    <w:rsid w:val="443B21E4"/>
    <w:rsid w:val="47C35A02"/>
    <w:rsid w:val="48420BDC"/>
    <w:rsid w:val="48B95DC1"/>
    <w:rsid w:val="492B03C7"/>
    <w:rsid w:val="49574BFE"/>
    <w:rsid w:val="49A1194F"/>
    <w:rsid w:val="49C01457"/>
    <w:rsid w:val="4A064990"/>
    <w:rsid w:val="4B0306BF"/>
    <w:rsid w:val="4B985ABC"/>
    <w:rsid w:val="4C6F2CC0"/>
    <w:rsid w:val="4D186EB4"/>
    <w:rsid w:val="4D52686A"/>
    <w:rsid w:val="4DC76DCC"/>
    <w:rsid w:val="4E8A2033"/>
    <w:rsid w:val="4F3816A0"/>
    <w:rsid w:val="4F477F24"/>
    <w:rsid w:val="4FE34DE6"/>
    <w:rsid w:val="502F4C40"/>
    <w:rsid w:val="511B2E45"/>
    <w:rsid w:val="51DF2696"/>
    <w:rsid w:val="52704F4D"/>
    <w:rsid w:val="53493F6A"/>
    <w:rsid w:val="54B8031D"/>
    <w:rsid w:val="55890A47"/>
    <w:rsid w:val="56586573"/>
    <w:rsid w:val="569357FD"/>
    <w:rsid w:val="570B29A1"/>
    <w:rsid w:val="57D0489E"/>
    <w:rsid w:val="584B66EE"/>
    <w:rsid w:val="58DC18F4"/>
    <w:rsid w:val="596A353B"/>
    <w:rsid w:val="59F70F40"/>
    <w:rsid w:val="5AB60CE4"/>
    <w:rsid w:val="5BB246DB"/>
    <w:rsid w:val="5C0E779A"/>
    <w:rsid w:val="5C147653"/>
    <w:rsid w:val="5CB12E81"/>
    <w:rsid w:val="5CD050B5"/>
    <w:rsid w:val="5DAD1C59"/>
    <w:rsid w:val="5DCF65EE"/>
    <w:rsid w:val="5E1216FE"/>
    <w:rsid w:val="5E8678EB"/>
    <w:rsid w:val="5F051EAA"/>
    <w:rsid w:val="5F7750F8"/>
    <w:rsid w:val="5FB25DA5"/>
    <w:rsid w:val="60994233"/>
    <w:rsid w:val="60B560E3"/>
    <w:rsid w:val="61C35431"/>
    <w:rsid w:val="61DF428F"/>
    <w:rsid w:val="621719D8"/>
    <w:rsid w:val="62AB5105"/>
    <w:rsid w:val="62CA07F9"/>
    <w:rsid w:val="62F36B3E"/>
    <w:rsid w:val="63AF5199"/>
    <w:rsid w:val="64972F30"/>
    <w:rsid w:val="64A732ED"/>
    <w:rsid w:val="64F90DFE"/>
    <w:rsid w:val="663F7851"/>
    <w:rsid w:val="66EB3621"/>
    <w:rsid w:val="67C479DA"/>
    <w:rsid w:val="69056951"/>
    <w:rsid w:val="696F20FA"/>
    <w:rsid w:val="6AFE3403"/>
    <w:rsid w:val="6B1A35A8"/>
    <w:rsid w:val="6BB96E6E"/>
    <w:rsid w:val="6C3363DD"/>
    <w:rsid w:val="6C415824"/>
    <w:rsid w:val="6F2A1D08"/>
    <w:rsid w:val="6FF41056"/>
    <w:rsid w:val="70780579"/>
    <w:rsid w:val="71E00988"/>
    <w:rsid w:val="72F80888"/>
    <w:rsid w:val="73FE0302"/>
    <w:rsid w:val="742A3A3C"/>
    <w:rsid w:val="74CF3891"/>
    <w:rsid w:val="75A80DCA"/>
    <w:rsid w:val="75AE6177"/>
    <w:rsid w:val="75C31803"/>
    <w:rsid w:val="77574AEC"/>
    <w:rsid w:val="77E16160"/>
    <w:rsid w:val="780103C1"/>
    <w:rsid w:val="78192A80"/>
    <w:rsid w:val="785D5515"/>
    <w:rsid w:val="788C6EBE"/>
    <w:rsid w:val="7A2F6031"/>
    <w:rsid w:val="7B5A1010"/>
    <w:rsid w:val="7BA847DF"/>
    <w:rsid w:val="7CF2548B"/>
    <w:rsid w:val="7D1D62D4"/>
    <w:rsid w:val="7D500CC5"/>
    <w:rsid w:val="7F152C96"/>
    <w:rsid w:val="7FA269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ind w:left="420" w:leftChars="200"/>
      <w:jc w:val="left"/>
    </w:pPr>
    <w:rPr>
      <w:rFonts w:ascii="宋体" w:hAnsi="方正兰亭黑_GBK" w:eastAsia="宋体" w:cs="方正兰亭黑_GBK"/>
      <w:sz w:val="24"/>
      <w:szCs w:val="21"/>
    </w:rPr>
  </w:style>
  <w:style w:type="paragraph" w:styleId="6">
    <w:name w:val="Normal Indent"/>
    <w:basedOn w:val="1"/>
    <w:next w:val="1"/>
    <w:qFormat/>
    <w:uiPriority w:val="0"/>
    <w:pPr>
      <w:spacing w:before="50" w:beforeLines="50" w:line="360" w:lineRule="auto"/>
      <w:ind w:firstLine="200" w:firstLineChars="200"/>
    </w:pPr>
    <w:rPr>
      <w:rFonts w:eastAsia="仿宋"/>
      <w:sz w:val="24"/>
      <w:szCs w:val="23"/>
      <w:lang w:eastAsia="ar-SA"/>
    </w:rPr>
  </w:style>
  <w:style w:type="paragraph" w:styleId="7">
    <w:name w:val="Document Map"/>
    <w:basedOn w:val="1"/>
    <w:qFormat/>
    <w:uiPriority w:val="0"/>
    <w:rPr>
      <w:rFonts w:ascii="宋体" w:eastAsia="宋体"/>
      <w:sz w:val="18"/>
      <w:szCs w:val="18"/>
    </w:r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200" w:leftChars="200"/>
    </w:pPr>
    <w:rPr>
      <w:rFonts w:ascii="仿宋_GB2312"/>
      <w:szCs w:val="32"/>
    </w:rPr>
  </w:style>
  <w:style w:type="paragraph" w:styleId="10">
    <w:name w:val="Plain Text"/>
    <w:basedOn w:val="1"/>
    <w:qFormat/>
    <w:uiPriority w:val="0"/>
    <w:rPr>
      <w:rFonts w:ascii="宋体" w:hAnsi="Courier New"/>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eastAsia="宋体"/>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4">
    <w:name w:val="toc 1"/>
    <w:basedOn w:val="1"/>
    <w:next w:val="1"/>
    <w:qFormat/>
    <w:uiPriority w:val="0"/>
  </w:style>
  <w:style w:type="paragraph" w:styleId="15">
    <w:name w:val="Body Text First Indent 2"/>
    <w:basedOn w:val="9"/>
    <w:qFormat/>
    <w:uiPriority w:val="0"/>
    <w:pPr>
      <w:ind w:firstLine="200" w:firstLineChars="200"/>
    </w:pPr>
  </w:style>
  <w:style w:type="character" w:styleId="18">
    <w:name w:val="Strong"/>
    <w:basedOn w:val="17"/>
    <w:qFormat/>
    <w:uiPriority w:val="0"/>
    <w:rPr>
      <w:b/>
    </w:rPr>
  </w:style>
  <w:style w:type="character" w:styleId="19">
    <w:name w:val="page number"/>
    <w:basedOn w:val="17"/>
    <w:qFormat/>
    <w:uiPriority w:val="0"/>
  </w:style>
  <w:style w:type="paragraph" w:customStyle="1" w:styleId="20">
    <w:name w:val="标题 5（有编号）（绿盟科技）"/>
    <w:next w:val="1"/>
    <w:qFormat/>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21">
    <w:name w:val="四号正文"/>
    <w:basedOn w:val="1"/>
    <w:qFormat/>
    <w:uiPriority w:val="0"/>
    <w:pPr>
      <w:spacing w:line="360" w:lineRule="auto"/>
    </w:pPr>
    <w:rPr>
      <w:rFonts w:ascii="??" w:hAnsi="??" w:eastAsia="宋体" w:cs="宋体"/>
      <w:color w:val="000000"/>
      <w:kern w:val="0"/>
      <w:sz w:val="28"/>
      <w:szCs w:val="21"/>
    </w:rPr>
  </w:style>
  <w:style w:type="paragraph" w:customStyle="1" w:styleId="22">
    <w:name w:val="a"/>
    <w:basedOn w:val="1"/>
    <w:qFormat/>
    <w:uiPriority w:val="0"/>
    <w:pPr>
      <w:widowControl/>
      <w:spacing w:before="100" w:beforeAutospacing="1" w:after="100" w:afterAutospacing="1"/>
      <w:jc w:val="left"/>
    </w:pPr>
    <w:rPr>
      <w:rFonts w:ascii="宋体" w:eastAsia="宋体" w:cs="宋体"/>
      <w:kern w:val="0"/>
      <w:sz w:val="24"/>
    </w:rPr>
  </w:style>
  <w:style w:type="character" w:customStyle="1" w:styleId="23">
    <w:name w:val="font31"/>
    <w:basedOn w:val="17"/>
    <w:qFormat/>
    <w:uiPriority w:val="0"/>
    <w:rPr>
      <w:rFonts w:ascii="宋体" w:eastAsia="宋体" w:cs="宋体"/>
      <w:color w:val="000000"/>
      <w:sz w:val="24"/>
      <w:szCs w:val="24"/>
      <w:u w:val="none"/>
    </w:rPr>
  </w:style>
  <w:style w:type="character" w:customStyle="1" w:styleId="24">
    <w:name w:val="font51"/>
    <w:basedOn w:val="17"/>
    <w:qFormat/>
    <w:uiPriority w:val="0"/>
    <w:rPr>
      <w:rFonts w:ascii="Wingdings 2" w:hAnsi="Wingdings 2" w:eastAsia="Wingdings 2" w:cs="Wingdings 2"/>
      <w:color w:val="000000"/>
      <w:sz w:val="18"/>
      <w:szCs w:val="18"/>
      <w:u w:val="none"/>
    </w:rPr>
  </w:style>
  <w:style w:type="character" w:customStyle="1" w:styleId="25">
    <w:name w:val="font01"/>
    <w:basedOn w:val="17"/>
    <w:qFormat/>
    <w:uiPriority w:val="0"/>
    <w:rPr>
      <w:rFonts w:ascii="宋体" w:eastAsia="宋体" w:cs="宋体"/>
      <w:color w:val="000000"/>
      <w:sz w:val="18"/>
      <w:szCs w:val="18"/>
      <w:u w:val="none"/>
    </w:rPr>
  </w:style>
  <w:style w:type="character" w:customStyle="1" w:styleId="26">
    <w:name w:val="font41"/>
    <w:basedOn w:val="17"/>
    <w:qFormat/>
    <w:uiPriority w:val="0"/>
    <w:rPr>
      <w:rFonts w:ascii="宋体" w:eastAsia="宋体" w:cs="宋体"/>
      <w:color w:val="000000"/>
      <w:sz w:val="18"/>
      <w:szCs w:val="18"/>
      <w:u w:val="none"/>
    </w:rPr>
  </w:style>
  <w:style w:type="paragraph" w:customStyle="1" w:styleId="27">
    <w:name w:val="Body Text First Indent 21"/>
    <w:basedOn w:val="1"/>
    <w:qFormat/>
    <w:uiPriority w:val="0"/>
    <w:pPr>
      <w:ind w:left="200" w:leftChars="200" w:firstLine="200" w:firstLineChars="200"/>
    </w:pPr>
    <w:rPr>
      <w:rFonts w:eastAsia="宋体"/>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PSZX</Company>
  <Pages>12</Pages>
  <Words>7416</Words>
  <Characters>7919</Characters>
  <Lines>339</Lines>
  <Paragraphs>173</Paragraphs>
  <TotalTime>1</TotalTime>
  <ScaleCrop>false</ScaleCrop>
  <LinksUpToDate>false</LinksUpToDate>
  <CharactersWithSpaces>8222</CharactersWithSpaces>
  <Application>WPS Office_11.8.2.11739_F1E327BC-269C-435d-A152-05C5408002CA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2025-03-27T08:07:00Z</dcterms:created>
  <dc:creator>陈萍</dc:creator>
  <cp:lastModifiedBy>申聂</cp:lastModifiedBy>
  <cp:lastPrinted>2025-03-04T19:05:00Z</cp:lastPrinted>
  <dcterms:modified xsi:type="dcterms:W3CDTF">2026-06-22T07:58:46Z</dcterms:modified>
  <dc:title>区域性就业培训基地建设项目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KSOTemplateDocerSaveRecord">
    <vt:lpwstr>eyJoZGlkIjoiZTk2ODhmMWFlODNhYTQzODM1MDdjZTEzOTIzZDJmM2QiLCJ1c2VySWQiOiI0MDEyNDE3OTMifQ==</vt:lpwstr>
  </property>
  <property fmtid="{D5CDD505-2E9C-101B-9397-08002B2CF9AE}" pid="4" name="ICV">
    <vt:lpwstr>27ED180390664A198CAA6A233346370B</vt:lpwstr>
  </property>
</Properties>
</file>