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46" w:rsidRDefault="00577046">
      <w:pPr>
        <w:pStyle w:val="a3"/>
        <w:spacing w:before="93"/>
        <w:jc w:val="center"/>
        <w:rPr>
          <w:rFonts w:ascii="Times New Roman" w:eastAsia="方正小标宋简体"/>
          <w:kern w:val="2"/>
          <w:sz w:val="44"/>
          <w:szCs w:val="44"/>
        </w:rPr>
      </w:pPr>
      <w:bookmarkStart w:id="0" w:name="_Toc15306267"/>
      <w:bookmarkStart w:id="1" w:name="_Toc15396598"/>
      <w:bookmarkStart w:id="2" w:name="_Toc15377426"/>
      <w:bookmarkStart w:id="3" w:name="_Toc15378442"/>
      <w:bookmarkStart w:id="4" w:name="_Toc15377194"/>
      <w:bookmarkStart w:id="5" w:name="_Toc15396476"/>
    </w:p>
    <w:p w:rsidR="00577046" w:rsidRDefault="00577046">
      <w:pPr>
        <w:pStyle w:val="a3"/>
        <w:spacing w:before="93"/>
        <w:jc w:val="center"/>
        <w:rPr>
          <w:rFonts w:ascii="Times New Roman" w:eastAsia="方正小标宋简体"/>
          <w:kern w:val="2"/>
          <w:sz w:val="44"/>
          <w:szCs w:val="44"/>
        </w:rPr>
      </w:pPr>
    </w:p>
    <w:p w:rsidR="00577046" w:rsidRDefault="00577046">
      <w:pPr>
        <w:pStyle w:val="a3"/>
        <w:spacing w:before="93"/>
        <w:jc w:val="center"/>
        <w:rPr>
          <w:rFonts w:ascii="Times New Roman" w:eastAsia="方正小标宋简体"/>
          <w:kern w:val="2"/>
          <w:sz w:val="44"/>
          <w:szCs w:val="44"/>
        </w:rPr>
      </w:pPr>
    </w:p>
    <w:p w:rsidR="00577046" w:rsidRDefault="002C6759">
      <w:pPr>
        <w:pStyle w:val="a3"/>
        <w:spacing w:before="93"/>
        <w:jc w:val="center"/>
        <w:rPr>
          <w:rFonts w:ascii="Times New Roman" w:eastAsia="方正小标宋_GBK"/>
          <w:kern w:val="2"/>
          <w:sz w:val="72"/>
          <w:szCs w:val="72"/>
        </w:rPr>
      </w:pPr>
      <w:r>
        <w:rPr>
          <w:rFonts w:ascii="Times New Roman" w:eastAsia="方正小标宋_GBK"/>
          <w:kern w:val="2"/>
          <w:sz w:val="72"/>
          <w:szCs w:val="72"/>
        </w:rPr>
        <w:t>2024</w:t>
      </w:r>
      <w:r>
        <w:rPr>
          <w:rFonts w:ascii="Times New Roman" w:eastAsia="方正小标宋_GBK"/>
          <w:kern w:val="2"/>
          <w:sz w:val="72"/>
          <w:szCs w:val="72"/>
        </w:rPr>
        <w:t>年度</w:t>
      </w:r>
      <w:bookmarkStart w:id="6" w:name="_Toc15306268"/>
      <w:bookmarkEnd w:id="0"/>
      <w:r>
        <w:rPr>
          <w:rFonts w:ascii="Times New Roman" w:eastAsia="方正小标宋_GBK"/>
          <w:kern w:val="2"/>
          <w:sz w:val="72"/>
          <w:szCs w:val="72"/>
        </w:rPr>
        <w:t>攀枝花市</w:t>
      </w:r>
    </w:p>
    <w:p w:rsidR="00577046" w:rsidRDefault="002C6759">
      <w:pPr>
        <w:pStyle w:val="a3"/>
        <w:spacing w:before="93"/>
        <w:jc w:val="center"/>
        <w:rPr>
          <w:rFonts w:ascii="Times New Roman" w:eastAsia="方正小标宋_GBK"/>
          <w:kern w:val="2"/>
          <w:sz w:val="72"/>
          <w:szCs w:val="72"/>
        </w:rPr>
      </w:pPr>
      <w:r>
        <w:rPr>
          <w:rFonts w:ascii="Times New Roman" w:eastAsia="方正小标宋_GBK"/>
          <w:kern w:val="2"/>
          <w:sz w:val="72"/>
          <w:szCs w:val="72"/>
        </w:rPr>
        <w:t>医疗保障事务中心</w:t>
      </w:r>
    </w:p>
    <w:p w:rsidR="00577046" w:rsidRDefault="002C6759">
      <w:pPr>
        <w:pStyle w:val="a3"/>
        <w:spacing w:before="93"/>
        <w:jc w:val="center"/>
        <w:rPr>
          <w:rFonts w:ascii="Times New Roman" w:eastAsia="方正小标宋_GBK"/>
          <w:sz w:val="32"/>
          <w:szCs w:val="32"/>
        </w:rPr>
      </w:pPr>
      <w:r>
        <w:rPr>
          <w:rFonts w:ascii="Times New Roman" w:eastAsia="方正小标宋_GBK"/>
          <w:kern w:val="2"/>
          <w:sz w:val="72"/>
          <w:szCs w:val="72"/>
        </w:rPr>
        <w:t>单位决</w:t>
      </w:r>
      <w:bookmarkEnd w:id="1"/>
      <w:bookmarkEnd w:id="2"/>
      <w:bookmarkEnd w:id="3"/>
      <w:bookmarkEnd w:id="4"/>
      <w:bookmarkEnd w:id="5"/>
      <w:bookmarkEnd w:id="6"/>
      <w:r>
        <w:rPr>
          <w:rFonts w:ascii="Times New Roman" w:eastAsia="方正小标宋_GBK"/>
          <w:kern w:val="2"/>
          <w:sz w:val="72"/>
          <w:szCs w:val="72"/>
        </w:rPr>
        <w:t>算公开文字说明</w:t>
      </w:r>
    </w:p>
    <w:p w:rsidR="00577046" w:rsidRDefault="002C6759">
      <w:pPr>
        <w:widowControl/>
        <w:jc w:val="center"/>
        <w:rPr>
          <w:rFonts w:eastAsia="黑体"/>
          <w:sz w:val="48"/>
          <w:szCs w:val="48"/>
        </w:rPr>
      </w:pPr>
      <w:r>
        <w:rPr>
          <w:rFonts w:eastAsia="方正小标宋简体"/>
          <w:sz w:val="36"/>
          <w:szCs w:val="36"/>
        </w:rPr>
        <w:br w:type="page"/>
      </w:r>
      <w:r>
        <w:rPr>
          <w:rFonts w:eastAsia="黑体"/>
          <w:sz w:val="48"/>
          <w:szCs w:val="48"/>
        </w:rPr>
        <w:lastRenderedPageBreak/>
        <w:t>目录</w:t>
      </w:r>
    </w:p>
    <w:p w:rsidR="00577046" w:rsidRDefault="00577046">
      <w:pPr>
        <w:widowControl/>
        <w:jc w:val="center"/>
        <w:rPr>
          <w:rFonts w:eastAsia="黑体"/>
          <w:sz w:val="28"/>
          <w:szCs w:val="28"/>
        </w:rPr>
      </w:pPr>
    </w:p>
    <w:p w:rsidR="00577046" w:rsidRDefault="002C6759">
      <w:pPr>
        <w:pStyle w:val="10"/>
        <w:rPr>
          <w:rFonts w:ascii="Times New Roman" w:eastAsia="仿宋_GB2312" w:hAnsi="Times New Roman"/>
          <w:sz w:val="32"/>
          <w:szCs w:val="32"/>
        </w:rPr>
      </w:pPr>
      <w:r>
        <w:rPr>
          <w:rFonts w:ascii="Times New Roman" w:eastAsia="仿宋_GB2312" w:hAnsi="Times New Roman"/>
          <w:sz w:val="32"/>
          <w:szCs w:val="32"/>
        </w:rPr>
        <w:t>公开时间：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hint="eastAsia"/>
          <w:sz w:val="32"/>
          <w:szCs w:val="32"/>
        </w:rPr>
        <w:t>9</w:t>
      </w:r>
      <w:r>
        <w:rPr>
          <w:rFonts w:ascii="Times New Roman" w:eastAsia="仿宋_GB2312" w:hAnsi="Times New Roman"/>
          <w:sz w:val="32"/>
          <w:szCs w:val="32"/>
        </w:rPr>
        <w:t>月</w:t>
      </w:r>
      <w:r>
        <w:rPr>
          <w:rFonts w:ascii="Times New Roman" w:eastAsia="仿宋_GB2312" w:hAnsi="Times New Roman" w:hint="eastAsia"/>
          <w:sz w:val="32"/>
          <w:szCs w:val="32"/>
        </w:rPr>
        <w:t>10</w:t>
      </w:r>
      <w:r>
        <w:rPr>
          <w:rFonts w:ascii="Times New Roman" w:eastAsia="仿宋_GB2312" w:hAnsi="Times New Roman"/>
          <w:sz w:val="32"/>
          <w:szCs w:val="32"/>
        </w:rPr>
        <w:t>日</w:t>
      </w:r>
    </w:p>
    <w:p w:rsidR="00577046" w:rsidRDefault="00577046"/>
    <w:p w:rsidR="00577046" w:rsidRDefault="002C6759">
      <w:pPr>
        <w:pStyle w:val="10"/>
        <w:adjustRightInd w:val="0"/>
        <w:snapToGrid w:val="0"/>
        <w:spacing w:before="0" w:line="560" w:lineRule="exact"/>
        <w:jc w:val="distribute"/>
        <w:rPr>
          <w:rFonts w:ascii="Times New Roman" w:eastAsia="黑体" w:hAnsi="Times New Roman"/>
          <w:sz w:val="32"/>
          <w:szCs w:val="32"/>
        </w:rPr>
      </w:pPr>
      <w:r>
        <w:rPr>
          <w:rFonts w:ascii="Times New Roman" w:eastAsia="黑体" w:hAnsi="Times New Roman"/>
          <w:sz w:val="32"/>
          <w:szCs w:val="32"/>
        </w:rPr>
        <w:t>第一部分</w:t>
      </w:r>
      <w:r>
        <w:rPr>
          <w:rFonts w:ascii="Times New Roman" w:eastAsia="黑体" w:hAnsi="Times New Roman"/>
          <w:sz w:val="32"/>
          <w:szCs w:val="32"/>
        </w:rPr>
        <w:t xml:space="preserve"> </w:t>
      </w:r>
      <w:r>
        <w:rPr>
          <w:rFonts w:ascii="Times New Roman" w:eastAsia="黑体" w:hAnsi="Times New Roman"/>
          <w:sz w:val="32"/>
          <w:szCs w:val="32"/>
        </w:rPr>
        <w:t>单位概况</w:t>
      </w:r>
      <w:r>
        <w:rPr>
          <w:rFonts w:ascii="Times New Roman" w:eastAsia="黑体" w:hAnsi="Times New Roman"/>
          <w:sz w:val="32"/>
          <w:szCs w:val="32"/>
        </w:rPr>
        <w:t>...................................................................3</w:t>
      </w:r>
    </w:p>
    <w:p w:rsidR="00577046" w:rsidRDefault="002C6759">
      <w:pPr>
        <w:pStyle w:val="21"/>
        <w:adjustRightInd w:val="0"/>
        <w:snapToGrid w:val="0"/>
        <w:spacing w:line="560" w:lineRule="exact"/>
        <w:ind w:leftChars="0" w:left="0" w:firstLineChars="200" w:firstLine="640"/>
        <w:jc w:val="left"/>
        <w:rPr>
          <w:rFonts w:eastAsia="仿宋_GB2312"/>
          <w:sz w:val="32"/>
          <w:szCs w:val="32"/>
        </w:rPr>
      </w:pPr>
      <w:r>
        <w:rPr>
          <w:rFonts w:eastAsia="仿宋_GB2312"/>
          <w:sz w:val="32"/>
          <w:szCs w:val="32"/>
        </w:rPr>
        <w:t>一、单位职责</w:t>
      </w:r>
      <w:r>
        <w:rPr>
          <w:rFonts w:eastAsia="仿宋_GB2312"/>
          <w:sz w:val="32"/>
          <w:szCs w:val="32"/>
        </w:rPr>
        <w:t>.......................................................................3</w:t>
      </w:r>
    </w:p>
    <w:p w:rsidR="00577046" w:rsidRDefault="002C6759">
      <w:pPr>
        <w:pStyle w:val="21"/>
        <w:adjustRightInd w:val="0"/>
        <w:snapToGrid w:val="0"/>
        <w:spacing w:line="560" w:lineRule="exact"/>
        <w:ind w:leftChars="304" w:left="638"/>
        <w:jc w:val="left"/>
        <w:rPr>
          <w:rFonts w:eastAsia="仿宋_GB2312"/>
          <w:sz w:val="32"/>
          <w:szCs w:val="32"/>
        </w:rPr>
      </w:pPr>
      <w:r>
        <w:rPr>
          <w:rFonts w:eastAsia="仿宋_GB2312"/>
          <w:sz w:val="32"/>
          <w:szCs w:val="32"/>
        </w:rPr>
        <w:t>二、机构设置</w:t>
      </w:r>
      <w:r>
        <w:rPr>
          <w:rFonts w:eastAsia="仿宋_GB2312"/>
          <w:sz w:val="32"/>
          <w:szCs w:val="32"/>
        </w:rPr>
        <w:t>.......................................................................4</w:t>
      </w:r>
    </w:p>
    <w:p w:rsidR="00577046" w:rsidRDefault="002C6759">
      <w:pPr>
        <w:pStyle w:val="10"/>
        <w:adjustRightInd w:val="0"/>
        <w:snapToGrid w:val="0"/>
        <w:spacing w:before="0" w:line="560" w:lineRule="exact"/>
        <w:jc w:val="left"/>
        <w:rPr>
          <w:rFonts w:ascii="Times New Roman" w:eastAsia="黑体" w:hAnsi="Times New Roman"/>
          <w:sz w:val="32"/>
          <w:szCs w:val="32"/>
        </w:rPr>
      </w:pPr>
      <w:r>
        <w:rPr>
          <w:rFonts w:ascii="Times New Roman" w:eastAsia="黑体" w:hAnsi="Times New Roman"/>
          <w:sz w:val="32"/>
          <w:szCs w:val="32"/>
        </w:rPr>
        <w:t>第二部分</w:t>
      </w:r>
      <w:r>
        <w:rPr>
          <w:rFonts w:ascii="Times New Roman" w:eastAsia="黑体" w:hAnsi="Times New Roman"/>
          <w:sz w:val="32"/>
          <w:szCs w:val="32"/>
        </w:rPr>
        <w:t xml:space="preserve"> 2024</w:t>
      </w:r>
      <w:r>
        <w:rPr>
          <w:rFonts w:ascii="Times New Roman" w:eastAsia="黑体" w:hAnsi="Times New Roman"/>
          <w:sz w:val="32"/>
          <w:szCs w:val="32"/>
        </w:rPr>
        <w:t>年度单位决算情况说明</w:t>
      </w:r>
      <w:r>
        <w:rPr>
          <w:rFonts w:ascii="Times New Roman" w:eastAsia="黑体" w:hAnsi="Times New Roman"/>
          <w:sz w:val="32"/>
          <w:szCs w:val="32"/>
        </w:rPr>
        <w:t>...................................5</w:t>
      </w:r>
    </w:p>
    <w:p w:rsidR="00577046" w:rsidRDefault="002C6759">
      <w:pPr>
        <w:pStyle w:val="21"/>
        <w:adjustRightInd w:val="0"/>
        <w:snapToGrid w:val="0"/>
        <w:spacing w:line="560" w:lineRule="exact"/>
        <w:ind w:leftChars="152" w:left="319" w:firstLineChars="100" w:firstLine="320"/>
        <w:jc w:val="left"/>
        <w:rPr>
          <w:rFonts w:eastAsia="仿宋_GB2312"/>
          <w:sz w:val="32"/>
          <w:szCs w:val="32"/>
        </w:rPr>
      </w:pPr>
      <w:r>
        <w:rPr>
          <w:rFonts w:eastAsia="仿宋_GB2312"/>
          <w:sz w:val="32"/>
          <w:szCs w:val="32"/>
        </w:rPr>
        <w:t>一、收入支出决算总体情况说明</w:t>
      </w:r>
      <w:r>
        <w:rPr>
          <w:rFonts w:eastAsia="仿宋_GB2312"/>
          <w:sz w:val="32"/>
          <w:szCs w:val="32"/>
        </w:rPr>
        <w:t>.......................................5</w:t>
      </w:r>
    </w:p>
    <w:p w:rsidR="00577046" w:rsidRDefault="002C6759">
      <w:pPr>
        <w:pStyle w:val="21"/>
        <w:adjustRightInd w:val="0"/>
        <w:snapToGrid w:val="0"/>
        <w:spacing w:line="560" w:lineRule="exact"/>
        <w:ind w:leftChars="0" w:left="0" w:firstLineChars="200" w:firstLine="640"/>
        <w:jc w:val="left"/>
        <w:rPr>
          <w:rFonts w:eastAsia="仿宋_GB2312"/>
          <w:sz w:val="32"/>
          <w:szCs w:val="32"/>
        </w:rPr>
      </w:pPr>
      <w:r>
        <w:rPr>
          <w:rFonts w:eastAsia="仿宋_GB2312"/>
          <w:sz w:val="32"/>
          <w:szCs w:val="32"/>
        </w:rPr>
        <w:t>二、收入决算情况说明</w:t>
      </w:r>
      <w:r>
        <w:rPr>
          <w:rFonts w:eastAsia="仿宋_GB2312"/>
          <w:sz w:val="32"/>
          <w:szCs w:val="32"/>
        </w:rPr>
        <w:t>.......................................................5</w:t>
      </w:r>
      <w:bookmarkStart w:id="7" w:name="_GoBack"/>
      <w:bookmarkEnd w:id="7"/>
    </w:p>
    <w:p w:rsidR="00577046" w:rsidRDefault="002C6759">
      <w:pPr>
        <w:pStyle w:val="21"/>
        <w:adjustRightInd w:val="0"/>
        <w:snapToGrid w:val="0"/>
        <w:spacing w:line="560" w:lineRule="exact"/>
        <w:ind w:leftChars="0" w:left="0" w:firstLineChars="200" w:firstLine="640"/>
        <w:jc w:val="left"/>
        <w:rPr>
          <w:rFonts w:eastAsia="仿宋_GB2312"/>
          <w:sz w:val="32"/>
          <w:szCs w:val="32"/>
        </w:rPr>
      </w:pPr>
      <w:r>
        <w:rPr>
          <w:rFonts w:eastAsia="仿宋_GB2312"/>
          <w:sz w:val="32"/>
          <w:szCs w:val="32"/>
        </w:rPr>
        <w:t>三、支出决算情况说明</w:t>
      </w:r>
      <w:r>
        <w:rPr>
          <w:rFonts w:eastAsia="仿宋_GB2312"/>
          <w:sz w:val="32"/>
          <w:szCs w:val="32"/>
        </w:rPr>
        <w:t>.......................................................6</w:t>
      </w:r>
    </w:p>
    <w:p w:rsidR="00577046" w:rsidRDefault="002C6759">
      <w:pPr>
        <w:pStyle w:val="21"/>
        <w:adjustRightInd w:val="0"/>
        <w:snapToGrid w:val="0"/>
        <w:spacing w:line="560" w:lineRule="exact"/>
        <w:ind w:leftChars="0" w:left="0" w:firstLineChars="200" w:firstLine="640"/>
        <w:jc w:val="left"/>
        <w:rPr>
          <w:rFonts w:eastAsia="仿宋_GB2312"/>
          <w:sz w:val="32"/>
          <w:szCs w:val="32"/>
        </w:rPr>
      </w:pPr>
      <w:r>
        <w:rPr>
          <w:rFonts w:eastAsia="仿宋_GB2312"/>
          <w:sz w:val="32"/>
          <w:szCs w:val="32"/>
        </w:rPr>
        <w:t>四、财政拨款收入支出决算总体情况说明</w:t>
      </w:r>
      <w:r>
        <w:rPr>
          <w:rFonts w:eastAsia="仿宋_GB2312"/>
          <w:sz w:val="32"/>
          <w:szCs w:val="32"/>
        </w:rPr>
        <w:t>.......................7</w:t>
      </w:r>
    </w:p>
    <w:p w:rsidR="00577046" w:rsidRDefault="002C6759">
      <w:pPr>
        <w:pStyle w:val="21"/>
        <w:adjustRightInd w:val="0"/>
        <w:snapToGrid w:val="0"/>
        <w:spacing w:line="560" w:lineRule="exact"/>
        <w:ind w:leftChars="152" w:left="319" w:firstLineChars="100" w:firstLine="320"/>
        <w:jc w:val="left"/>
        <w:rPr>
          <w:rFonts w:eastAsia="仿宋_GB2312"/>
          <w:sz w:val="32"/>
          <w:szCs w:val="32"/>
        </w:rPr>
      </w:pPr>
      <w:r>
        <w:rPr>
          <w:rFonts w:eastAsia="仿宋_GB2312"/>
          <w:sz w:val="32"/>
          <w:szCs w:val="32"/>
        </w:rPr>
        <w:t>五、一般公共预算财政拨款支出决算情况说明</w:t>
      </w:r>
      <w:r>
        <w:rPr>
          <w:rFonts w:eastAsia="仿宋_GB2312"/>
          <w:sz w:val="32"/>
          <w:szCs w:val="32"/>
        </w:rPr>
        <w:t>...............7</w:t>
      </w:r>
    </w:p>
    <w:p w:rsidR="00577046" w:rsidRDefault="002C6759">
      <w:pPr>
        <w:pStyle w:val="21"/>
        <w:adjustRightInd w:val="0"/>
        <w:snapToGrid w:val="0"/>
        <w:spacing w:line="560" w:lineRule="exact"/>
        <w:ind w:leftChars="0" w:left="0" w:firstLineChars="200" w:firstLine="640"/>
        <w:jc w:val="left"/>
        <w:rPr>
          <w:rFonts w:eastAsia="仿宋_GB2312"/>
          <w:sz w:val="32"/>
          <w:szCs w:val="32"/>
        </w:rPr>
      </w:pPr>
      <w:r>
        <w:rPr>
          <w:rFonts w:eastAsia="仿宋_GB2312"/>
          <w:sz w:val="32"/>
          <w:szCs w:val="32"/>
        </w:rPr>
        <w:t>六、一般公共预算财政拨款基本支出决算情况说明</w:t>
      </w:r>
      <w:r>
        <w:rPr>
          <w:rFonts w:eastAsia="仿宋_GB2312"/>
          <w:sz w:val="32"/>
          <w:szCs w:val="32"/>
        </w:rPr>
        <w:t>.....10</w:t>
      </w:r>
    </w:p>
    <w:p w:rsidR="00577046" w:rsidRDefault="002C6759">
      <w:pPr>
        <w:pStyle w:val="21"/>
        <w:adjustRightInd w:val="0"/>
        <w:snapToGrid w:val="0"/>
        <w:spacing w:line="560" w:lineRule="exact"/>
        <w:ind w:leftChars="0" w:left="0" w:firstLineChars="200" w:firstLine="640"/>
        <w:jc w:val="left"/>
        <w:rPr>
          <w:rFonts w:eastAsia="仿宋_GB2312"/>
          <w:sz w:val="32"/>
          <w:szCs w:val="32"/>
        </w:rPr>
      </w:pPr>
      <w:r>
        <w:rPr>
          <w:rFonts w:eastAsia="仿宋_GB2312"/>
          <w:sz w:val="32"/>
          <w:szCs w:val="32"/>
        </w:rPr>
        <w:t>七、财政拨款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经费支出决算情况说明</w:t>
      </w:r>
      <w:r>
        <w:rPr>
          <w:rFonts w:eastAsia="仿宋_GB2312"/>
          <w:sz w:val="32"/>
          <w:szCs w:val="32"/>
        </w:rPr>
        <w:t>.....</w:t>
      </w:r>
      <w:r>
        <w:rPr>
          <w:rFonts w:eastAsia="仿宋_GB2312" w:hint="eastAsia"/>
          <w:sz w:val="32"/>
          <w:szCs w:val="32"/>
        </w:rPr>
        <w:t>...</w:t>
      </w:r>
      <w:r>
        <w:rPr>
          <w:rFonts w:eastAsia="仿宋_GB2312"/>
          <w:sz w:val="32"/>
          <w:szCs w:val="32"/>
        </w:rPr>
        <w:t>........11</w:t>
      </w:r>
    </w:p>
    <w:p w:rsidR="00577046" w:rsidRDefault="002C6759">
      <w:pPr>
        <w:pStyle w:val="21"/>
        <w:adjustRightInd w:val="0"/>
        <w:snapToGrid w:val="0"/>
        <w:spacing w:line="560" w:lineRule="exact"/>
        <w:ind w:leftChars="0" w:left="0" w:firstLineChars="200" w:firstLine="640"/>
        <w:jc w:val="left"/>
        <w:rPr>
          <w:rFonts w:eastAsia="仿宋_GB2312"/>
          <w:sz w:val="32"/>
          <w:szCs w:val="32"/>
        </w:rPr>
      </w:pPr>
      <w:r>
        <w:rPr>
          <w:rFonts w:eastAsia="仿宋_GB2312"/>
          <w:sz w:val="32"/>
          <w:szCs w:val="32"/>
        </w:rPr>
        <w:t>八、政府性基金预算支出决算情况说明</w:t>
      </w:r>
      <w:r>
        <w:rPr>
          <w:rFonts w:eastAsia="仿宋_GB2312"/>
          <w:sz w:val="32"/>
          <w:szCs w:val="32"/>
        </w:rPr>
        <w:t>.........................13</w:t>
      </w:r>
    </w:p>
    <w:p w:rsidR="00577046" w:rsidRDefault="002C6759">
      <w:pPr>
        <w:pStyle w:val="21"/>
        <w:adjustRightInd w:val="0"/>
        <w:snapToGrid w:val="0"/>
        <w:spacing w:line="560" w:lineRule="exact"/>
        <w:ind w:leftChars="0" w:left="0" w:firstLineChars="200" w:firstLine="640"/>
        <w:jc w:val="left"/>
        <w:rPr>
          <w:rFonts w:eastAsia="仿宋_GB2312"/>
          <w:sz w:val="32"/>
          <w:szCs w:val="32"/>
        </w:rPr>
      </w:pPr>
      <w:r>
        <w:rPr>
          <w:rFonts w:eastAsia="仿宋_GB2312"/>
          <w:sz w:val="32"/>
          <w:szCs w:val="32"/>
        </w:rPr>
        <w:t>九、国有资本经营预算支出决算情况说明</w:t>
      </w:r>
      <w:r>
        <w:rPr>
          <w:rFonts w:eastAsia="仿宋_GB2312"/>
          <w:sz w:val="32"/>
          <w:szCs w:val="32"/>
        </w:rPr>
        <w:t>.....................13</w:t>
      </w:r>
    </w:p>
    <w:p w:rsidR="00577046" w:rsidRDefault="002C6759">
      <w:pPr>
        <w:pStyle w:val="21"/>
        <w:adjustRightInd w:val="0"/>
        <w:snapToGrid w:val="0"/>
        <w:spacing w:line="560" w:lineRule="exact"/>
        <w:ind w:leftChars="0" w:left="0" w:firstLineChars="200" w:firstLine="640"/>
        <w:jc w:val="left"/>
        <w:rPr>
          <w:rFonts w:eastAsia="仿宋_GB2312"/>
          <w:sz w:val="32"/>
          <w:szCs w:val="32"/>
        </w:rPr>
      </w:pPr>
      <w:r>
        <w:rPr>
          <w:rFonts w:eastAsia="仿宋_GB2312"/>
          <w:sz w:val="32"/>
          <w:szCs w:val="32"/>
        </w:rPr>
        <w:t>十、其他重要事项的情况说明</w:t>
      </w:r>
      <w:r>
        <w:rPr>
          <w:rFonts w:eastAsia="仿宋_GB2312"/>
          <w:sz w:val="32"/>
          <w:szCs w:val="32"/>
        </w:rPr>
        <w:t>........................................13</w:t>
      </w:r>
    </w:p>
    <w:p w:rsidR="00577046" w:rsidRDefault="002C6759">
      <w:pPr>
        <w:pStyle w:val="10"/>
        <w:adjustRightInd w:val="0"/>
        <w:snapToGrid w:val="0"/>
        <w:spacing w:before="0" w:line="560" w:lineRule="exact"/>
        <w:jc w:val="left"/>
        <w:rPr>
          <w:rFonts w:ascii="Times New Roman" w:eastAsia="黑体" w:hAnsi="Times New Roman"/>
          <w:sz w:val="32"/>
          <w:szCs w:val="32"/>
        </w:rPr>
      </w:pPr>
      <w:r>
        <w:rPr>
          <w:rFonts w:ascii="Times New Roman" w:eastAsia="黑体" w:hAnsi="Times New Roman"/>
          <w:sz w:val="32"/>
          <w:szCs w:val="32"/>
        </w:rPr>
        <w:t>第三部分</w:t>
      </w:r>
      <w:r>
        <w:rPr>
          <w:rFonts w:ascii="Times New Roman" w:eastAsia="黑体" w:hAnsi="Times New Roman"/>
          <w:sz w:val="32"/>
          <w:szCs w:val="32"/>
        </w:rPr>
        <w:t xml:space="preserve"> </w:t>
      </w:r>
      <w:r>
        <w:rPr>
          <w:rFonts w:ascii="Times New Roman" w:eastAsia="黑体" w:hAnsi="Times New Roman"/>
          <w:sz w:val="32"/>
          <w:szCs w:val="32"/>
        </w:rPr>
        <w:t>名词解释</w:t>
      </w:r>
      <w:r>
        <w:rPr>
          <w:rFonts w:ascii="Times New Roman" w:eastAsia="黑体" w:hAnsi="Times New Roman"/>
          <w:sz w:val="32"/>
          <w:szCs w:val="32"/>
        </w:rPr>
        <w:t>.................................................................15</w:t>
      </w:r>
    </w:p>
    <w:p w:rsidR="00577046" w:rsidRDefault="002C6759">
      <w:pPr>
        <w:pStyle w:val="10"/>
        <w:adjustRightInd w:val="0"/>
        <w:snapToGrid w:val="0"/>
        <w:spacing w:before="0" w:line="560" w:lineRule="exact"/>
        <w:jc w:val="left"/>
        <w:rPr>
          <w:rFonts w:ascii="Times New Roman" w:eastAsia="黑体" w:hAnsi="Times New Roman"/>
          <w:sz w:val="32"/>
          <w:szCs w:val="32"/>
        </w:rPr>
      </w:pPr>
      <w:r>
        <w:rPr>
          <w:rFonts w:ascii="Times New Roman" w:eastAsia="黑体" w:hAnsi="Times New Roman"/>
          <w:sz w:val="32"/>
          <w:szCs w:val="32"/>
        </w:rPr>
        <w:t>第四部分</w:t>
      </w:r>
      <w:r>
        <w:rPr>
          <w:rFonts w:ascii="Times New Roman" w:eastAsia="黑体" w:hAnsi="Times New Roman"/>
          <w:sz w:val="32"/>
          <w:szCs w:val="32"/>
        </w:rPr>
        <w:t xml:space="preserve"> </w:t>
      </w:r>
      <w:r>
        <w:rPr>
          <w:rFonts w:ascii="Times New Roman" w:eastAsia="黑体" w:hAnsi="Times New Roman"/>
          <w:sz w:val="32"/>
          <w:szCs w:val="32"/>
        </w:rPr>
        <w:t>附件</w:t>
      </w:r>
      <w:r>
        <w:rPr>
          <w:rFonts w:ascii="Times New Roman" w:eastAsia="黑体" w:hAnsi="Times New Roman"/>
          <w:sz w:val="32"/>
          <w:szCs w:val="32"/>
        </w:rPr>
        <w:t>.........................................................................19</w:t>
      </w:r>
      <w:r>
        <w:rPr>
          <w:rFonts w:ascii="Times New Roman" w:eastAsia="黑体" w:hAnsi="Times New Roman"/>
          <w:sz w:val="32"/>
          <w:szCs w:val="32"/>
        </w:rPr>
        <w:t>第五部分</w:t>
      </w:r>
      <w:r>
        <w:rPr>
          <w:rFonts w:ascii="Times New Roman" w:eastAsia="黑体" w:hAnsi="Times New Roman"/>
          <w:sz w:val="32"/>
          <w:szCs w:val="32"/>
        </w:rPr>
        <w:t xml:space="preserve"> </w:t>
      </w:r>
      <w:r>
        <w:rPr>
          <w:rFonts w:ascii="Times New Roman" w:eastAsia="黑体" w:hAnsi="Times New Roman"/>
          <w:sz w:val="32"/>
          <w:szCs w:val="32"/>
        </w:rPr>
        <w:t>附表</w:t>
      </w:r>
      <w:r>
        <w:rPr>
          <w:rFonts w:ascii="Times New Roman" w:eastAsia="黑体" w:hAnsi="Times New Roman"/>
          <w:sz w:val="32"/>
          <w:szCs w:val="32"/>
        </w:rPr>
        <w:t>.........................................................................32</w:t>
      </w:r>
    </w:p>
    <w:p w:rsidR="00577046" w:rsidRDefault="002C6759">
      <w:pPr>
        <w:widowControl/>
        <w:spacing w:line="560" w:lineRule="exact"/>
        <w:jc w:val="left"/>
        <w:rPr>
          <w:rFonts w:eastAsia="仿宋_GB2312"/>
          <w:bCs/>
          <w:kern w:val="44"/>
          <w:sz w:val="32"/>
          <w:szCs w:val="32"/>
        </w:rPr>
      </w:pPr>
      <w:bookmarkStart w:id="8" w:name="_Toc15377196"/>
      <w:bookmarkStart w:id="9" w:name="_Toc15396599"/>
      <w:r>
        <w:rPr>
          <w:rFonts w:eastAsia="仿宋_GB2312"/>
          <w:b/>
          <w:sz w:val="32"/>
          <w:szCs w:val="32"/>
        </w:rPr>
        <w:br w:type="page"/>
      </w:r>
    </w:p>
    <w:p w:rsidR="00577046" w:rsidRDefault="002C6759">
      <w:pPr>
        <w:pStyle w:val="1"/>
        <w:jc w:val="center"/>
        <w:rPr>
          <w:rStyle w:val="1Char"/>
          <w:rFonts w:eastAsia="方正小标宋简体"/>
        </w:rPr>
      </w:pPr>
      <w:r>
        <w:rPr>
          <w:rFonts w:eastAsia="方正小标宋简体"/>
          <w:b w:val="0"/>
        </w:rPr>
        <w:lastRenderedPageBreak/>
        <w:t>第一部分</w:t>
      </w:r>
      <w:r>
        <w:rPr>
          <w:rFonts w:eastAsia="方正小标宋简体"/>
          <w:b w:val="0"/>
        </w:rPr>
        <w:t xml:space="preserve">  </w:t>
      </w:r>
      <w:r>
        <w:rPr>
          <w:rStyle w:val="1Char"/>
          <w:rFonts w:eastAsia="方正小标宋简体"/>
        </w:rPr>
        <w:t>单位概况</w:t>
      </w:r>
      <w:bookmarkEnd w:id="8"/>
      <w:bookmarkEnd w:id="9"/>
    </w:p>
    <w:p w:rsidR="00577046" w:rsidRDefault="00577046"/>
    <w:p w:rsidR="00577046" w:rsidRDefault="002C6759">
      <w:pPr>
        <w:pStyle w:val="2"/>
        <w:ind w:firstLineChars="200" w:firstLine="640"/>
        <w:rPr>
          <w:rFonts w:ascii="Times New Roman" w:eastAsia="黑体" w:hAnsi="Times New Roman" w:cs="Times New Roman"/>
          <w:b w:val="0"/>
        </w:rPr>
      </w:pPr>
      <w:r>
        <w:rPr>
          <w:rFonts w:ascii="Times New Roman" w:eastAsia="黑体" w:hAnsi="Times New Roman" w:cs="Times New Roman"/>
          <w:b w:val="0"/>
        </w:rPr>
        <w:t>一、单位职责</w:t>
      </w:r>
    </w:p>
    <w:p w:rsidR="00577046" w:rsidRDefault="002C6759">
      <w:pPr>
        <w:ind w:firstLineChars="250" w:firstLine="800"/>
        <w:rPr>
          <w:rFonts w:eastAsia="仿宋_GB2312"/>
          <w:sz w:val="32"/>
          <w:szCs w:val="32"/>
        </w:rPr>
      </w:pPr>
      <w:r>
        <w:rPr>
          <w:rFonts w:eastAsia="仿宋_GB2312"/>
          <w:sz w:val="32"/>
          <w:szCs w:val="32"/>
        </w:rPr>
        <w:t>1</w:t>
      </w:r>
      <w:r>
        <w:rPr>
          <w:rFonts w:eastAsia="仿宋_GB2312"/>
          <w:sz w:val="32"/>
          <w:szCs w:val="32"/>
        </w:rPr>
        <w:t>、贯彻落实国家、省、市基本医疗保险、生育保险政策、法律和法规，并按照市医疗保障管理局的安排组织实施，参与拟订相关实施办法；</w:t>
      </w:r>
    </w:p>
    <w:p w:rsidR="00577046" w:rsidRDefault="002C6759">
      <w:pPr>
        <w:ind w:firstLineChars="250" w:firstLine="800"/>
        <w:rPr>
          <w:rFonts w:eastAsia="仿宋_GB2312"/>
          <w:sz w:val="32"/>
          <w:szCs w:val="32"/>
        </w:rPr>
      </w:pPr>
      <w:r>
        <w:rPr>
          <w:rFonts w:eastAsia="仿宋_GB2312"/>
          <w:sz w:val="32"/>
          <w:szCs w:val="32"/>
        </w:rPr>
        <w:t>2</w:t>
      </w:r>
      <w:r>
        <w:rPr>
          <w:rFonts w:eastAsia="仿宋_GB2312"/>
          <w:sz w:val="32"/>
          <w:szCs w:val="32"/>
        </w:rPr>
        <w:t>、负责城镇职工基本医疗保险、城乡居民基本医疗保险参保缴费、医疗待遇审核及支付工作；</w:t>
      </w:r>
    </w:p>
    <w:p w:rsidR="00577046" w:rsidRDefault="002C6759">
      <w:pPr>
        <w:ind w:firstLineChars="250" w:firstLine="800"/>
        <w:rPr>
          <w:rFonts w:eastAsia="仿宋_GB2312"/>
          <w:sz w:val="32"/>
          <w:szCs w:val="32"/>
        </w:rPr>
      </w:pPr>
      <w:r>
        <w:rPr>
          <w:rFonts w:eastAsia="仿宋_GB2312"/>
          <w:sz w:val="32"/>
          <w:szCs w:val="32"/>
        </w:rPr>
        <w:t>3</w:t>
      </w:r>
      <w:r>
        <w:rPr>
          <w:rFonts w:eastAsia="仿宋_GB2312"/>
          <w:sz w:val="32"/>
          <w:szCs w:val="32"/>
        </w:rPr>
        <w:t>、负责全市基本医疗保险、生育保险有关经办管理工作，对各县（区）、基层劳动保障所（站）及社区医疗服务机构开展基本医疗、生育保险经办业务进行指导和考核；</w:t>
      </w:r>
    </w:p>
    <w:p w:rsidR="00577046" w:rsidRDefault="002C6759">
      <w:pPr>
        <w:ind w:firstLineChars="250" w:firstLine="800"/>
        <w:rPr>
          <w:rFonts w:eastAsia="仿宋_GB2312"/>
          <w:sz w:val="32"/>
          <w:szCs w:val="32"/>
        </w:rPr>
      </w:pPr>
      <w:r>
        <w:rPr>
          <w:rFonts w:eastAsia="仿宋_GB2312"/>
          <w:sz w:val="32"/>
          <w:szCs w:val="32"/>
        </w:rPr>
        <w:t>4</w:t>
      </w:r>
      <w:r>
        <w:rPr>
          <w:rFonts w:eastAsia="仿宋_GB2312"/>
          <w:sz w:val="32"/>
          <w:szCs w:val="32"/>
        </w:rPr>
        <w:t>、负责对全市医疗、生育和城乡居民医疗保险支付情况的稽核，对定点医药机构进行监督管理和考核；</w:t>
      </w:r>
    </w:p>
    <w:p w:rsidR="00577046" w:rsidRDefault="002C6759">
      <w:pPr>
        <w:ind w:firstLineChars="250" w:firstLine="800"/>
        <w:rPr>
          <w:rFonts w:eastAsia="仿宋_GB2312"/>
          <w:sz w:val="32"/>
          <w:szCs w:val="32"/>
        </w:rPr>
      </w:pPr>
      <w:r>
        <w:rPr>
          <w:rFonts w:eastAsia="仿宋_GB2312"/>
          <w:sz w:val="32"/>
          <w:szCs w:val="32"/>
        </w:rPr>
        <w:t>5</w:t>
      </w:r>
      <w:r>
        <w:rPr>
          <w:rFonts w:eastAsia="仿宋_GB2312"/>
          <w:sz w:val="32"/>
          <w:szCs w:val="32"/>
        </w:rPr>
        <w:t>、按照两定协议对基本医疗保险、生育保险定点医疗机构，定点零售药店执行保险政策规定和为参保病员提供医疗服务的情况进行监督管理；</w:t>
      </w:r>
    </w:p>
    <w:p w:rsidR="00577046" w:rsidRDefault="002C6759">
      <w:pPr>
        <w:ind w:firstLineChars="250" w:firstLine="800"/>
        <w:rPr>
          <w:rFonts w:eastAsia="仿宋_GB2312"/>
          <w:sz w:val="32"/>
          <w:szCs w:val="32"/>
        </w:rPr>
      </w:pPr>
      <w:r>
        <w:rPr>
          <w:rFonts w:eastAsia="仿宋_GB2312"/>
          <w:sz w:val="32"/>
          <w:szCs w:val="32"/>
        </w:rPr>
        <w:t>6</w:t>
      </w:r>
      <w:r>
        <w:rPr>
          <w:rFonts w:eastAsia="仿宋_GB2312"/>
          <w:sz w:val="32"/>
          <w:szCs w:val="32"/>
        </w:rPr>
        <w:t>、负责本地参保人员在全省范围内异地就医和刷卡购药即时结算；负责全省异地就医人员在本地区定点医疗机构和定点零售药店发生的医疗费用审核结算和监管工作，考核当地定点医疗机构和定点零售药店的异地就医服务质量；</w:t>
      </w:r>
    </w:p>
    <w:p w:rsidR="00577046" w:rsidRDefault="002C6759">
      <w:pPr>
        <w:ind w:firstLineChars="250" w:firstLine="800"/>
        <w:rPr>
          <w:rFonts w:eastAsia="仿宋_GB2312"/>
          <w:sz w:val="32"/>
          <w:szCs w:val="32"/>
        </w:rPr>
      </w:pPr>
      <w:r>
        <w:rPr>
          <w:rFonts w:eastAsia="仿宋_GB2312"/>
          <w:sz w:val="32"/>
          <w:szCs w:val="32"/>
        </w:rPr>
        <w:t>7</w:t>
      </w:r>
      <w:r>
        <w:rPr>
          <w:rFonts w:eastAsia="仿宋_GB2312"/>
          <w:sz w:val="32"/>
          <w:szCs w:val="32"/>
        </w:rPr>
        <w:t>、负责组织实施全市药品、医用耗材集中采购工作</w:t>
      </w:r>
      <w:r>
        <w:rPr>
          <w:rFonts w:eastAsia="仿宋_GB2312"/>
          <w:sz w:val="32"/>
          <w:szCs w:val="32"/>
        </w:rPr>
        <w:t xml:space="preserve">; </w:t>
      </w:r>
    </w:p>
    <w:p w:rsidR="00577046" w:rsidRDefault="002C6759">
      <w:pPr>
        <w:ind w:firstLineChars="250" w:firstLine="800"/>
        <w:rPr>
          <w:rFonts w:eastAsia="仿宋_GB2312"/>
          <w:sz w:val="32"/>
          <w:szCs w:val="32"/>
        </w:rPr>
      </w:pPr>
      <w:r>
        <w:rPr>
          <w:rFonts w:eastAsia="仿宋_GB2312"/>
          <w:sz w:val="32"/>
          <w:szCs w:val="32"/>
        </w:rPr>
        <w:lastRenderedPageBreak/>
        <w:t>8</w:t>
      </w:r>
      <w:r>
        <w:rPr>
          <w:rFonts w:eastAsia="仿宋_GB2312"/>
          <w:sz w:val="32"/>
          <w:szCs w:val="32"/>
        </w:rPr>
        <w:t>、配合相关单位对城镇职工医疗保险、生育保险、城乡居民</w:t>
      </w:r>
      <w:proofErr w:type="gramStart"/>
      <w:r>
        <w:rPr>
          <w:rFonts w:eastAsia="仿宋_GB2312"/>
          <w:sz w:val="32"/>
          <w:szCs w:val="32"/>
        </w:rPr>
        <w:t>医</w:t>
      </w:r>
      <w:proofErr w:type="gramEnd"/>
      <w:r>
        <w:rPr>
          <w:rFonts w:eastAsia="仿宋_GB2312"/>
          <w:sz w:val="32"/>
          <w:szCs w:val="32"/>
        </w:rPr>
        <w:t>保信息系统的建设、运行、升级维护和安全管理等协调工作；</w:t>
      </w:r>
    </w:p>
    <w:p w:rsidR="00577046" w:rsidRDefault="002C6759">
      <w:pPr>
        <w:ind w:firstLineChars="250" w:firstLine="800"/>
        <w:rPr>
          <w:rFonts w:eastAsia="仿宋_GB2312"/>
          <w:sz w:val="32"/>
          <w:szCs w:val="32"/>
        </w:rPr>
      </w:pPr>
      <w:r>
        <w:rPr>
          <w:rFonts w:eastAsia="仿宋_GB2312"/>
          <w:sz w:val="32"/>
          <w:szCs w:val="32"/>
        </w:rPr>
        <w:t>9</w:t>
      </w:r>
      <w:r>
        <w:rPr>
          <w:rFonts w:eastAsia="仿宋_GB2312"/>
          <w:sz w:val="32"/>
          <w:szCs w:val="32"/>
        </w:rPr>
        <w:t>、指导县（区）、参保单</w:t>
      </w:r>
      <w:proofErr w:type="gramStart"/>
      <w:r>
        <w:rPr>
          <w:rFonts w:eastAsia="仿宋_GB2312"/>
          <w:sz w:val="32"/>
          <w:szCs w:val="32"/>
        </w:rPr>
        <w:t>位做好</w:t>
      </w:r>
      <w:proofErr w:type="gramEnd"/>
      <w:r>
        <w:rPr>
          <w:rFonts w:eastAsia="仿宋_GB2312"/>
          <w:sz w:val="32"/>
          <w:szCs w:val="32"/>
        </w:rPr>
        <w:t>基本医疗保险和大病医疗保险经办管理工作；</w:t>
      </w:r>
    </w:p>
    <w:p w:rsidR="00577046" w:rsidRDefault="002C6759">
      <w:pPr>
        <w:ind w:firstLineChars="250" w:firstLine="800"/>
      </w:pPr>
      <w:r>
        <w:rPr>
          <w:rFonts w:eastAsia="仿宋_GB2312"/>
          <w:sz w:val="32"/>
          <w:szCs w:val="32"/>
        </w:rPr>
        <w:t>10</w:t>
      </w:r>
      <w:r>
        <w:rPr>
          <w:rFonts w:eastAsia="仿宋_GB2312"/>
          <w:sz w:val="32"/>
          <w:szCs w:val="32"/>
        </w:rPr>
        <w:t>、开展调查研究，为市政府及其相关职能部门制定和完善基本医疗保险政策提出建议意见。</w:t>
      </w:r>
    </w:p>
    <w:p w:rsidR="00577046" w:rsidRDefault="002C6759">
      <w:pPr>
        <w:pStyle w:val="2"/>
        <w:ind w:firstLineChars="200" w:firstLine="640"/>
        <w:rPr>
          <w:rStyle w:val="2Char"/>
          <w:rFonts w:ascii="Times New Roman" w:hAnsi="Times New Roman" w:cs="Times New Roman"/>
        </w:rPr>
      </w:pPr>
      <w:bookmarkStart w:id="10" w:name="_Toc15396601"/>
      <w:bookmarkStart w:id="11" w:name="_Toc15377200"/>
      <w:r>
        <w:rPr>
          <w:rFonts w:ascii="Times New Roman" w:eastAsia="黑体" w:hAnsi="Times New Roman" w:cs="Times New Roman"/>
          <w:b w:val="0"/>
        </w:rPr>
        <w:t>二、机</w:t>
      </w:r>
      <w:r>
        <w:rPr>
          <w:rStyle w:val="2Char"/>
          <w:rFonts w:ascii="Times New Roman" w:eastAsia="黑体" w:hAnsi="Times New Roman" w:cs="Times New Roman"/>
        </w:rPr>
        <w:t>构设置</w:t>
      </w:r>
      <w:bookmarkEnd w:id="10"/>
      <w:bookmarkEnd w:id="11"/>
    </w:p>
    <w:p w:rsidR="00577046" w:rsidRDefault="002C6759">
      <w:pPr>
        <w:pStyle w:val="a3"/>
        <w:adjustRightInd w:val="0"/>
        <w:snapToGrid w:val="0"/>
        <w:spacing w:before="93" w:line="600" w:lineRule="exact"/>
        <w:ind w:firstLineChars="200" w:firstLine="640"/>
        <w:outlineLvl w:val="2"/>
        <w:rPr>
          <w:rFonts w:ascii="Times New Roman"/>
          <w:kern w:val="2"/>
          <w:sz w:val="32"/>
          <w:szCs w:val="32"/>
        </w:rPr>
      </w:pPr>
      <w:r>
        <w:rPr>
          <w:rFonts w:ascii="Times New Roman"/>
          <w:kern w:val="2"/>
          <w:sz w:val="32"/>
          <w:szCs w:val="32"/>
        </w:rPr>
        <w:t>四川省攀枝花市医疗保障事务中心属参照公务员法管理的事业单位，无下属二级单位。</w:t>
      </w:r>
    </w:p>
    <w:p w:rsidR="00577046" w:rsidRDefault="002C6759">
      <w:pPr>
        <w:widowControl/>
        <w:jc w:val="left"/>
        <w:rPr>
          <w:rFonts w:eastAsia="仿宋_GB2312"/>
          <w:sz w:val="32"/>
          <w:szCs w:val="32"/>
        </w:rPr>
      </w:pPr>
      <w:r>
        <w:rPr>
          <w:rFonts w:eastAsia="仿宋_GB2312"/>
          <w:sz w:val="32"/>
          <w:szCs w:val="32"/>
        </w:rPr>
        <w:br w:type="page"/>
      </w:r>
    </w:p>
    <w:p w:rsidR="00577046" w:rsidRDefault="002C6759">
      <w:pPr>
        <w:pStyle w:val="1"/>
        <w:jc w:val="center"/>
        <w:rPr>
          <w:rFonts w:eastAsia="方正小标宋简体"/>
          <w:b w:val="0"/>
        </w:rPr>
      </w:pPr>
      <w:bookmarkStart w:id="12" w:name="_Toc15377204"/>
      <w:bookmarkStart w:id="13" w:name="_Toc15396602"/>
      <w:r>
        <w:rPr>
          <w:rFonts w:eastAsia="方正小标宋简体"/>
          <w:b w:val="0"/>
        </w:rPr>
        <w:t>第二部分</w:t>
      </w:r>
      <w:r>
        <w:rPr>
          <w:rFonts w:eastAsia="方正小标宋简体"/>
          <w:b w:val="0"/>
        </w:rPr>
        <w:t xml:space="preserve">  2024</w:t>
      </w:r>
      <w:r>
        <w:rPr>
          <w:rFonts w:eastAsia="方正小标宋简体"/>
          <w:b w:val="0"/>
        </w:rPr>
        <w:t>年度单位决算情况说明</w:t>
      </w:r>
      <w:bookmarkEnd w:id="12"/>
      <w:bookmarkEnd w:id="13"/>
    </w:p>
    <w:p w:rsidR="00577046" w:rsidRDefault="002C6759">
      <w:pPr>
        <w:pStyle w:val="ac"/>
        <w:spacing w:line="600" w:lineRule="exact"/>
        <w:ind w:firstLine="640"/>
        <w:outlineLvl w:val="1"/>
        <w:rPr>
          <w:rStyle w:val="2Char"/>
          <w:rFonts w:ascii="Times New Roman" w:eastAsia="黑体" w:hAnsi="Times New Roman" w:cs="Times New Roman"/>
          <w:b w:val="0"/>
        </w:rPr>
      </w:pPr>
      <w:bookmarkStart w:id="14" w:name="_Toc15377205"/>
      <w:bookmarkStart w:id="15" w:name="_Toc15396603"/>
      <w:r>
        <w:rPr>
          <w:rFonts w:eastAsia="黑体"/>
          <w:sz w:val="32"/>
          <w:szCs w:val="32"/>
        </w:rPr>
        <w:t>一、收</w:t>
      </w:r>
      <w:r>
        <w:rPr>
          <w:rStyle w:val="2Char"/>
          <w:rFonts w:ascii="Times New Roman" w:eastAsia="黑体" w:hAnsi="Times New Roman" w:cs="Times New Roman"/>
          <w:b w:val="0"/>
        </w:rPr>
        <w:t>入支出决算总体情况说明</w:t>
      </w:r>
      <w:bookmarkEnd w:id="14"/>
      <w:bookmarkEnd w:id="15"/>
    </w:p>
    <w:p w:rsidR="00577046" w:rsidRDefault="002C6759">
      <w:pPr>
        <w:pStyle w:val="ac"/>
        <w:spacing w:line="600" w:lineRule="exact"/>
        <w:ind w:firstLine="640"/>
        <w:outlineLvl w:val="1"/>
        <w:rPr>
          <w:rFonts w:eastAsia="仿宋_GB2312"/>
          <w:sz w:val="32"/>
          <w:szCs w:val="32"/>
        </w:rPr>
      </w:pPr>
      <w:r>
        <w:rPr>
          <w:rFonts w:eastAsia="仿宋_GB2312"/>
          <w:sz w:val="32"/>
          <w:szCs w:val="32"/>
        </w:rPr>
        <w:t>2024</w:t>
      </w:r>
      <w:r>
        <w:rPr>
          <w:rFonts w:eastAsia="仿宋_GB2312"/>
          <w:sz w:val="32"/>
          <w:szCs w:val="32"/>
        </w:rPr>
        <w:t>年度收入、支出总计均为</w:t>
      </w:r>
      <w:r>
        <w:rPr>
          <w:rFonts w:eastAsia="仿宋_GB2312"/>
          <w:sz w:val="32"/>
          <w:szCs w:val="32"/>
        </w:rPr>
        <w:t>1268.31</w:t>
      </w:r>
      <w:r>
        <w:rPr>
          <w:rFonts w:eastAsia="仿宋_GB2312"/>
          <w:sz w:val="32"/>
          <w:szCs w:val="32"/>
        </w:rPr>
        <w:t>万元。与</w:t>
      </w:r>
      <w:r>
        <w:rPr>
          <w:rFonts w:eastAsia="仿宋_GB2312"/>
          <w:sz w:val="32"/>
          <w:szCs w:val="32"/>
        </w:rPr>
        <w:t>2023</w:t>
      </w:r>
      <w:r>
        <w:rPr>
          <w:rFonts w:eastAsia="仿宋_GB2312"/>
          <w:sz w:val="32"/>
          <w:szCs w:val="32"/>
        </w:rPr>
        <w:t>年度相比，收入、支出总计均减少</w:t>
      </w:r>
      <w:r>
        <w:rPr>
          <w:rFonts w:eastAsia="仿宋_GB2312"/>
          <w:sz w:val="32"/>
          <w:szCs w:val="32"/>
        </w:rPr>
        <w:t>133.01</w:t>
      </w:r>
      <w:r>
        <w:rPr>
          <w:rFonts w:eastAsia="仿宋_GB2312"/>
          <w:sz w:val="32"/>
          <w:szCs w:val="32"/>
        </w:rPr>
        <w:t>万元，下降</w:t>
      </w:r>
      <w:r>
        <w:rPr>
          <w:rFonts w:eastAsia="仿宋_GB2312"/>
          <w:sz w:val="32"/>
          <w:szCs w:val="32"/>
        </w:rPr>
        <w:t>9.5%</w:t>
      </w:r>
      <w:r>
        <w:rPr>
          <w:rFonts w:eastAsia="仿宋_GB2312"/>
          <w:sz w:val="32"/>
          <w:szCs w:val="32"/>
        </w:rPr>
        <w:t>。主要变动原因是严格落实中央政府</w:t>
      </w:r>
      <w:r>
        <w:rPr>
          <w:rFonts w:eastAsia="仿宋_GB2312"/>
          <w:sz w:val="32"/>
          <w:szCs w:val="32"/>
        </w:rPr>
        <w:t>“</w:t>
      </w:r>
      <w:r>
        <w:rPr>
          <w:rFonts w:eastAsia="仿宋_GB2312"/>
          <w:sz w:val="32"/>
          <w:szCs w:val="32"/>
        </w:rPr>
        <w:t>过紧日子</w:t>
      </w:r>
      <w:r>
        <w:rPr>
          <w:rFonts w:eastAsia="仿宋_GB2312"/>
          <w:sz w:val="32"/>
          <w:szCs w:val="32"/>
        </w:rPr>
        <w:t>”</w:t>
      </w:r>
      <w:r>
        <w:rPr>
          <w:rFonts w:eastAsia="仿宋_GB2312"/>
          <w:sz w:val="32"/>
          <w:szCs w:val="32"/>
        </w:rPr>
        <w:t>的要求，优化支出结构，降低行政运行成本。</w:t>
      </w:r>
    </w:p>
    <w:p w:rsidR="00577046" w:rsidRDefault="002C6759">
      <w:pPr>
        <w:ind w:firstLineChars="200" w:firstLine="640"/>
        <w:rPr>
          <w:rFonts w:eastAsia="仿宋_GB2312"/>
          <w:sz w:val="32"/>
          <w:szCs w:val="32"/>
        </w:rPr>
      </w:pPr>
      <w:r>
        <w:rPr>
          <w:rFonts w:eastAsia="仿宋_GB2312"/>
          <w:noProof/>
          <w:sz w:val="32"/>
          <w:szCs w:val="32"/>
        </w:rPr>
        <w:drawing>
          <wp:inline distT="0" distB="0" distL="114300" distR="114300">
            <wp:extent cx="5256530" cy="2426970"/>
            <wp:effectExtent l="4445" t="4445" r="15875" b="83185"/>
            <wp:docPr id="1" name="图表 1" descr="7b0a202020202263686172745265734964223a2022323034373230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7046" w:rsidRDefault="002C6759">
      <w:pPr>
        <w:ind w:firstLineChars="200" w:firstLine="640"/>
        <w:rPr>
          <w:rFonts w:eastAsia="仿宋_GB2312"/>
          <w:sz w:val="32"/>
          <w:szCs w:val="32"/>
        </w:rPr>
      </w:pPr>
      <w:r>
        <w:rPr>
          <w:rFonts w:eastAsia="仿宋_GB2312"/>
          <w:sz w:val="32"/>
          <w:szCs w:val="32"/>
        </w:rPr>
        <w:t>（图</w:t>
      </w:r>
      <w:r>
        <w:rPr>
          <w:rFonts w:eastAsia="仿宋_GB2312"/>
          <w:sz w:val="32"/>
          <w:szCs w:val="32"/>
        </w:rPr>
        <w:t>1</w:t>
      </w:r>
      <w:r>
        <w:rPr>
          <w:rFonts w:eastAsia="仿宋_GB2312"/>
          <w:sz w:val="32"/>
          <w:szCs w:val="32"/>
        </w:rPr>
        <w:t>：收入、支出决算总计变动情况图）（柱状图）</w:t>
      </w:r>
    </w:p>
    <w:p w:rsidR="00577046" w:rsidRDefault="002C6759">
      <w:pPr>
        <w:pStyle w:val="ac"/>
        <w:spacing w:line="600" w:lineRule="exact"/>
        <w:ind w:firstLine="640"/>
        <w:outlineLvl w:val="1"/>
        <w:rPr>
          <w:rFonts w:eastAsia="黑体"/>
          <w:sz w:val="32"/>
          <w:szCs w:val="32"/>
        </w:rPr>
      </w:pPr>
      <w:bookmarkStart w:id="16" w:name="_Toc15396604"/>
      <w:bookmarkStart w:id="17" w:name="_Toc15377206"/>
      <w:r>
        <w:rPr>
          <w:rFonts w:eastAsia="黑体"/>
          <w:sz w:val="32"/>
          <w:szCs w:val="32"/>
        </w:rPr>
        <w:t>二、收入决算情况说明</w:t>
      </w:r>
      <w:bookmarkEnd w:id="16"/>
      <w:bookmarkEnd w:id="17"/>
    </w:p>
    <w:p w:rsidR="00577046" w:rsidRDefault="002C6759">
      <w:pPr>
        <w:pStyle w:val="ac"/>
        <w:spacing w:line="600" w:lineRule="exact"/>
        <w:ind w:firstLine="640"/>
        <w:jc w:val="left"/>
        <w:outlineLvl w:val="1"/>
        <w:rPr>
          <w:rFonts w:eastAsia="仿宋_GB2312"/>
          <w:sz w:val="32"/>
          <w:szCs w:val="32"/>
        </w:rPr>
      </w:pPr>
      <w:r>
        <w:rPr>
          <w:rFonts w:eastAsia="仿宋_GB2312"/>
          <w:sz w:val="32"/>
          <w:szCs w:val="32"/>
        </w:rPr>
        <w:t>2024</w:t>
      </w:r>
      <w:r>
        <w:rPr>
          <w:rFonts w:eastAsia="仿宋_GB2312"/>
          <w:sz w:val="32"/>
          <w:szCs w:val="32"/>
        </w:rPr>
        <w:t>年度本年收入合计</w:t>
      </w:r>
      <w:r>
        <w:rPr>
          <w:rFonts w:eastAsia="仿宋_GB2312"/>
          <w:sz w:val="32"/>
          <w:szCs w:val="32"/>
        </w:rPr>
        <w:t>1268.31</w:t>
      </w:r>
      <w:r>
        <w:rPr>
          <w:rFonts w:eastAsia="仿宋_GB2312"/>
          <w:sz w:val="32"/>
          <w:szCs w:val="32"/>
        </w:rPr>
        <w:t>万元，其中：一般公共预算财政拨款收入</w:t>
      </w:r>
      <w:r>
        <w:rPr>
          <w:rFonts w:eastAsia="仿宋_GB2312"/>
          <w:sz w:val="32"/>
          <w:szCs w:val="32"/>
        </w:rPr>
        <w:t>1268.31</w:t>
      </w:r>
      <w:r>
        <w:rPr>
          <w:rFonts w:eastAsia="仿宋_GB2312"/>
          <w:sz w:val="32"/>
          <w:szCs w:val="32"/>
        </w:rPr>
        <w:t>万元，占</w:t>
      </w:r>
      <w:r>
        <w:rPr>
          <w:rFonts w:eastAsia="仿宋_GB2312"/>
          <w:sz w:val="32"/>
          <w:szCs w:val="32"/>
        </w:rPr>
        <w:t>100%</w:t>
      </w:r>
      <w:r>
        <w:rPr>
          <w:rFonts w:eastAsia="仿宋_GB2312"/>
          <w:sz w:val="32"/>
          <w:szCs w:val="32"/>
        </w:rPr>
        <w:t>；政府性基金预算财政拨款收入</w:t>
      </w:r>
      <w:r>
        <w:rPr>
          <w:rFonts w:eastAsia="仿宋_GB2312"/>
          <w:sz w:val="32"/>
          <w:szCs w:val="32"/>
        </w:rPr>
        <w:t>0</w:t>
      </w:r>
      <w:r>
        <w:rPr>
          <w:rFonts w:eastAsia="仿宋_GB2312"/>
          <w:sz w:val="32"/>
          <w:szCs w:val="32"/>
        </w:rPr>
        <w:t>万元，占</w:t>
      </w:r>
      <w:r>
        <w:rPr>
          <w:rFonts w:eastAsia="仿宋_GB2312"/>
          <w:sz w:val="32"/>
          <w:szCs w:val="32"/>
        </w:rPr>
        <w:t>0%</w:t>
      </w:r>
      <w:r>
        <w:rPr>
          <w:rFonts w:eastAsia="仿宋_GB2312"/>
          <w:sz w:val="32"/>
          <w:szCs w:val="32"/>
        </w:rPr>
        <w:t>；国有资本经营预算财政拨款收入</w:t>
      </w:r>
      <w:r>
        <w:rPr>
          <w:rFonts w:eastAsia="仿宋_GB2312"/>
          <w:sz w:val="32"/>
          <w:szCs w:val="32"/>
        </w:rPr>
        <w:t>0</w:t>
      </w:r>
      <w:r>
        <w:rPr>
          <w:rFonts w:eastAsia="仿宋_GB2312"/>
          <w:sz w:val="32"/>
          <w:szCs w:val="32"/>
        </w:rPr>
        <w:t>万元，占</w:t>
      </w:r>
      <w:r>
        <w:rPr>
          <w:rFonts w:eastAsia="仿宋_GB2312"/>
          <w:sz w:val="32"/>
          <w:szCs w:val="32"/>
        </w:rPr>
        <w:t>0%</w:t>
      </w:r>
      <w:r>
        <w:rPr>
          <w:rFonts w:eastAsia="仿宋_GB2312"/>
          <w:sz w:val="32"/>
          <w:szCs w:val="32"/>
        </w:rPr>
        <w:t>；上级补助收入</w:t>
      </w:r>
      <w:r>
        <w:rPr>
          <w:rFonts w:eastAsia="仿宋_GB2312"/>
          <w:sz w:val="32"/>
          <w:szCs w:val="32"/>
        </w:rPr>
        <w:t>0</w:t>
      </w:r>
      <w:r>
        <w:rPr>
          <w:rFonts w:eastAsia="仿宋_GB2312"/>
          <w:sz w:val="32"/>
          <w:szCs w:val="32"/>
        </w:rPr>
        <w:t>万元，占</w:t>
      </w:r>
      <w:r>
        <w:rPr>
          <w:rFonts w:eastAsia="仿宋_GB2312"/>
          <w:sz w:val="32"/>
          <w:szCs w:val="32"/>
        </w:rPr>
        <w:t>0%</w:t>
      </w:r>
      <w:r>
        <w:rPr>
          <w:rFonts w:eastAsia="仿宋_GB2312"/>
          <w:sz w:val="32"/>
          <w:szCs w:val="32"/>
        </w:rPr>
        <w:t>；事业收入</w:t>
      </w:r>
      <w:r>
        <w:rPr>
          <w:rFonts w:eastAsia="仿宋_GB2312"/>
          <w:sz w:val="32"/>
          <w:szCs w:val="32"/>
        </w:rPr>
        <w:t>0</w:t>
      </w:r>
      <w:r>
        <w:rPr>
          <w:rFonts w:eastAsia="仿宋_GB2312"/>
          <w:sz w:val="32"/>
          <w:szCs w:val="32"/>
        </w:rPr>
        <w:t>万元，占</w:t>
      </w:r>
      <w:r>
        <w:rPr>
          <w:rFonts w:eastAsia="仿宋_GB2312"/>
          <w:sz w:val="32"/>
          <w:szCs w:val="32"/>
        </w:rPr>
        <w:t>0%</w:t>
      </w:r>
      <w:r>
        <w:rPr>
          <w:rFonts w:eastAsia="仿宋_GB2312"/>
          <w:sz w:val="32"/>
          <w:szCs w:val="32"/>
        </w:rPr>
        <w:t>；经营收入</w:t>
      </w:r>
      <w:r>
        <w:rPr>
          <w:rFonts w:eastAsia="仿宋_GB2312"/>
          <w:sz w:val="32"/>
          <w:szCs w:val="32"/>
        </w:rPr>
        <w:t>0</w:t>
      </w:r>
      <w:r>
        <w:rPr>
          <w:rFonts w:eastAsia="仿宋_GB2312"/>
          <w:sz w:val="32"/>
          <w:szCs w:val="32"/>
        </w:rPr>
        <w:t>万元，占</w:t>
      </w:r>
      <w:r>
        <w:rPr>
          <w:rFonts w:eastAsia="仿宋_GB2312"/>
          <w:sz w:val="32"/>
          <w:szCs w:val="32"/>
        </w:rPr>
        <w:t>0%</w:t>
      </w:r>
      <w:r>
        <w:rPr>
          <w:rFonts w:eastAsia="仿宋_GB2312"/>
          <w:sz w:val="32"/>
          <w:szCs w:val="32"/>
        </w:rPr>
        <w:t>；附属单位上缴收入</w:t>
      </w:r>
      <w:r>
        <w:rPr>
          <w:rFonts w:eastAsia="仿宋_GB2312"/>
          <w:sz w:val="32"/>
          <w:szCs w:val="32"/>
        </w:rPr>
        <w:t>0</w:t>
      </w:r>
      <w:r>
        <w:rPr>
          <w:rFonts w:eastAsia="仿宋_GB2312"/>
          <w:sz w:val="32"/>
          <w:szCs w:val="32"/>
        </w:rPr>
        <w:t>万元，占</w:t>
      </w:r>
      <w:r>
        <w:rPr>
          <w:rFonts w:eastAsia="仿宋_GB2312"/>
          <w:sz w:val="32"/>
          <w:szCs w:val="32"/>
        </w:rPr>
        <w:t>0%</w:t>
      </w:r>
      <w:r>
        <w:rPr>
          <w:rFonts w:eastAsia="仿宋_GB2312"/>
          <w:sz w:val="32"/>
          <w:szCs w:val="32"/>
        </w:rPr>
        <w:t>；其他收入</w:t>
      </w:r>
      <w:r>
        <w:rPr>
          <w:rFonts w:eastAsia="仿宋_GB2312"/>
          <w:sz w:val="32"/>
          <w:szCs w:val="32"/>
        </w:rPr>
        <w:t>0</w:t>
      </w:r>
      <w:r>
        <w:rPr>
          <w:rFonts w:eastAsia="仿宋_GB2312"/>
          <w:sz w:val="32"/>
          <w:szCs w:val="32"/>
        </w:rPr>
        <w:t>万元，占</w:t>
      </w:r>
      <w:r>
        <w:rPr>
          <w:rFonts w:eastAsia="仿宋_GB2312"/>
          <w:sz w:val="32"/>
          <w:szCs w:val="32"/>
        </w:rPr>
        <w:t>0%</w:t>
      </w:r>
    </w:p>
    <w:p w:rsidR="00577046" w:rsidRDefault="002C6759">
      <w:pPr>
        <w:ind w:firstLineChars="250" w:firstLine="800"/>
        <w:rPr>
          <w:rFonts w:eastAsia="仿宋_GB2312"/>
          <w:sz w:val="32"/>
          <w:szCs w:val="32"/>
        </w:rPr>
      </w:pPr>
      <w:r>
        <w:rPr>
          <w:rFonts w:eastAsia="仿宋_GB2312"/>
          <w:noProof/>
          <w:sz w:val="32"/>
          <w:szCs w:val="32"/>
        </w:rPr>
        <w:drawing>
          <wp:inline distT="0" distB="0" distL="114300" distR="114300">
            <wp:extent cx="5256530" cy="2893695"/>
            <wp:effectExtent l="4445" t="4445" r="15875" b="16510"/>
            <wp:docPr id="2" name="图表 2"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77046" w:rsidRDefault="002C6759">
      <w:pPr>
        <w:ind w:firstLineChars="250" w:firstLine="800"/>
        <w:rPr>
          <w:rFonts w:eastAsia="仿宋_GB2312"/>
          <w:sz w:val="32"/>
          <w:szCs w:val="32"/>
        </w:rPr>
      </w:pPr>
      <w:r>
        <w:rPr>
          <w:rFonts w:eastAsia="仿宋_GB2312"/>
          <w:sz w:val="32"/>
          <w:szCs w:val="32"/>
        </w:rPr>
        <w:t>（图</w:t>
      </w:r>
      <w:r>
        <w:rPr>
          <w:rFonts w:eastAsia="仿宋_GB2312"/>
          <w:sz w:val="32"/>
          <w:szCs w:val="32"/>
        </w:rPr>
        <w:t>2</w:t>
      </w:r>
      <w:r>
        <w:rPr>
          <w:rFonts w:eastAsia="仿宋_GB2312"/>
          <w:sz w:val="32"/>
          <w:szCs w:val="32"/>
        </w:rPr>
        <w:t>：收入决算结构图）（饼状图）</w:t>
      </w:r>
    </w:p>
    <w:p w:rsidR="00577046" w:rsidRDefault="002C6759">
      <w:pPr>
        <w:pStyle w:val="ac"/>
        <w:spacing w:line="600" w:lineRule="exact"/>
        <w:ind w:firstLine="640"/>
        <w:outlineLvl w:val="1"/>
        <w:rPr>
          <w:rStyle w:val="2Char"/>
          <w:rFonts w:ascii="Times New Roman" w:eastAsia="黑体" w:hAnsi="Times New Roman" w:cs="Times New Roman"/>
          <w:b w:val="0"/>
        </w:rPr>
      </w:pPr>
      <w:bookmarkStart w:id="18" w:name="_Toc15377207"/>
      <w:bookmarkStart w:id="19" w:name="_Toc15396605"/>
      <w:r>
        <w:rPr>
          <w:rFonts w:eastAsia="黑体"/>
          <w:sz w:val="32"/>
          <w:szCs w:val="32"/>
        </w:rPr>
        <w:t>三、支</w:t>
      </w:r>
      <w:r>
        <w:rPr>
          <w:rStyle w:val="2Char"/>
          <w:rFonts w:ascii="Times New Roman" w:eastAsia="黑体" w:hAnsi="Times New Roman" w:cs="Times New Roman"/>
          <w:b w:val="0"/>
        </w:rPr>
        <w:t>出决算情况说明</w:t>
      </w:r>
      <w:bookmarkEnd w:id="18"/>
      <w:bookmarkEnd w:id="19"/>
    </w:p>
    <w:p w:rsidR="00577046" w:rsidRDefault="002C6759">
      <w:pPr>
        <w:pStyle w:val="ac"/>
        <w:spacing w:line="600" w:lineRule="exact"/>
        <w:ind w:firstLine="640"/>
        <w:jc w:val="left"/>
        <w:outlineLvl w:val="1"/>
        <w:rPr>
          <w:rFonts w:eastAsia="仿宋_GB2312"/>
          <w:sz w:val="32"/>
          <w:szCs w:val="32"/>
        </w:rPr>
      </w:pPr>
      <w:r>
        <w:rPr>
          <w:rFonts w:eastAsia="仿宋_GB2312"/>
          <w:sz w:val="32"/>
          <w:szCs w:val="32"/>
        </w:rPr>
        <w:t>2024</w:t>
      </w:r>
      <w:r>
        <w:rPr>
          <w:rFonts w:eastAsia="仿宋_GB2312"/>
          <w:sz w:val="32"/>
          <w:szCs w:val="32"/>
        </w:rPr>
        <w:t>年度本年支出合计</w:t>
      </w:r>
      <w:r>
        <w:rPr>
          <w:rFonts w:eastAsia="仿宋_GB2312"/>
          <w:sz w:val="32"/>
          <w:szCs w:val="32"/>
        </w:rPr>
        <w:t>1268.31</w:t>
      </w:r>
      <w:r>
        <w:rPr>
          <w:rFonts w:eastAsia="仿宋_GB2312"/>
          <w:sz w:val="32"/>
          <w:szCs w:val="32"/>
        </w:rPr>
        <w:t>万元，其中：基本支出</w:t>
      </w:r>
      <w:r>
        <w:rPr>
          <w:rFonts w:eastAsia="仿宋_GB2312"/>
          <w:sz w:val="32"/>
          <w:szCs w:val="32"/>
        </w:rPr>
        <w:t>951.32</w:t>
      </w:r>
      <w:r>
        <w:rPr>
          <w:rFonts w:eastAsia="仿宋_GB2312"/>
          <w:sz w:val="32"/>
          <w:szCs w:val="32"/>
        </w:rPr>
        <w:t>万元，占</w:t>
      </w:r>
      <w:r>
        <w:rPr>
          <w:rFonts w:eastAsia="仿宋_GB2312"/>
          <w:sz w:val="32"/>
          <w:szCs w:val="32"/>
        </w:rPr>
        <w:t>75%</w:t>
      </w:r>
      <w:r>
        <w:rPr>
          <w:rFonts w:eastAsia="仿宋_GB2312"/>
          <w:sz w:val="32"/>
          <w:szCs w:val="32"/>
        </w:rPr>
        <w:t>；项目支出</w:t>
      </w:r>
      <w:r>
        <w:rPr>
          <w:rFonts w:eastAsia="仿宋_GB2312"/>
          <w:sz w:val="32"/>
          <w:szCs w:val="32"/>
        </w:rPr>
        <w:t>316.99</w:t>
      </w:r>
      <w:r>
        <w:rPr>
          <w:rFonts w:eastAsia="仿宋_GB2312"/>
          <w:sz w:val="32"/>
          <w:szCs w:val="32"/>
        </w:rPr>
        <w:t>万元，占</w:t>
      </w:r>
      <w:r>
        <w:rPr>
          <w:rFonts w:eastAsia="仿宋_GB2312"/>
          <w:sz w:val="32"/>
          <w:szCs w:val="32"/>
        </w:rPr>
        <w:t>25%</w:t>
      </w:r>
      <w:r>
        <w:rPr>
          <w:rFonts w:eastAsia="仿宋_GB2312"/>
          <w:sz w:val="32"/>
          <w:szCs w:val="32"/>
        </w:rPr>
        <w:t>；上缴上级支出</w:t>
      </w:r>
      <w:r>
        <w:rPr>
          <w:rFonts w:eastAsia="仿宋_GB2312"/>
          <w:sz w:val="32"/>
          <w:szCs w:val="32"/>
        </w:rPr>
        <w:t>0</w:t>
      </w:r>
      <w:r>
        <w:rPr>
          <w:rFonts w:eastAsia="仿宋_GB2312"/>
          <w:sz w:val="32"/>
          <w:szCs w:val="32"/>
        </w:rPr>
        <w:t>万元，占</w:t>
      </w:r>
      <w:r>
        <w:rPr>
          <w:rFonts w:eastAsia="仿宋_GB2312"/>
          <w:sz w:val="32"/>
          <w:szCs w:val="32"/>
        </w:rPr>
        <w:t>0%</w:t>
      </w:r>
      <w:r>
        <w:rPr>
          <w:rFonts w:eastAsia="仿宋_GB2312"/>
          <w:sz w:val="32"/>
          <w:szCs w:val="32"/>
        </w:rPr>
        <w:t>；经营支出</w:t>
      </w:r>
      <w:r>
        <w:rPr>
          <w:rFonts w:eastAsia="仿宋_GB2312"/>
          <w:sz w:val="32"/>
          <w:szCs w:val="32"/>
        </w:rPr>
        <w:t>0</w:t>
      </w:r>
      <w:r>
        <w:rPr>
          <w:rFonts w:eastAsia="仿宋_GB2312"/>
          <w:sz w:val="32"/>
          <w:szCs w:val="32"/>
        </w:rPr>
        <w:t>万元，占</w:t>
      </w:r>
      <w:r>
        <w:rPr>
          <w:rFonts w:eastAsia="仿宋_GB2312"/>
          <w:sz w:val="32"/>
          <w:szCs w:val="32"/>
        </w:rPr>
        <w:t>0%</w:t>
      </w:r>
      <w:r>
        <w:rPr>
          <w:rFonts w:eastAsia="仿宋_GB2312"/>
          <w:sz w:val="32"/>
          <w:szCs w:val="32"/>
        </w:rPr>
        <w:t>；对附属单位补助支出</w:t>
      </w:r>
      <w:r>
        <w:rPr>
          <w:rFonts w:eastAsia="仿宋_GB2312"/>
          <w:sz w:val="32"/>
          <w:szCs w:val="32"/>
        </w:rPr>
        <w:t>0</w:t>
      </w:r>
      <w:r>
        <w:rPr>
          <w:rFonts w:eastAsia="仿宋_GB2312"/>
          <w:sz w:val="32"/>
          <w:szCs w:val="32"/>
        </w:rPr>
        <w:t>万元，占</w:t>
      </w:r>
      <w:r>
        <w:rPr>
          <w:rFonts w:eastAsia="仿宋_GB2312"/>
          <w:sz w:val="32"/>
          <w:szCs w:val="32"/>
        </w:rPr>
        <w:t>0%</w:t>
      </w:r>
      <w:r>
        <w:rPr>
          <w:rFonts w:eastAsia="仿宋_GB2312"/>
          <w:sz w:val="32"/>
          <w:szCs w:val="32"/>
        </w:rPr>
        <w:t>。</w:t>
      </w:r>
    </w:p>
    <w:p w:rsidR="00577046" w:rsidRDefault="002C6759">
      <w:pPr>
        <w:ind w:firstLineChars="250" w:firstLine="800"/>
        <w:rPr>
          <w:rFonts w:eastAsia="仿宋_GB2312"/>
          <w:sz w:val="32"/>
          <w:szCs w:val="32"/>
        </w:rPr>
      </w:pPr>
      <w:r>
        <w:rPr>
          <w:rFonts w:eastAsia="仿宋_GB2312"/>
          <w:noProof/>
          <w:sz w:val="32"/>
          <w:szCs w:val="32"/>
        </w:rPr>
        <w:drawing>
          <wp:inline distT="0" distB="0" distL="114300" distR="114300">
            <wp:extent cx="5256530" cy="2988310"/>
            <wp:effectExtent l="5080" t="4445" r="15240" b="17145"/>
            <wp:docPr id="3" name="图表 3" descr="7b0a202020202263686172745265734964223a2022343533383432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7046" w:rsidRDefault="002C6759">
      <w:pPr>
        <w:ind w:firstLineChars="250" w:firstLine="800"/>
        <w:rPr>
          <w:rFonts w:eastAsia="仿宋_GB2312"/>
          <w:sz w:val="32"/>
          <w:szCs w:val="32"/>
        </w:rPr>
      </w:pPr>
      <w:r>
        <w:rPr>
          <w:rFonts w:eastAsia="仿宋_GB2312"/>
          <w:sz w:val="32"/>
          <w:szCs w:val="32"/>
        </w:rPr>
        <w:t>（图</w:t>
      </w:r>
      <w:r>
        <w:rPr>
          <w:rFonts w:eastAsia="仿宋_GB2312"/>
          <w:sz w:val="32"/>
          <w:szCs w:val="32"/>
        </w:rPr>
        <w:t>3</w:t>
      </w:r>
      <w:r>
        <w:rPr>
          <w:rFonts w:eastAsia="仿宋_GB2312"/>
          <w:sz w:val="32"/>
          <w:szCs w:val="32"/>
        </w:rPr>
        <w:t>：支出决算结构图）（饼状图）</w:t>
      </w:r>
    </w:p>
    <w:p w:rsidR="00577046" w:rsidRDefault="002C6759">
      <w:pPr>
        <w:spacing w:line="600" w:lineRule="exact"/>
        <w:ind w:firstLineChars="200" w:firstLine="640"/>
        <w:outlineLvl w:val="1"/>
        <w:rPr>
          <w:rStyle w:val="2Char"/>
          <w:rFonts w:ascii="Times New Roman" w:eastAsia="黑体" w:hAnsi="Times New Roman" w:cs="Times New Roman"/>
          <w:b w:val="0"/>
        </w:rPr>
      </w:pPr>
      <w:bookmarkStart w:id="20" w:name="_Toc15396606"/>
      <w:bookmarkStart w:id="21" w:name="_Toc15377208"/>
      <w:r>
        <w:rPr>
          <w:rFonts w:eastAsia="黑体"/>
          <w:sz w:val="32"/>
          <w:szCs w:val="32"/>
        </w:rPr>
        <w:t>四、财</w:t>
      </w:r>
      <w:r>
        <w:rPr>
          <w:rStyle w:val="2Char"/>
          <w:rFonts w:ascii="Times New Roman" w:eastAsia="黑体" w:hAnsi="Times New Roman" w:cs="Times New Roman"/>
          <w:b w:val="0"/>
        </w:rPr>
        <w:t>政拨款收入支出决算总体情况说明</w:t>
      </w:r>
      <w:bookmarkEnd w:id="20"/>
      <w:bookmarkEnd w:id="21"/>
    </w:p>
    <w:p w:rsidR="00577046" w:rsidRDefault="002C6759">
      <w:pPr>
        <w:spacing w:line="600" w:lineRule="exact"/>
        <w:ind w:firstLine="640"/>
        <w:rPr>
          <w:rFonts w:eastAsia="仿宋_GB2312"/>
          <w:sz w:val="32"/>
          <w:szCs w:val="32"/>
        </w:rPr>
      </w:pPr>
      <w:r>
        <w:rPr>
          <w:rFonts w:eastAsia="仿宋_GB2312"/>
          <w:sz w:val="32"/>
          <w:szCs w:val="32"/>
        </w:rPr>
        <w:t>2024</w:t>
      </w:r>
      <w:r>
        <w:rPr>
          <w:rFonts w:eastAsia="仿宋_GB2312"/>
          <w:sz w:val="32"/>
          <w:szCs w:val="32"/>
        </w:rPr>
        <w:t>年度财政拨款收入、支出总计均为</w:t>
      </w:r>
      <w:r>
        <w:rPr>
          <w:rFonts w:eastAsia="仿宋_GB2312"/>
          <w:sz w:val="32"/>
          <w:szCs w:val="32"/>
        </w:rPr>
        <w:t>1268.31</w:t>
      </w:r>
      <w:r>
        <w:rPr>
          <w:rFonts w:eastAsia="仿宋_GB2312"/>
          <w:sz w:val="32"/>
          <w:szCs w:val="32"/>
        </w:rPr>
        <w:t>万元。与</w:t>
      </w:r>
      <w:r>
        <w:rPr>
          <w:rFonts w:eastAsia="仿宋_GB2312"/>
          <w:sz w:val="32"/>
          <w:szCs w:val="32"/>
        </w:rPr>
        <w:t>2023</w:t>
      </w:r>
      <w:r>
        <w:rPr>
          <w:rFonts w:eastAsia="仿宋_GB2312"/>
          <w:sz w:val="32"/>
          <w:szCs w:val="32"/>
        </w:rPr>
        <w:t>年度相比，财政拨款收入总计、支出总计均减少</w:t>
      </w:r>
      <w:r>
        <w:rPr>
          <w:rFonts w:eastAsia="仿宋_GB2312"/>
          <w:sz w:val="32"/>
          <w:szCs w:val="32"/>
        </w:rPr>
        <w:t>133.01</w:t>
      </w:r>
      <w:r>
        <w:rPr>
          <w:rFonts w:eastAsia="仿宋_GB2312"/>
          <w:sz w:val="32"/>
          <w:szCs w:val="32"/>
        </w:rPr>
        <w:t>万元，下降</w:t>
      </w:r>
      <w:r>
        <w:rPr>
          <w:rFonts w:eastAsia="仿宋_GB2312"/>
          <w:sz w:val="32"/>
          <w:szCs w:val="32"/>
        </w:rPr>
        <w:t>9.5%</w:t>
      </w:r>
      <w:r>
        <w:rPr>
          <w:rFonts w:eastAsia="仿宋_GB2312"/>
          <w:sz w:val="32"/>
          <w:szCs w:val="32"/>
        </w:rPr>
        <w:t>。主要变动原因是严格落实中央政府</w:t>
      </w:r>
      <w:r>
        <w:rPr>
          <w:rFonts w:eastAsia="仿宋_GB2312"/>
          <w:sz w:val="32"/>
          <w:szCs w:val="32"/>
        </w:rPr>
        <w:t>“</w:t>
      </w:r>
      <w:r>
        <w:rPr>
          <w:rFonts w:eastAsia="仿宋_GB2312"/>
          <w:sz w:val="32"/>
          <w:szCs w:val="32"/>
        </w:rPr>
        <w:t>过紧日子</w:t>
      </w:r>
      <w:r>
        <w:rPr>
          <w:rFonts w:eastAsia="仿宋_GB2312"/>
          <w:sz w:val="32"/>
          <w:szCs w:val="32"/>
        </w:rPr>
        <w:t>”</w:t>
      </w:r>
      <w:r>
        <w:rPr>
          <w:rFonts w:eastAsia="仿宋_GB2312"/>
          <w:sz w:val="32"/>
          <w:szCs w:val="32"/>
        </w:rPr>
        <w:t>的要求，优化支出结构，降低行政运行成本。</w:t>
      </w:r>
    </w:p>
    <w:p w:rsidR="00577046" w:rsidRDefault="00577046">
      <w:pPr>
        <w:spacing w:line="600" w:lineRule="exact"/>
        <w:ind w:firstLine="640"/>
        <w:rPr>
          <w:rFonts w:eastAsia="仿宋_GB2312"/>
          <w:sz w:val="32"/>
          <w:szCs w:val="32"/>
        </w:rPr>
      </w:pPr>
    </w:p>
    <w:p w:rsidR="00577046" w:rsidRDefault="00577046">
      <w:pPr>
        <w:spacing w:line="600" w:lineRule="exact"/>
        <w:ind w:firstLine="640"/>
        <w:rPr>
          <w:rFonts w:eastAsia="仿宋_GB2312"/>
          <w:sz w:val="32"/>
          <w:szCs w:val="32"/>
        </w:rPr>
      </w:pPr>
    </w:p>
    <w:p w:rsidR="00577046" w:rsidRDefault="00577046">
      <w:pPr>
        <w:spacing w:line="600" w:lineRule="exact"/>
        <w:ind w:firstLine="640"/>
        <w:rPr>
          <w:rFonts w:eastAsia="仿宋_GB2312"/>
          <w:sz w:val="32"/>
          <w:szCs w:val="32"/>
        </w:rPr>
      </w:pPr>
    </w:p>
    <w:p w:rsidR="00577046" w:rsidRDefault="00577046">
      <w:pPr>
        <w:spacing w:line="600" w:lineRule="exact"/>
        <w:ind w:firstLine="640"/>
        <w:rPr>
          <w:rFonts w:eastAsia="仿宋_GB2312"/>
          <w:sz w:val="32"/>
          <w:szCs w:val="32"/>
        </w:rPr>
      </w:pPr>
    </w:p>
    <w:p w:rsidR="00577046" w:rsidRDefault="00577046">
      <w:pPr>
        <w:spacing w:line="600" w:lineRule="exact"/>
        <w:ind w:firstLine="640"/>
        <w:rPr>
          <w:rFonts w:eastAsia="仿宋_GB2312"/>
          <w:sz w:val="32"/>
          <w:szCs w:val="32"/>
        </w:rPr>
      </w:pPr>
    </w:p>
    <w:p w:rsidR="00577046" w:rsidRDefault="00577046">
      <w:pPr>
        <w:spacing w:line="600" w:lineRule="exact"/>
        <w:ind w:firstLine="640"/>
        <w:rPr>
          <w:rFonts w:eastAsia="仿宋_GB2312"/>
          <w:sz w:val="32"/>
          <w:szCs w:val="32"/>
        </w:rPr>
      </w:pPr>
    </w:p>
    <w:p w:rsidR="00577046" w:rsidRDefault="002C6759">
      <w:pPr>
        <w:spacing w:line="600" w:lineRule="exact"/>
        <w:ind w:firstLine="640"/>
        <w:rPr>
          <w:rFonts w:eastAsia="仿宋_GB2312"/>
          <w:sz w:val="32"/>
          <w:szCs w:val="32"/>
        </w:rPr>
      </w:pPr>
      <w:r>
        <w:rPr>
          <w:rFonts w:eastAsia="仿宋_GB2312"/>
          <w:noProof/>
          <w:sz w:val="32"/>
          <w:szCs w:val="32"/>
        </w:rPr>
        <w:drawing>
          <wp:anchor distT="0" distB="0" distL="114300" distR="114300" simplePos="0" relativeHeight="251659264" behindDoc="0" locked="0" layoutInCell="1" allowOverlap="1">
            <wp:simplePos x="0" y="0"/>
            <wp:positionH relativeFrom="column">
              <wp:posOffset>410845</wp:posOffset>
            </wp:positionH>
            <wp:positionV relativeFrom="paragraph">
              <wp:posOffset>-2186305</wp:posOffset>
            </wp:positionV>
            <wp:extent cx="5256530" cy="2426970"/>
            <wp:effectExtent l="4445" t="4445" r="15875" b="64135"/>
            <wp:wrapNone/>
            <wp:docPr id="12" name="图表 12" descr="7b0a202020202263686172745265734964223a2022323034373230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577046" w:rsidRDefault="002C6759">
      <w:pPr>
        <w:spacing w:line="600" w:lineRule="exact"/>
        <w:ind w:firstLine="640"/>
        <w:rPr>
          <w:rFonts w:eastAsia="仿宋_GB2312"/>
          <w:sz w:val="32"/>
          <w:szCs w:val="32"/>
        </w:rPr>
      </w:pPr>
      <w:r>
        <w:rPr>
          <w:rFonts w:eastAsia="仿宋_GB2312"/>
          <w:sz w:val="32"/>
          <w:szCs w:val="32"/>
        </w:rPr>
        <w:t>（图</w:t>
      </w:r>
      <w:r>
        <w:rPr>
          <w:rFonts w:eastAsia="仿宋_GB2312"/>
          <w:sz w:val="32"/>
          <w:szCs w:val="32"/>
        </w:rPr>
        <w:t>4</w:t>
      </w:r>
      <w:r>
        <w:rPr>
          <w:rFonts w:eastAsia="仿宋_GB2312"/>
          <w:sz w:val="32"/>
          <w:szCs w:val="32"/>
        </w:rPr>
        <w:t>：财政拨款收、支决算总计变动情况）（柱状图）</w:t>
      </w:r>
    </w:p>
    <w:p w:rsidR="00577046" w:rsidRDefault="002C6759">
      <w:pPr>
        <w:spacing w:line="600" w:lineRule="exact"/>
        <w:ind w:firstLineChars="200" w:firstLine="640"/>
        <w:outlineLvl w:val="1"/>
        <w:rPr>
          <w:rStyle w:val="2Char"/>
          <w:rFonts w:ascii="Times New Roman" w:eastAsia="黑体" w:hAnsi="Times New Roman" w:cs="Times New Roman"/>
          <w:b w:val="0"/>
        </w:rPr>
      </w:pPr>
      <w:bookmarkStart w:id="22" w:name="_Toc15377209"/>
      <w:bookmarkStart w:id="23" w:name="_Toc15396607"/>
      <w:r>
        <w:rPr>
          <w:rFonts w:eastAsia="黑体"/>
          <w:sz w:val="32"/>
          <w:szCs w:val="32"/>
        </w:rPr>
        <w:t>五、</w:t>
      </w:r>
      <w:r>
        <w:rPr>
          <w:rFonts w:eastAsia="黑体"/>
          <w:b/>
          <w:sz w:val="32"/>
          <w:szCs w:val="32"/>
        </w:rPr>
        <w:t>一</w:t>
      </w:r>
      <w:r>
        <w:rPr>
          <w:rStyle w:val="2Char"/>
          <w:rFonts w:ascii="Times New Roman" w:eastAsia="黑体" w:hAnsi="Times New Roman" w:cs="Times New Roman"/>
          <w:b w:val="0"/>
        </w:rPr>
        <w:t>般公共预算财政拨款支出决算情况说明</w:t>
      </w:r>
      <w:bookmarkEnd w:id="22"/>
      <w:bookmarkEnd w:id="23"/>
    </w:p>
    <w:p w:rsidR="00577046" w:rsidRDefault="002C6759">
      <w:pPr>
        <w:spacing w:line="600" w:lineRule="exact"/>
        <w:ind w:firstLineChars="200" w:firstLine="643"/>
        <w:outlineLvl w:val="2"/>
        <w:rPr>
          <w:rFonts w:eastAsia="楷体_GB2312"/>
          <w:b/>
          <w:sz w:val="32"/>
          <w:szCs w:val="32"/>
        </w:rPr>
      </w:pPr>
      <w:bookmarkStart w:id="24" w:name="_Toc15377210"/>
      <w:r>
        <w:rPr>
          <w:rFonts w:eastAsia="楷体_GB2312"/>
          <w:b/>
          <w:sz w:val="32"/>
          <w:szCs w:val="32"/>
        </w:rPr>
        <w:t>（一）一般公共预算财政拨款支出决算总体情况</w:t>
      </w:r>
      <w:bookmarkEnd w:id="24"/>
    </w:p>
    <w:p w:rsidR="00577046" w:rsidRDefault="002C6759">
      <w:pPr>
        <w:spacing w:line="600" w:lineRule="exact"/>
        <w:ind w:firstLine="640"/>
        <w:rPr>
          <w:rFonts w:eastAsia="仿宋_GB2312"/>
          <w:sz w:val="32"/>
          <w:szCs w:val="32"/>
        </w:rPr>
      </w:pPr>
      <w:r>
        <w:rPr>
          <w:rFonts w:eastAsia="仿宋_GB2312"/>
          <w:sz w:val="32"/>
          <w:szCs w:val="32"/>
        </w:rPr>
        <w:t>2024</w:t>
      </w:r>
      <w:r>
        <w:rPr>
          <w:rFonts w:eastAsia="仿宋_GB2312"/>
          <w:sz w:val="32"/>
          <w:szCs w:val="32"/>
        </w:rPr>
        <w:t>年度一般公共预算财政拨款支出</w:t>
      </w:r>
      <w:r>
        <w:rPr>
          <w:rFonts w:eastAsia="仿宋_GB2312"/>
          <w:sz w:val="32"/>
          <w:szCs w:val="32"/>
        </w:rPr>
        <w:t>1268.31</w:t>
      </w:r>
      <w:r>
        <w:rPr>
          <w:rFonts w:eastAsia="仿宋_GB2312"/>
          <w:sz w:val="32"/>
          <w:szCs w:val="32"/>
        </w:rPr>
        <w:t>万元，占本年支出合计的</w:t>
      </w:r>
      <w:r>
        <w:rPr>
          <w:rFonts w:eastAsia="仿宋_GB2312"/>
          <w:sz w:val="32"/>
          <w:szCs w:val="32"/>
        </w:rPr>
        <w:t>100%</w:t>
      </w:r>
      <w:r>
        <w:rPr>
          <w:rFonts w:eastAsia="仿宋_GB2312"/>
          <w:sz w:val="32"/>
          <w:szCs w:val="32"/>
        </w:rPr>
        <w:t>。与</w:t>
      </w:r>
      <w:r>
        <w:rPr>
          <w:rFonts w:eastAsia="仿宋_GB2312"/>
          <w:sz w:val="32"/>
          <w:szCs w:val="32"/>
        </w:rPr>
        <w:t>2023</w:t>
      </w:r>
      <w:r>
        <w:rPr>
          <w:rFonts w:eastAsia="仿宋_GB2312"/>
          <w:sz w:val="32"/>
          <w:szCs w:val="32"/>
        </w:rPr>
        <w:t>年度相比，一般公共预算财政拨款支出减少</w:t>
      </w:r>
      <w:r>
        <w:rPr>
          <w:rFonts w:eastAsia="仿宋_GB2312"/>
          <w:sz w:val="32"/>
          <w:szCs w:val="32"/>
        </w:rPr>
        <w:t>133.01</w:t>
      </w:r>
      <w:r>
        <w:rPr>
          <w:rFonts w:eastAsia="仿宋_GB2312"/>
          <w:sz w:val="32"/>
          <w:szCs w:val="32"/>
        </w:rPr>
        <w:t>万元，下降</w:t>
      </w:r>
      <w:r>
        <w:rPr>
          <w:rFonts w:eastAsia="仿宋_GB2312"/>
          <w:sz w:val="32"/>
          <w:szCs w:val="32"/>
        </w:rPr>
        <w:t>9.5%</w:t>
      </w:r>
      <w:r>
        <w:rPr>
          <w:rFonts w:eastAsia="仿宋_GB2312"/>
          <w:sz w:val="32"/>
          <w:szCs w:val="32"/>
        </w:rPr>
        <w:t>。主要变动原因是严格落实中央政府</w:t>
      </w:r>
      <w:r>
        <w:rPr>
          <w:rFonts w:eastAsia="仿宋_GB2312"/>
          <w:sz w:val="32"/>
          <w:szCs w:val="32"/>
        </w:rPr>
        <w:t>“</w:t>
      </w:r>
      <w:r>
        <w:rPr>
          <w:rFonts w:eastAsia="仿宋_GB2312"/>
          <w:sz w:val="32"/>
          <w:szCs w:val="32"/>
        </w:rPr>
        <w:t>过紧日子</w:t>
      </w:r>
      <w:r>
        <w:rPr>
          <w:rFonts w:eastAsia="仿宋_GB2312"/>
          <w:sz w:val="32"/>
          <w:szCs w:val="32"/>
        </w:rPr>
        <w:t>”</w:t>
      </w:r>
      <w:r>
        <w:rPr>
          <w:rFonts w:eastAsia="仿宋_GB2312"/>
          <w:sz w:val="32"/>
          <w:szCs w:val="32"/>
        </w:rPr>
        <w:t>的要求，优化支出结构，降低行政运行成本。</w:t>
      </w:r>
    </w:p>
    <w:p w:rsidR="00577046" w:rsidRDefault="00577046">
      <w:pPr>
        <w:pStyle w:val="20"/>
        <w:ind w:left="420" w:firstLine="640"/>
        <w:rPr>
          <w:rFonts w:ascii="Times New Roman" w:eastAsia="仿宋_GB2312"/>
          <w:sz w:val="32"/>
        </w:rPr>
      </w:pPr>
    </w:p>
    <w:p w:rsidR="00577046" w:rsidRDefault="00577046">
      <w:pPr>
        <w:pStyle w:val="20"/>
        <w:ind w:left="420" w:firstLine="640"/>
        <w:rPr>
          <w:rFonts w:ascii="Times New Roman" w:eastAsia="仿宋_GB2312"/>
          <w:sz w:val="32"/>
        </w:rPr>
      </w:pPr>
    </w:p>
    <w:p w:rsidR="00577046" w:rsidRDefault="002C6759">
      <w:pPr>
        <w:pStyle w:val="20"/>
        <w:ind w:left="420" w:firstLine="640"/>
        <w:rPr>
          <w:rFonts w:ascii="Times New Roman" w:eastAsia="仿宋_GB2312"/>
          <w:sz w:val="32"/>
        </w:rPr>
      </w:pPr>
      <w:r>
        <w:rPr>
          <w:rFonts w:ascii="Times New Roman" w:eastAsia="仿宋_GB2312"/>
          <w:noProof/>
          <w:sz w:val="32"/>
        </w:rPr>
        <w:drawing>
          <wp:anchor distT="0" distB="0" distL="114300" distR="114300" simplePos="0" relativeHeight="251660288" behindDoc="0" locked="0" layoutInCell="1" allowOverlap="1">
            <wp:simplePos x="0" y="0"/>
            <wp:positionH relativeFrom="column">
              <wp:posOffset>164465</wp:posOffset>
            </wp:positionH>
            <wp:positionV relativeFrom="paragraph">
              <wp:posOffset>210820</wp:posOffset>
            </wp:positionV>
            <wp:extent cx="5256530" cy="2426970"/>
            <wp:effectExtent l="0" t="0" r="20320" b="11430"/>
            <wp:wrapNone/>
            <wp:docPr id="13" name="图表 13" descr="7b0a202020202263686172745265734964223a2022323034373230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577046" w:rsidRDefault="00577046">
      <w:pPr>
        <w:pStyle w:val="20"/>
        <w:ind w:left="420" w:firstLine="640"/>
        <w:rPr>
          <w:rFonts w:ascii="Times New Roman" w:eastAsia="仿宋_GB2312"/>
          <w:sz w:val="32"/>
        </w:rPr>
      </w:pPr>
    </w:p>
    <w:p w:rsidR="00577046" w:rsidRDefault="00577046">
      <w:pPr>
        <w:pStyle w:val="20"/>
        <w:ind w:left="420" w:firstLine="640"/>
        <w:rPr>
          <w:rFonts w:ascii="Times New Roman" w:eastAsia="仿宋_GB2312"/>
          <w:sz w:val="32"/>
        </w:rPr>
      </w:pPr>
    </w:p>
    <w:p w:rsidR="00577046" w:rsidRDefault="00577046">
      <w:pPr>
        <w:pStyle w:val="20"/>
        <w:ind w:left="420" w:firstLine="640"/>
        <w:rPr>
          <w:rFonts w:ascii="Times New Roman" w:eastAsia="仿宋_GB2312"/>
          <w:sz w:val="32"/>
        </w:rPr>
      </w:pPr>
    </w:p>
    <w:p w:rsidR="00577046" w:rsidRDefault="00577046">
      <w:pPr>
        <w:pStyle w:val="20"/>
        <w:ind w:left="420" w:firstLine="640"/>
        <w:rPr>
          <w:rFonts w:ascii="Times New Roman" w:eastAsia="仿宋_GB2312"/>
          <w:sz w:val="32"/>
        </w:rPr>
      </w:pPr>
    </w:p>
    <w:p w:rsidR="00577046" w:rsidRDefault="00577046">
      <w:pPr>
        <w:spacing w:line="600" w:lineRule="exact"/>
        <w:ind w:firstLine="640"/>
        <w:rPr>
          <w:rFonts w:eastAsia="仿宋_GB2312"/>
          <w:sz w:val="32"/>
          <w:szCs w:val="32"/>
        </w:rPr>
      </w:pPr>
    </w:p>
    <w:p w:rsidR="00577046" w:rsidRDefault="002C6759">
      <w:pPr>
        <w:spacing w:line="600" w:lineRule="exact"/>
        <w:ind w:firstLine="640"/>
        <w:rPr>
          <w:rFonts w:eastAsia="仿宋_GB2312"/>
          <w:sz w:val="32"/>
          <w:szCs w:val="32"/>
        </w:rPr>
      </w:pPr>
      <w:r>
        <w:rPr>
          <w:rFonts w:eastAsia="仿宋_GB2312"/>
          <w:sz w:val="32"/>
          <w:szCs w:val="32"/>
        </w:rPr>
        <w:t>（图</w:t>
      </w:r>
      <w:r>
        <w:rPr>
          <w:rFonts w:eastAsia="仿宋_GB2312"/>
          <w:sz w:val="32"/>
          <w:szCs w:val="32"/>
        </w:rPr>
        <w:t>5</w:t>
      </w:r>
      <w:r>
        <w:rPr>
          <w:rFonts w:eastAsia="仿宋_GB2312"/>
          <w:sz w:val="32"/>
          <w:szCs w:val="32"/>
        </w:rPr>
        <w:t>：一般公共预算财政拨款支出决算变动情况）（柱状图）</w:t>
      </w:r>
    </w:p>
    <w:p w:rsidR="00577046" w:rsidRDefault="002C6759">
      <w:pPr>
        <w:spacing w:line="600" w:lineRule="exact"/>
        <w:ind w:firstLineChars="200" w:firstLine="643"/>
        <w:outlineLvl w:val="2"/>
        <w:rPr>
          <w:rFonts w:eastAsia="楷体_GB2312"/>
          <w:b/>
          <w:color w:val="FF0000"/>
          <w:sz w:val="32"/>
          <w:szCs w:val="32"/>
        </w:rPr>
      </w:pPr>
      <w:bookmarkStart w:id="25" w:name="_Toc15377211"/>
      <w:r>
        <w:rPr>
          <w:rFonts w:eastAsia="楷体_GB2312"/>
          <w:b/>
          <w:sz w:val="32"/>
          <w:szCs w:val="32"/>
        </w:rPr>
        <w:t>（二）一般公共预算财政拨款支出决算结构情况</w:t>
      </w:r>
      <w:bookmarkEnd w:id="25"/>
    </w:p>
    <w:p w:rsidR="00577046" w:rsidRDefault="002C6759">
      <w:pPr>
        <w:spacing w:line="600" w:lineRule="exact"/>
        <w:ind w:firstLine="640"/>
        <w:rPr>
          <w:rFonts w:eastAsia="仿宋_GB2312"/>
          <w:sz w:val="32"/>
          <w:szCs w:val="32"/>
        </w:rPr>
      </w:pPr>
      <w:r>
        <w:rPr>
          <w:rFonts w:eastAsia="仿宋_GB2312"/>
          <w:sz w:val="32"/>
          <w:szCs w:val="32"/>
        </w:rPr>
        <w:t>2024</w:t>
      </w:r>
      <w:r>
        <w:rPr>
          <w:rFonts w:eastAsia="仿宋_GB2312"/>
          <w:sz w:val="32"/>
          <w:szCs w:val="32"/>
        </w:rPr>
        <w:t>年度一般公共预算财政拨款支出</w:t>
      </w:r>
      <w:r>
        <w:rPr>
          <w:rFonts w:eastAsia="仿宋_GB2312"/>
          <w:sz w:val="32"/>
          <w:szCs w:val="32"/>
        </w:rPr>
        <w:t>1268.31</w:t>
      </w:r>
      <w:r>
        <w:rPr>
          <w:rFonts w:eastAsia="仿宋_GB2312"/>
          <w:sz w:val="32"/>
          <w:szCs w:val="32"/>
        </w:rPr>
        <w:t>万元，主要用于以下方面：一般公共服务支出</w:t>
      </w:r>
      <w:r>
        <w:rPr>
          <w:rFonts w:eastAsia="仿宋_GB2312"/>
          <w:sz w:val="32"/>
          <w:szCs w:val="32"/>
        </w:rPr>
        <w:t>6.94</w:t>
      </w:r>
      <w:r>
        <w:rPr>
          <w:rFonts w:eastAsia="仿宋_GB2312"/>
          <w:sz w:val="32"/>
          <w:szCs w:val="32"/>
        </w:rPr>
        <w:t>万元，占</w:t>
      </w:r>
      <w:r>
        <w:rPr>
          <w:rFonts w:eastAsia="仿宋_GB2312"/>
          <w:sz w:val="32"/>
          <w:szCs w:val="32"/>
        </w:rPr>
        <w:t>0.55%</w:t>
      </w:r>
      <w:r>
        <w:rPr>
          <w:rFonts w:eastAsia="仿宋_GB2312"/>
          <w:sz w:val="32"/>
          <w:szCs w:val="32"/>
        </w:rPr>
        <w:t>；社会保障和就业支出</w:t>
      </w:r>
      <w:r>
        <w:rPr>
          <w:rFonts w:eastAsia="仿宋_GB2312"/>
          <w:sz w:val="32"/>
          <w:szCs w:val="32"/>
        </w:rPr>
        <w:t>147.72</w:t>
      </w:r>
      <w:r>
        <w:rPr>
          <w:rFonts w:eastAsia="仿宋_GB2312"/>
          <w:sz w:val="32"/>
          <w:szCs w:val="32"/>
        </w:rPr>
        <w:t>万元，占</w:t>
      </w:r>
      <w:r>
        <w:rPr>
          <w:rFonts w:eastAsia="仿宋_GB2312"/>
          <w:sz w:val="32"/>
          <w:szCs w:val="32"/>
        </w:rPr>
        <w:t>11.64%</w:t>
      </w:r>
      <w:r>
        <w:rPr>
          <w:rFonts w:eastAsia="仿宋_GB2312"/>
          <w:sz w:val="32"/>
          <w:szCs w:val="32"/>
        </w:rPr>
        <w:t>；卫生健康支出</w:t>
      </w:r>
      <w:r>
        <w:rPr>
          <w:rFonts w:eastAsia="仿宋_GB2312"/>
          <w:sz w:val="32"/>
          <w:szCs w:val="32"/>
        </w:rPr>
        <w:t>1045.06</w:t>
      </w:r>
      <w:r>
        <w:rPr>
          <w:rFonts w:eastAsia="仿宋_GB2312"/>
          <w:sz w:val="32"/>
          <w:szCs w:val="32"/>
        </w:rPr>
        <w:t>万元，占</w:t>
      </w:r>
      <w:r>
        <w:rPr>
          <w:rFonts w:eastAsia="仿宋_GB2312"/>
          <w:sz w:val="32"/>
          <w:szCs w:val="32"/>
        </w:rPr>
        <w:t>82.40%</w:t>
      </w:r>
      <w:r>
        <w:rPr>
          <w:rFonts w:eastAsia="仿宋_GB2312"/>
          <w:sz w:val="32"/>
          <w:szCs w:val="32"/>
        </w:rPr>
        <w:t>；住房保障支出</w:t>
      </w:r>
      <w:r>
        <w:rPr>
          <w:rFonts w:eastAsia="仿宋_GB2312"/>
          <w:sz w:val="32"/>
          <w:szCs w:val="32"/>
        </w:rPr>
        <w:t>68.59</w:t>
      </w:r>
      <w:r>
        <w:rPr>
          <w:rFonts w:eastAsia="仿宋_GB2312"/>
          <w:sz w:val="32"/>
          <w:szCs w:val="32"/>
        </w:rPr>
        <w:t>万元，占</w:t>
      </w:r>
      <w:r>
        <w:rPr>
          <w:rFonts w:eastAsia="仿宋_GB2312"/>
          <w:sz w:val="32"/>
          <w:szCs w:val="32"/>
        </w:rPr>
        <w:t>5.41%</w:t>
      </w:r>
      <w:r>
        <w:rPr>
          <w:rFonts w:eastAsia="仿宋_GB2312"/>
          <w:sz w:val="32"/>
          <w:szCs w:val="32"/>
        </w:rPr>
        <w:t>。</w:t>
      </w:r>
    </w:p>
    <w:p w:rsidR="00577046" w:rsidRDefault="002C6759">
      <w:pPr>
        <w:pStyle w:val="20"/>
        <w:ind w:leftChars="0" w:left="0" w:firstLineChars="0" w:firstLine="0"/>
        <w:rPr>
          <w:rFonts w:ascii="Times New Roman" w:eastAsia="仿宋_GB2312"/>
          <w:sz w:val="32"/>
        </w:rPr>
      </w:pPr>
      <w:r>
        <w:rPr>
          <w:rFonts w:ascii="Times New Roman" w:eastAsia="仿宋_GB2312"/>
          <w:noProof/>
          <w:sz w:val="32"/>
        </w:rPr>
        <w:drawing>
          <wp:inline distT="0" distB="0" distL="114300" distR="114300">
            <wp:extent cx="5256530" cy="2988310"/>
            <wp:effectExtent l="0" t="0" r="20320" b="21590"/>
            <wp:docPr id="14" name="图表 14"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7046" w:rsidRDefault="002C6759">
      <w:pPr>
        <w:spacing w:line="600" w:lineRule="exact"/>
        <w:ind w:firstLine="640"/>
        <w:rPr>
          <w:rFonts w:eastAsia="仿宋_GB2312"/>
          <w:sz w:val="32"/>
          <w:szCs w:val="32"/>
        </w:rPr>
      </w:pPr>
      <w:r>
        <w:rPr>
          <w:rFonts w:eastAsia="仿宋_GB2312"/>
          <w:sz w:val="32"/>
          <w:szCs w:val="32"/>
        </w:rPr>
        <w:t>（图</w:t>
      </w:r>
      <w:r>
        <w:rPr>
          <w:rFonts w:eastAsia="仿宋_GB2312"/>
          <w:sz w:val="32"/>
          <w:szCs w:val="32"/>
        </w:rPr>
        <w:t>6</w:t>
      </w:r>
      <w:r>
        <w:rPr>
          <w:rFonts w:eastAsia="仿宋_GB2312"/>
          <w:sz w:val="32"/>
          <w:szCs w:val="32"/>
        </w:rPr>
        <w:t>：一般公共预算财政拨款支出决算结构）（饼状图）</w:t>
      </w:r>
    </w:p>
    <w:p w:rsidR="00577046" w:rsidRDefault="002C6759">
      <w:pPr>
        <w:tabs>
          <w:tab w:val="left" w:pos="606"/>
        </w:tabs>
        <w:spacing w:line="600" w:lineRule="exact"/>
        <w:ind w:firstLineChars="200" w:firstLine="643"/>
        <w:outlineLvl w:val="2"/>
        <w:rPr>
          <w:rFonts w:eastAsia="楷体_GB2312"/>
          <w:b/>
          <w:sz w:val="32"/>
          <w:szCs w:val="32"/>
        </w:rPr>
      </w:pPr>
      <w:bookmarkStart w:id="26" w:name="_Toc15377212"/>
      <w:r>
        <w:rPr>
          <w:rFonts w:eastAsia="楷体_GB2312"/>
          <w:b/>
          <w:sz w:val="32"/>
          <w:szCs w:val="32"/>
        </w:rPr>
        <w:t>（三）一般公共预算财政拨款支出决算具体情况</w:t>
      </w:r>
      <w:bookmarkEnd w:id="26"/>
    </w:p>
    <w:p w:rsidR="00577046" w:rsidRDefault="002C6759">
      <w:pPr>
        <w:spacing w:line="600" w:lineRule="exact"/>
        <w:ind w:firstLine="640"/>
        <w:rPr>
          <w:rFonts w:eastAsia="仿宋_GB2312"/>
          <w:sz w:val="32"/>
          <w:szCs w:val="32"/>
        </w:rPr>
      </w:pPr>
      <w:bookmarkStart w:id="27" w:name="_Toc15377213"/>
      <w:bookmarkStart w:id="28" w:name="_Toc15378460"/>
      <w:bookmarkStart w:id="29" w:name="_Toc15377444"/>
      <w:r>
        <w:rPr>
          <w:rFonts w:eastAsia="仿宋_GB2312"/>
          <w:sz w:val="32"/>
          <w:szCs w:val="32"/>
        </w:rPr>
        <w:t>2024</w:t>
      </w:r>
      <w:r>
        <w:rPr>
          <w:rFonts w:eastAsia="仿宋_GB2312"/>
          <w:sz w:val="32"/>
          <w:szCs w:val="32"/>
        </w:rPr>
        <w:t>年度一般公共预算财政拨款支出决算数为</w:t>
      </w:r>
      <w:r>
        <w:rPr>
          <w:rFonts w:eastAsia="仿宋_GB2312"/>
          <w:sz w:val="32"/>
          <w:szCs w:val="32"/>
        </w:rPr>
        <w:t>1268.31</w:t>
      </w:r>
      <w:r>
        <w:rPr>
          <w:rFonts w:eastAsia="仿宋_GB2312"/>
          <w:sz w:val="32"/>
          <w:szCs w:val="32"/>
        </w:rPr>
        <w:t>万元，完成预算</w:t>
      </w:r>
      <w:r>
        <w:rPr>
          <w:rFonts w:eastAsia="仿宋_GB2312"/>
          <w:sz w:val="32"/>
          <w:szCs w:val="32"/>
        </w:rPr>
        <w:t>100%</w:t>
      </w:r>
      <w:r>
        <w:rPr>
          <w:rFonts w:eastAsia="仿宋_GB2312"/>
          <w:sz w:val="32"/>
          <w:szCs w:val="32"/>
        </w:rPr>
        <w:t>。其中：</w:t>
      </w:r>
      <w:bookmarkEnd w:id="27"/>
      <w:bookmarkEnd w:id="28"/>
      <w:bookmarkEnd w:id="29"/>
    </w:p>
    <w:p w:rsidR="00577046" w:rsidRDefault="002C6759">
      <w:pPr>
        <w:spacing w:line="600" w:lineRule="exact"/>
        <w:ind w:firstLine="640"/>
        <w:rPr>
          <w:rFonts w:eastAsia="仿宋_GB2312"/>
          <w:sz w:val="32"/>
          <w:szCs w:val="32"/>
        </w:rPr>
      </w:pPr>
      <w:r>
        <w:rPr>
          <w:rFonts w:eastAsia="仿宋_GB2312"/>
          <w:sz w:val="32"/>
          <w:szCs w:val="32"/>
        </w:rPr>
        <w:t>1.</w:t>
      </w:r>
      <w:r>
        <w:rPr>
          <w:rFonts w:eastAsia="仿宋_GB2312"/>
          <w:sz w:val="32"/>
          <w:szCs w:val="32"/>
        </w:rPr>
        <w:t>一般公共服务支出</w:t>
      </w:r>
    </w:p>
    <w:p w:rsidR="00577046" w:rsidRDefault="002C6759">
      <w:pPr>
        <w:spacing w:line="600" w:lineRule="exact"/>
        <w:ind w:firstLineChars="200" w:firstLine="640"/>
        <w:rPr>
          <w:rFonts w:eastAsia="仿宋_GB2312"/>
          <w:sz w:val="32"/>
          <w:szCs w:val="32"/>
        </w:rPr>
      </w:pPr>
      <w:r>
        <w:rPr>
          <w:rFonts w:eastAsia="仿宋_GB2312"/>
          <w:sz w:val="32"/>
          <w:szCs w:val="32"/>
        </w:rPr>
        <w:t>2013299</w:t>
      </w:r>
      <w:r>
        <w:rPr>
          <w:rFonts w:eastAsia="仿宋_GB2312"/>
          <w:sz w:val="32"/>
          <w:szCs w:val="32"/>
        </w:rPr>
        <w:t>其他组织事务支出：支出决算为</w:t>
      </w:r>
      <w:r>
        <w:rPr>
          <w:rFonts w:eastAsia="仿宋_GB2312"/>
          <w:sz w:val="32"/>
          <w:szCs w:val="32"/>
        </w:rPr>
        <w:t>6.94</w:t>
      </w:r>
      <w:r>
        <w:rPr>
          <w:rFonts w:eastAsia="仿宋_GB2312"/>
          <w:sz w:val="32"/>
          <w:szCs w:val="32"/>
        </w:rPr>
        <w:t>万元，完成预算</w:t>
      </w:r>
      <w:r>
        <w:rPr>
          <w:rFonts w:eastAsia="仿宋_GB2312"/>
          <w:sz w:val="32"/>
          <w:szCs w:val="32"/>
        </w:rPr>
        <w:t>100%</w:t>
      </w:r>
      <w:r>
        <w:rPr>
          <w:rFonts w:eastAsia="仿宋_GB2312"/>
          <w:sz w:val="32"/>
          <w:szCs w:val="32"/>
        </w:rPr>
        <w:t>，决算数等于预算数。</w:t>
      </w:r>
    </w:p>
    <w:p w:rsidR="00577046" w:rsidRDefault="002C6759">
      <w:pPr>
        <w:spacing w:line="600" w:lineRule="exact"/>
        <w:ind w:firstLine="640"/>
        <w:rPr>
          <w:rFonts w:eastAsia="仿宋_GB2312"/>
          <w:sz w:val="32"/>
          <w:szCs w:val="32"/>
        </w:rPr>
      </w:pPr>
      <w:r>
        <w:rPr>
          <w:rFonts w:eastAsia="仿宋_GB2312"/>
          <w:sz w:val="32"/>
          <w:szCs w:val="32"/>
        </w:rPr>
        <w:t>2.</w:t>
      </w:r>
      <w:r>
        <w:rPr>
          <w:rFonts w:eastAsia="仿宋_GB2312"/>
          <w:sz w:val="32"/>
          <w:szCs w:val="32"/>
        </w:rPr>
        <w:t>社会保障和就业支出</w:t>
      </w:r>
    </w:p>
    <w:p w:rsidR="00577046" w:rsidRDefault="002C6759">
      <w:pPr>
        <w:spacing w:line="600" w:lineRule="exact"/>
        <w:ind w:firstLineChars="200" w:firstLine="640"/>
        <w:rPr>
          <w:rFonts w:eastAsia="仿宋_GB2312"/>
          <w:sz w:val="32"/>
          <w:szCs w:val="32"/>
        </w:rPr>
      </w:pPr>
      <w:r>
        <w:rPr>
          <w:rFonts w:eastAsia="仿宋_GB2312"/>
          <w:sz w:val="32"/>
          <w:szCs w:val="32"/>
        </w:rPr>
        <w:t>2080501</w:t>
      </w:r>
      <w:r>
        <w:rPr>
          <w:rFonts w:eastAsia="仿宋_GB2312"/>
          <w:sz w:val="32"/>
          <w:szCs w:val="32"/>
        </w:rPr>
        <w:t>行政单位离退休：支出决算为</w:t>
      </w:r>
      <w:r>
        <w:rPr>
          <w:rFonts w:eastAsia="仿宋_GB2312"/>
          <w:sz w:val="32"/>
          <w:szCs w:val="32"/>
        </w:rPr>
        <w:t>64.40</w:t>
      </w:r>
      <w:r>
        <w:rPr>
          <w:rFonts w:eastAsia="仿宋_GB2312"/>
          <w:sz w:val="32"/>
          <w:szCs w:val="32"/>
        </w:rPr>
        <w:t>万元，完成预算</w:t>
      </w:r>
      <w:r>
        <w:rPr>
          <w:rFonts w:eastAsia="仿宋_GB2312"/>
          <w:sz w:val="32"/>
          <w:szCs w:val="32"/>
        </w:rPr>
        <w:t>100%</w:t>
      </w:r>
      <w:r>
        <w:rPr>
          <w:rFonts w:eastAsia="仿宋_GB2312"/>
          <w:sz w:val="32"/>
          <w:szCs w:val="32"/>
        </w:rPr>
        <w:t>，决算数等于预算数。</w:t>
      </w:r>
    </w:p>
    <w:p w:rsidR="00577046" w:rsidRDefault="002C6759">
      <w:pPr>
        <w:spacing w:line="600" w:lineRule="exact"/>
        <w:ind w:firstLineChars="200" w:firstLine="640"/>
        <w:rPr>
          <w:rFonts w:eastAsia="仿宋_GB2312"/>
          <w:sz w:val="32"/>
          <w:szCs w:val="32"/>
        </w:rPr>
      </w:pPr>
      <w:r>
        <w:rPr>
          <w:rFonts w:eastAsia="仿宋_GB2312"/>
          <w:sz w:val="32"/>
          <w:szCs w:val="32"/>
        </w:rPr>
        <w:t>2080505</w:t>
      </w:r>
      <w:r>
        <w:rPr>
          <w:rFonts w:eastAsia="仿宋_GB2312"/>
          <w:sz w:val="32"/>
          <w:szCs w:val="32"/>
        </w:rPr>
        <w:t>机关事业单位基本养老保险缴费支出：支出决算为</w:t>
      </w:r>
      <w:r>
        <w:rPr>
          <w:rFonts w:eastAsia="仿宋_GB2312"/>
          <w:sz w:val="32"/>
          <w:szCs w:val="32"/>
        </w:rPr>
        <w:t>83.32</w:t>
      </w:r>
      <w:r>
        <w:rPr>
          <w:rFonts w:eastAsia="仿宋_GB2312"/>
          <w:sz w:val="32"/>
          <w:szCs w:val="32"/>
        </w:rPr>
        <w:t>万元，完成预算</w:t>
      </w:r>
      <w:r>
        <w:rPr>
          <w:rFonts w:eastAsia="仿宋_GB2312"/>
          <w:sz w:val="32"/>
          <w:szCs w:val="32"/>
        </w:rPr>
        <w:t>100%</w:t>
      </w:r>
      <w:r>
        <w:rPr>
          <w:rFonts w:eastAsia="仿宋_GB2312"/>
          <w:sz w:val="32"/>
          <w:szCs w:val="32"/>
        </w:rPr>
        <w:t>，决算数等于预算数。</w:t>
      </w:r>
    </w:p>
    <w:p w:rsidR="00577046" w:rsidRDefault="002C6759">
      <w:pPr>
        <w:spacing w:line="600" w:lineRule="exact"/>
        <w:ind w:firstLine="640"/>
        <w:rPr>
          <w:rFonts w:eastAsia="仿宋_GB2312"/>
          <w:sz w:val="32"/>
          <w:szCs w:val="32"/>
        </w:rPr>
      </w:pPr>
      <w:r>
        <w:rPr>
          <w:rFonts w:eastAsia="仿宋_GB2312"/>
          <w:sz w:val="32"/>
          <w:szCs w:val="32"/>
        </w:rPr>
        <w:t>3.</w:t>
      </w:r>
      <w:r>
        <w:rPr>
          <w:rFonts w:eastAsia="仿宋_GB2312"/>
          <w:sz w:val="32"/>
          <w:szCs w:val="32"/>
        </w:rPr>
        <w:t>卫生健康支出</w:t>
      </w:r>
    </w:p>
    <w:p w:rsidR="00577046" w:rsidRDefault="002C6759">
      <w:pPr>
        <w:spacing w:line="600" w:lineRule="exact"/>
        <w:ind w:firstLineChars="200" w:firstLine="640"/>
        <w:rPr>
          <w:rFonts w:eastAsia="仿宋_GB2312"/>
          <w:sz w:val="32"/>
          <w:szCs w:val="32"/>
        </w:rPr>
      </w:pPr>
      <w:r>
        <w:rPr>
          <w:rFonts w:eastAsia="仿宋_GB2312"/>
          <w:sz w:val="32"/>
          <w:szCs w:val="32"/>
        </w:rPr>
        <w:t>2101101</w:t>
      </w:r>
      <w:r>
        <w:rPr>
          <w:rFonts w:eastAsia="仿宋_GB2312"/>
          <w:sz w:val="32"/>
          <w:szCs w:val="32"/>
        </w:rPr>
        <w:t>行政单位医疗：支出决算为</w:t>
      </w:r>
      <w:r>
        <w:rPr>
          <w:rFonts w:eastAsia="仿宋_GB2312"/>
          <w:sz w:val="32"/>
          <w:szCs w:val="32"/>
        </w:rPr>
        <w:t>44.37</w:t>
      </w:r>
      <w:r>
        <w:rPr>
          <w:rFonts w:eastAsia="仿宋_GB2312"/>
          <w:sz w:val="32"/>
          <w:szCs w:val="32"/>
        </w:rPr>
        <w:t>万元，完成预算</w:t>
      </w:r>
      <w:r>
        <w:rPr>
          <w:rFonts w:eastAsia="仿宋_GB2312"/>
          <w:sz w:val="32"/>
          <w:szCs w:val="32"/>
        </w:rPr>
        <w:t>100%</w:t>
      </w:r>
      <w:r>
        <w:rPr>
          <w:rFonts w:eastAsia="仿宋_GB2312"/>
          <w:sz w:val="32"/>
          <w:szCs w:val="32"/>
        </w:rPr>
        <w:t>，决算数等于预算数。</w:t>
      </w:r>
    </w:p>
    <w:p w:rsidR="00577046" w:rsidRDefault="002C6759">
      <w:pPr>
        <w:spacing w:line="600" w:lineRule="exact"/>
        <w:ind w:firstLineChars="200" w:firstLine="640"/>
        <w:rPr>
          <w:rFonts w:eastAsia="仿宋_GB2312"/>
          <w:sz w:val="32"/>
          <w:szCs w:val="32"/>
        </w:rPr>
      </w:pPr>
      <w:r>
        <w:rPr>
          <w:rFonts w:eastAsia="仿宋_GB2312"/>
          <w:sz w:val="32"/>
          <w:szCs w:val="32"/>
        </w:rPr>
        <w:t>2101103</w:t>
      </w:r>
      <w:r>
        <w:rPr>
          <w:rFonts w:eastAsia="仿宋_GB2312"/>
          <w:sz w:val="32"/>
          <w:szCs w:val="32"/>
        </w:rPr>
        <w:t>公务员医疗补助：支出决算为</w:t>
      </w:r>
      <w:r>
        <w:rPr>
          <w:rFonts w:eastAsia="仿宋_GB2312"/>
          <w:sz w:val="32"/>
          <w:szCs w:val="32"/>
        </w:rPr>
        <w:t>5.28</w:t>
      </w:r>
      <w:r>
        <w:rPr>
          <w:rFonts w:eastAsia="仿宋_GB2312"/>
          <w:sz w:val="32"/>
          <w:szCs w:val="32"/>
        </w:rPr>
        <w:t>万元，完成预算</w:t>
      </w:r>
      <w:r>
        <w:rPr>
          <w:rFonts w:eastAsia="仿宋_GB2312"/>
          <w:sz w:val="32"/>
          <w:szCs w:val="32"/>
        </w:rPr>
        <w:t>100%</w:t>
      </w:r>
      <w:r>
        <w:rPr>
          <w:rFonts w:eastAsia="仿宋_GB2312"/>
          <w:sz w:val="32"/>
          <w:szCs w:val="32"/>
        </w:rPr>
        <w:t>，决算数等于预算数。</w:t>
      </w:r>
    </w:p>
    <w:p w:rsidR="00577046" w:rsidRDefault="002C6759">
      <w:pPr>
        <w:spacing w:line="600" w:lineRule="exact"/>
        <w:ind w:firstLineChars="200" w:firstLine="640"/>
        <w:rPr>
          <w:rFonts w:eastAsia="仿宋_GB2312"/>
          <w:sz w:val="32"/>
          <w:szCs w:val="32"/>
        </w:rPr>
      </w:pPr>
      <w:r>
        <w:rPr>
          <w:rFonts w:eastAsia="仿宋_GB2312"/>
          <w:sz w:val="32"/>
          <w:szCs w:val="32"/>
        </w:rPr>
        <w:t>2101199</w:t>
      </w:r>
      <w:r>
        <w:rPr>
          <w:rFonts w:eastAsia="仿宋_GB2312"/>
          <w:sz w:val="32"/>
          <w:szCs w:val="32"/>
        </w:rPr>
        <w:t>其他行政事业单位医疗支出：支出决算为</w:t>
      </w:r>
      <w:r>
        <w:rPr>
          <w:rFonts w:eastAsia="仿宋_GB2312"/>
          <w:sz w:val="32"/>
          <w:szCs w:val="32"/>
        </w:rPr>
        <w:t>5.55</w:t>
      </w:r>
      <w:r>
        <w:rPr>
          <w:rFonts w:eastAsia="仿宋_GB2312"/>
          <w:sz w:val="32"/>
          <w:szCs w:val="32"/>
        </w:rPr>
        <w:t>万元，完成预算</w:t>
      </w:r>
      <w:r>
        <w:rPr>
          <w:rFonts w:eastAsia="仿宋_GB2312"/>
          <w:sz w:val="32"/>
          <w:szCs w:val="32"/>
        </w:rPr>
        <w:t>100%</w:t>
      </w:r>
      <w:r>
        <w:rPr>
          <w:rFonts w:eastAsia="仿宋_GB2312"/>
          <w:sz w:val="32"/>
          <w:szCs w:val="32"/>
        </w:rPr>
        <w:t>，决算数等于预算数。</w:t>
      </w:r>
    </w:p>
    <w:p w:rsidR="00577046" w:rsidRDefault="002C6759">
      <w:pPr>
        <w:spacing w:line="600" w:lineRule="exact"/>
        <w:ind w:firstLineChars="200" w:firstLine="640"/>
        <w:rPr>
          <w:rFonts w:eastAsia="仿宋_GB2312"/>
          <w:sz w:val="32"/>
          <w:szCs w:val="32"/>
        </w:rPr>
      </w:pPr>
      <w:r>
        <w:rPr>
          <w:rFonts w:eastAsia="仿宋_GB2312"/>
          <w:sz w:val="32"/>
          <w:szCs w:val="32"/>
        </w:rPr>
        <w:t>2109999</w:t>
      </w:r>
      <w:r>
        <w:rPr>
          <w:rFonts w:eastAsia="仿宋_GB2312"/>
          <w:sz w:val="32"/>
          <w:szCs w:val="32"/>
        </w:rPr>
        <w:t>其他卫生健康支出：支出决算为</w:t>
      </w:r>
      <w:r>
        <w:rPr>
          <w:rFonts w:eastAsia="仿宋_GB2312"/>
          <w:sz w:val="32"/>
          <w:szCs w:val="32"/>
        </w:rPr>
        <w:t>0.08</w:t>
      </w:r>
      <w:r>
        <w:rPr>
          <w:rFonts w:eastAsia="仿宋_GB2312"/>
          <w:sz w:val="32"/>
          <w:szCs w:val="32"/>
        </w:rPr>
        <w:t>万元，完成预算</w:t>
      </w:r>
      <w:r>
        <w:rPr>
          <w:rFonts w:eastAsia="仿宋_GB2312"/>
          <w:sz w:val="32"/>
          <w:szCs w:val="32"/>
        </w:rPr>
        <w:t>100%</w:t>
      </w:r>
      <w:r>
        <w:rPr>
          <w:rFonts w:eastAsia="仿宋_GB2312"/>
          <w:sz w:val="32"/>
          <w:szCs w:val="32"/>
        </w:rPr>
        <w:t>，决算数等于预算数。</w:t>
      </w:r>
    </w:p>
    <w:p w:rsidR="00577046" w:rsidRDefault="002C6759">
      <w:pPr>
        <w:spacing w:line="600" w:lineRule="exact"/>
        <w:ind w:firstLineChars="200" w:firstLine="640"/>
        <w:rPr>
          <w:rFonts w:eastAsia="仿宋_GB2312"/>
          <w:sz w:val="32"/>
          <w:szCs w:val="32"/>
        </w:rPr>
      </w:pPr>
      <w:r>
        <w:rPr>
          <w:rFonts w:eastAsia="仿宋_GB2312"/>
          <w:sz w:val="32"/>
          <w:szCs w:val="32"/>
        </w:rPr>
        <w:t>2101501</w:t>
      </w:r>
      <w:r>
        <w:rPr>
          <w:rFonts w:eastAsia="仿宋_GB2312"/>
          <w:sz w:val="32"/>
          <w:szCs w:val="32"/>
        </w:rPr>
        <w:t>行政运行：支出决算为</w:t>
      </w:r>
      <w:r>
        <w:rPr>
          <w:rFonts w:eastAsia="仿宋_GB2312"/>
          <w:sz w:val="32"/>
          <w:szCs w:val="32"/>
        </w:rPr>
        <w:t>679.81</w:t>
      </w:r>
      <w:r>
        <w:rPr>
          <w:rFonts w:eastAsia="仿宋_GB2312"/>
          <w:sz w:val="32"/>
          <w:szCs w:val="32"/>
        </w:rPr>
        <w:t>万元，完成预算</w:t>
      </w:r>
      <w:r>
        <w:rPr>
          <w:rFonts w:eastAsia="仿宋_GB2312"/>
          <w:sz w:val="32"/>
          <w:szCs w:val="32"/>
        </w:rPr>
        <w:t>100%</w:t>
      </w:r>
      <w:r>
        <w:rPr>
          <w:rFonts w:eastAsia="仿宋_GB2312"/>
          <w:sz w:val="32"/>
          <w:szCs w:val="32"/>
        </w:rPr>
        <w:t>，决算数等于预算数。</w:t>
      </w:r>
    </w:p>
    <w:p w:rsidR="00577046" w:rsidRDefault="002C6759">
      <w:pPr>
        <w:spacing w:line="600" w:lineRule="exact"/>
        <w:ind w:firstLineChars="200" w:firstLine="640"/>
      </w:pPr>
      <w:r>
        <w:rPr>
          <w:rFonts w:eastAsia="仿宋_GB2312"/>
          <w:sz w:val="32"/>
          <w:szCs w:val="32"/>
        </w:rPr>
        <w:t>2101599</w:t>
      </w:r>
      <w:r>
        <w:rPr>
          <w:rFonts w:eastAsia="仿宋_GB2312"/>
          <w:sz w:val="32"/>
          <w:szCs w:val="32"/>
        </w:rPr>
        <w:t>其他医疗保障管理事务支出：支出决算为</w:t>
      </w:r>
      <w:r>
        <w:rPr>
          <w:rFonts w:eastAsia="仿宋_GB2312"/>
          <w:sz w:val="32"/>
          <w:szCs w:val="32"/>
        </w:rPr>
        <w:t>309.97</w:t>
      </w:r>
      <w:r>
        <w:rPr>
          <w:rFonts w:eastAsia="仿宋_GB2312"/>
          <w:sz w:val="32"/>
          <w:szCs w:val="32"/>
        </w:rPr>
        <w:t>万元，完成预算</w:t>
      </w:r>
      <w:r>
        <w:rPr>
          <w:rFonts w:eastAsia="仿宋_GB2312"/>
          <w:sz w:val="32"/>
          <w:szCs w:val="32"/>
        </w:rPr>
        <w:t>100%</w:t>
      </w:r>
      <w:r>
        <w:rPr>
          <w:rFonts w:eastAsia="仿宋_GB2312"/>
          <w:sz w:val="32"/>
          <w:szCs w:val="32"/>
        </w:rPr>
        <w:t>，决算数等于预算数。</w:t>
      </w:r>
    </w:p>
    <w:p w:rsidR="00577046" w:rsidRDefault="002C6759">
      <w:pPr>
        <w:numPr>
          <w:ilvl w:val="0"/>
          <w:numId w:val="1"/>
        </w:numPr>
        <w:spacing w:line="600" w:lineRule="exact"/>
        <w:ind w:firstLine="640"/>
        <w:rPr>
          <w:rFonts w:eastAsia="仿宋_GB2312"/>
          <w:sz w:val="32"/>
          <w:szCs w:val="32"/>
        </w:rPr>
      </w:pPr>
      <w:r>
        <w:rPr>
          <w:rFonts w:eastAsia="仿宋_GB2312"/>
          <w:sz w:val="32"/>
          <w:szCs w:val="32"/>
        </w:rPr>
        <w:t>住房保障支出</w:t>
      </w:r>
    </w:p>
    <w:p w:rsidR="00577046" w:rsidRDefault="002C6759">
      <w:pPr>
        <w:spacing w:line="600" w:lineRule="exact"/>
        <w:ind w:firstLine="640"/>
        <w:rPr>
          <w:rFonts w:eastAsia="黑体"/>
          <w:sz w:val="32"/>
          <w:szCs w:val="32"/>
        </w:rPr>
      </w:pPr>
      <w:r>
        <w:rPr>
          <w:rFonts w:eastAsia="仿宋_GB2312"/>
          <w:sz w:val="32"/>
          <w:szCs w:val="32"/>
        </w:rPr>
        <w:t>2210201</w:t>
      </w:r>
      <w:r>
        <w:rPr>
          <w:rFonts w:eastAsia="仿宋_GB2312"/>
          <w:sz w:val="32"/>
          <w:szCs w:val="32"/>
        </w:rPr>
        <w:t>住房公积金：支出决算为</w:t>
      </w:r>
      <w:r>
        <w:rPr>
          <w:rFonts w:eastAsia="仿宋_GB2312"/>
          <w:sz w:val="32"/>
          <w:szCs w:val="32"/>
        </w:rPr>
        <w:t>68.59</w:t>
      </w:r>
      <w:r>
        <w:rPr>
          <w:rFonts w:eastAsia="仿宋_GB2312"/>
          <w:sz w:val="32"/>
          <w:szCs w:val="32"/>
        </w:rPr>
        <w:t>万元，完成预算</w:t>
      </w:r>
      <w:r>
        <w:rPr>
          <w:rFonts w:eastAsia="仿宋_GB2312"/>
          <w:sz w:val="32"/>
          <w:szCs w:val="32"/>
        </w:rPr>
        <w:t>100%</w:t>
      </w:r>
      <w:r>
        <w:rPr>
          <w:rFonts w:eastAsia="仿宋_GB2312"/>
          <w:sz w:val="32"/>
          <w:szCs w:val="32"/>
        </w:rPr>
        <w:t>，决算数等于预算数。</w:t>
      </w:r>
      <w:bookmarkStart w:id="30" w:name="_Toc15377214"/>
      <w:bookmarkStart w:id="31" w:name="_Toc15396608"/>
    </w:p>
    <w:p w:rsidR="00577046" w:rsidRDefault="002C6759">
      <w:pPr>
        <w:tabs>
          <w:tab w:val="right" w:pos="8306"/>
        </w:tabs>
        <w:spacing w:line="600" w:lineRule="exact"/>
        <w:ind w:firstLine="640"/>
        <w:outlineLvl w:val="1"/>
        <w:rPr>
          <w:rStyle w:val="2Char"/>
          <w:rFonts w:ascii="Times New Roman" w:hAnsi="Times New Roman" w:cs="Times New Roman"/>
        </w:rPr>
      </w:pPr>
      <w:r>
        <w:rPr>
          <w:rFonts w:eastAsia="黑体"/>
          <w:sz w:val="32"/>
          <w:szCs w:val="32"/>
        </w:rPr>
        <w:t>六</w:t>
      </w:r>
      <w:r>
        <w:rPr>
          <w:rFonts w:eastAsia="黑体"/>
          <w:b/>
          <w:sz w:val="32"/>
          <w:szCs w:val="32"/>
        </w:rPr>
        <w:t>、一</w:t>
      </w:r>
      <w:r>
        <w:rPr>
          <w:rStyle w:val="2Char"/>
          <w:rFonts w:ascii="Times New Roman" w:eastAsia="黑体" w:hAnsi="Times New Roman" w:cs="Times New Roman"/>
          <w:b w:val="0"/>
        </w:rPr>
        <w:t>般公共预算财政拨款基本支出决算情况说明</w:t>
      </w:r>
      <w:bookmarkEnd w:id="30"/>
      <w:bookmarkEnd w:id="31"/>
      <w:r>
        <w:rPr>
          <w:rStyle w:val="2Char"/>
          <w:rFonts w:ascii="Times New Roman" w:eastAsia="黑体" w:hAnsi="Times New Roman" w:cs="Times New Roman"/>
          <w:b w:val="0"/>
        </w:rPr>
        <w:tab/>
      </w:r>
    </w:p>
    <w:p w:rsidR="00577046" w:rsidRDefault="002C6759">
      <w:pPr>
        <w:spacing w:line="600" w:lineRule="exact"/>
        <w:ind w:firstLine="640"/>
        <w:rPr>
          <w:rFonts w:eastAsia="仿宋_GB2312"/>
          <w:sz w:val="32"/>
          <w:szCs w:val="32"/>
        </w:rPr>
      </w:pPr>
      <w:r>
        <w:rPr>
          <w:rFonts w:eastAsia="仿宋_GB2312"/>
          <w:sz w:val="32"/>
          <w:szCs w:val="32"/>
        </w:rPr>
        <w:t>2024</w:t>
      </w:r>
      <w:r>
        <w:rPr>
          <w:rFonts w:eastAsia="仿宋_GB2312"/>
          <w:sz w:val="32"/>
          <w:szCs w:val="32"/>
        </w:rPr>
        <w:t>年度一般公共预算财政拨款基本支出</w:t>
      </w:r>
      <w:r>
        <w:rPr>
          <w:rFonts w:eastAsia="仿宋_GB2312"/>
          <w:sz w:val="32"/>
          <w:szCs w:val="32"/>
        </w:rPr>
        <w:t>951.32</w:t>
      </w:r>
      <w:r>
        <w:rPr>
          <w:rFonts w:eastAsia="仿宋_GB2312"/>
          <w:sz w:val="32"/>
          <w:szCs w:val="32"/>
        </w:rPr>
        <w:t>万元，其中：</w:t>
      </w:r>
    </w:p>
    <w:p w:rsidR="00577046" w:rsidRDefault="002C6759">
      <w:pPr>
        <w:spacing w:line="600" w:lineRule="exact"/>
        <w:ind w:firstLine="640"/>
        <w:rPr>
          <w:rFonts w:eastAsia="仿宋_GB2312"/>
          <w:sz w:val="32"/>
          <w:szCs w:val="32"/>
        </w:rPr>
      </w:pPr>
      <w:r>
        <w:rPr>
          <w:rFonts w:eastAsia="仿宋_GB2312"/>
          <w:sz w:val="32"/>
          <w:szCs w:val="32"/>
        </w:rPr>
        <w:t>人员经费</w:t>
      </w:r>
      <w:r>
        <w:rPr>
          <w:rFonts w:eastAsia="仿宋_GB2312"/>
          <w:sz w:val="32"/>
          <w:szCs w:val="32"/>
        </w:rPr>
        <w:t>856.03</w:t>
      </w:r>
      <w:r>
        <w:rPr>
          <w:rFonts w:eastAsia="仿宋_GB2312"/>
          <w:sz w:val="32"/>
          <w:szCs w:val="32"/>
        </w:rPr>
        <w:t>万元，主要包括：基本工资</w:t>
      </w:r>
      <w:r>
        <w:rPr>
          <w:rFonts w:eastAsia="仿宋_GB2312"/>
          <w:sz w:val="32"/>
          <w:szCs w:val="32"/>
        </w:rPr>
        <w:t>186.58</w:t>
      </w:r>
      <w:r>
        <w:rPr>
          <w:rFonts w:eastAsia="仿宋_GB2312"/>
          <w:sz w:val="32"/>
          <w:szCs w:val="32"/>
        </w:rPr>
        <w:t>万元、津贴补贴</w:t>
      </w:r>
      <w:r>
        <w:rPr>
          <w:rFonts w:eastAsia="仿宋_GB2312"/>
          <w:sz w:val="32"/>
          <w:szCs w:val="32"/>
        </w:rPr>
        <w:t>167.93</w:t>
      </w:r>
      <w:r>
        <w:rPr>
          <w:rFonts w:eastAsia="仿宋_GB2312"/>
          <w:sz w:val="32"/>
          <w:szCs w:val="32"/>
        </w:rPr>
        <w:t>万元、奖金</w:t>
      </w:r>
      <w:r>
        <w:rPr>
          <w:rFonts w:eastAsia="仿宋_GB2312"/>
          <w:sz w:val="32"/>
          <w:szCs w:val="32"/>
        </w:rPr>
        <w:t>230.29</w:t>
      </w:r>
      <w:r>
        <w:rPr>
          <w:rFonts w:eastAsia="仿宋_GB2312"/>
          <w:sz w:val="32"/>
          <w:szCs w:val="32"/>
        </w:rPr>
        <w:t>万元、机关事业单位基本养老保险缴费</w:t>
      </w:r>
      <w:r>
        <w:rPr>
          <w:rFonts w:eastAsia="仿宋_GB2312"/>
          <w:sz w:val="32"/>
          <w:szCs w:val="32"/>
        </w:rPr>
        <w:t>83.32</w:t>
      </w:r>
      <w:r>
        <w:rPr>
          <w:rFonts w:eastAsia="仿宋_GB2312"/>
          <w:sz w:val="32"/>
          <w:szCs w:val="32"/>
        </w:rPr>
        <w:t>万元、职工基本医疗保险缴费</w:t>
      </w:r>
      <w:r>
        <w:rPr>
          <w:rFonts w:eastAsia="仿宋_GB2312"/>
          <w:sz w:val="32"/>
          <w:szCs w:val="32"/>
        </w:rPr>
        <w:t>44.37</w:t>
      </w:r>
      <w:r>
        <w:rPr>
          <w:rFonts w:eastAsia="仿宋_GB2312"/>
          <w:sz w:val="32"/>
          <w:szCs w:val="32"/>
        </w:rPr>
        <w:t>万元、公务员医疗补助缴费</w:t>
      </w:r>
      <w:r>
        <w:rPr>
          <w:rFonts w:eastAsia="仿宋_GB2312"/>
          <w:sz w:val="32"/>
          <w:szCs w:val="32"/>
        </w:rPr>
        <w:t>10.83</w:t>
      </w:r>
      <w:r>
        <w:rPr>
          <w:rFonts w:eastAsia="仿宋_GB2312"/>
          <w:sz w:val="32"/>
          <w:szCs w:val="32"/>
        </w:rPr>
        <w:t>万元、其他社会保障缴费</w:t>
      </w:r>
      <w:r>
        <w:rPr>
          <w:rFonts w:eastAsia="仿宋_GB2312"/>
          <w:sz w:val="32"/>
          <w:szCs w:val="32"/>
        </w:rPr>
        <w:t>0.86</w:t>
      </w:r>
      <w:r>
        <w:rPr>
          <w:rFonts w:eastAsia="仿宋_GB2312"/>
          <w:sz w:val="32"/>
          <w:szCs w:val="32"/>
        </w:rPr>
        <w:t>万元、住房公积金</w:t>
      </w:r>
      <w:r>
        <w:rPr>
          <w:rFonts w:eastAsia="仿宋_GB2312"/>
          <w:sz w:val="32"/>
          <w:szCs w:val="32"/>
        </w:rPr>
        <w:t>68.59</w:t>
      </w:r>
      <w:r>
        <w:rPr>
          <w:rFonts w:eastAsia="仿宋_GB2312"/>
          <w:sz w:val="32"/>
          <w:szCs w:val="32"/>
        </w:rPr>
        <w:t>万元、对个人和家庭的补助</w:t>
      </w:r>
      <w:r>
        <w:rPr>
          <w:rFonts w:eastAsia="仿宋_GB2312"/>
          <w:sz w:val="32"/>
          <w:szCs w:val="32"/>
        </w:rPr>
        <w:t>63.26</w:t>
      </w:r>
      <w:r>
        <w:rPr>
          <w:rFonts w:eastAsia="仿宋_GB2312"/>
          <w:sz w:val="32"/>
          <w:szCs w:val="32"/>
        </w:rPr>
        <w:t>万元。</w:t>
      </w:r>
      <w:r>
        <w:rPr>
          <w:rFonts w:eastAsia="仿宋_GB2312"/>
          <w:sz w:val="32"/>
          <w:szCs w:val="32"/>
        </w:rPr>
        <w:br/>
      </w:r>
      <w:r>
        <w:rPr>
          <w:rFonts w:eastAsia="仿宋_GB2312"/>
          <w:sz w:val="32"/>
          <w:szCs w:val="32"/>
        </w:rPr>
        <w:t xml:space="preserve">　　公用经费</w:t>
      </w:r>
      <w:r>
        <w:rPr>
          <w:rFonts w:eastAsia="仿宋_GB2312"/>
          <w:sz w:val="32"/>
          <w:szCs w:val="32"/>
        </w:rPr>
        <w:t>95.29</w:t>
      </w:r>
      <w:r>
        <w:rPr>
          <w:rFonts w:eastAsia="仿宋_GB2312"/>
          <w:sz w:val="32"/>
          <w:szCs w:val="32"/>
        </w:rPr>
        <w:t>万元，主要包括：办公费</w:t>
      </w:r>
      <w:r>
        <w:rPr>
          <w:rFonts w:eastAsia="仿宋_GB2312"/>
          <w:sz w:val="32"/>
          <w:szCs w:val="32"/>
        </w:rPr>
        <w:t>3.36</w:t>
      </w:r>
      <w:r>
        <w:rPr>
          <w:rFonts w:eastAsia="仿宋_GB2312"/>
          <w:sz w:val="32"/>
          <w:szCs w:val="32"/>
        </w:rPr>
        <w:t>万元、印刷费</w:t>
      </w:r>
      <w:r>
        <w:rPr>
          <w:rFonts w:eastAsia="仿宋_GB2312"/>
          <w:sz w:val="32"/>
          <w:szCs w:val="32"/>
        </w:rPr>
        <w:t>0.05</w:t>
      </w:r>
      <w:r>
        <w:rPr>
          <w:rFonts w:eastAsia="仿宋_GB2312"/>
          <w:sz w:val="32"/>
          <w:szCs w:val="32"/>
        </w:rPr>
        <w:t>万元、水费</w:t>
      </w:r>
      <w:r>
        <w:rPr>
          <w:rFonts w:eastAsia="仿宋_GB2312"/>
          <w:sz w:val="32"/>
          <w:szCs w:val="32"/>
        </w:rPr>
        <w:t>0.12</w:t>
      </w:r>
      <w:r>
        <w:rPr>
          <w:rFonts w:eastAsia="仿宋_GB2312"/>
          <w:sz w:val="32"/>
          <w:szCs w:val="32"/>
        </w:rPr>
        <w:t>万元、邮电费</w:t>
      </w:r>
      <w:r>
        <w:rPr>
          <w:rFonts w:eastAsia="仿宋_GB2312"/>
          <w:sz w:val="32"/>
          <w:szCs w:val="32"/>
        </w:rPr>
        <w:t>3.93</w:t>
      </w:r>
      <w:r>
        <w:rPr>
          <w:rFonts w:eastAsia="仿宋_GB2312"/>
          <w:sz w:val="32"/>
          <w:szCs w:val="32"/>
        </w:rPr>
        <w:t>万元、差旅费</w:t>
      </w:r>
      <w:r>
        <w:rPr>
          <w:rFonts w:eastAsia="仿宋_GB2312"/>
          <w:sz w:val="32"/>
          <w:szCs w:val="32"/>
        </w:rPr>
        <w:t>12.55</w:t>
      </w:r>
      <w:r>
        <w:rPr>
          <w:rFonts w:eastAsia="仿宋_GB2312"/>
          <w:sz w:val="32"/>
          <w:szCs w:val="32"/>
        </w:rPr>
        <w:t>万元、维修（护）费</w:t>
      </w:r>
      <w:r>
        <w:rPr>
          <w:rFonts w:eastAsia="仿宋_GB2312"/>
          <w:sz w:val="32"/>
          <w:szCs w:val="32"/>
        </w:rPr>
        <w:t>1.58</w:t>
      </w:r>
      <w:r>
        <w:rPr>
          <w:rFonts w:eastAsia="仿宋_GB2312"/>
          <w:sz w:val="32"/>
          <w:szCs w:val="32"/>
        </w:rPr>
        <w:t>万元、租赁费</w:t>
      </w:r>
      <w:r>
        <w:rPr>
          <w:rFonts w:eastAsia="仿宋_GB2312"/>
          <w:sz w:val="32"/>
          <w:szCs w:val="32"/>
        </w:rPr>
        <w:t>0.48</w:t>
      </w:r>
      <w:r>
        <w:rPr>
          <w:rFonts w:eastAsia="仿宋_GB2312"/>
          <w:sz w:val="32"/>
          <w:szCs w:val="32"/>
        </w:rPr>
        <w:t>万元、培训费</w:t>
      </w:r>
      <w:r>
        <w:rPr>
          <w:rFonts w:eastAsia="仿宋_GB2312"/>
          <w:sz w:val="32"/>
          <w:szCs w:val="32"/>
        </w:rPr>
        <w:t>0.14</w:t>
      </w:r>
      <w:r>
        <w:rPr>
          <w:rFonts w:eastAsia="仿宋_GB2312"/>
          <w:sz w:val="32"/>
          <w:szCs w:val="32"/>
        </w:rPr>
        <w:t>万元、公务接待费</w:t>
      </w:r>
      <w:r>
        <w:rPr>
          <w:rFonts w:eastAsia="仿宋_GB2312"/>
          <w:sz w:val="32"/>
          <w:szCs w:val="32"/>
        </w:rPr>
        <w:t>0.46</w:t>
      </w:r>
      <w:r>
        <w:rPr>
          <w:rFonts w:eastAsia="仿宋_GB2312"/>
          <w:sz w:val="32"/>
          <w:szCs w:val="32"/>
        </w:rPr>
        <w:t>万元、劳务费</w:t>
      </w:r>
      <w:r>
        <w:rPr>
          <w:rFonts w:eastAsia="仿宋_GB2312"/>
          <w:sz w:val="32"/>
          <w:szCs w:val="32"/>
        </w:rPr>
        <w:t>16.33</w:t>
      </w:r>
      <w:r>
        <w:rPr>
          <w:rFonts w:eastAsia="仿宋_GB2312"/>
          <w:sz w:val="32"/>
          <w:szCs w:val="32"/>
        </w:rPr>
        <w:t>万元、工会经费</w:t>
      </w:r>
      <w:r>
        <w:rPr>
          <w:rFonts w:eastAsia="仿宋_GB2312"/>
          <w:sz w:val="32"/>
          <w:szCs w:val="32"/>
        </w:rPr>
        <w:t>11.33</w:t>
      </w:r>
      <w:r>
        <w:rPr>
          <w:rFonts w:eastAsia="仿宋_GB2312"/>
          <w:sz w:val="32"/>
          <w:szCs w:val="32"/>
        </w:rPr>
        <w:t>万元、福利费</w:t>
      </w:r>
      <w:r>
        <w:rPr>
          <w:rFonts w:eastAsia="仿宋_GB2312"/>
          <w:sz w:val="32"/>
          <w:szCs w:val="32"/>
        </w:rPr>
        <w:t>2.78</w:t>
      </w:r>
      <w:r>
        <w:rPr>
          <w:rFonts w:eastAsia="仿宋_GB2312"/>
          <w:sz w:val="32"/>
          <w:szCs w:val="32"/>
        </w:rPr>
        <w:t>万元、其他商品和服务支出</w:t>
      </w:r>
      <w:r>
        <w:rPr>
          <w:rFonts w:eastAsia="仿宋_GB2312"/>
          <w:sz w:val="32"/>
          <w:szCs w:val="32"/>
        </w:rPr>
        <w:t>3.34</w:t>
      </w:r>
      <w:r>
        <w:rPr>
          <w:rFonts w:eastAsia="仿宋_GB2312"/>
          <w:sz w:val="32"/>
          <w:szCs w:val="32"/>
        </w:rPr>
        <w:t>万元，其他交通费用</w:t>
      </w:r>
      <w:r>
        <w:rPr>
          <w:rFonts w:eastAsia="仿宋_GB2312"/>
          <w:sz w:val="32"/>
          <w:szCs w:val="32"/>
        </w:rPr>
        <w:t>38.84</w:t>
      </w:r>
      <w:r>
        <w:rPr>
          <w:rFonts w:eastAsia="仿宋_GB2312"/>
          <w:sz w:val="32"/>
          <w:szCs w:val="32"/>
        </w:rPr>
        <w:t>万元。</w:t>
      </w:r>
    </w:p>
    <w:p w:rsidR="00577046" w:rsidRDefault="002C6759">
      <w:pPr>
        <w:spacing w:line="600" w:lineRule="exact"/>
        <w:ind w:firstLine="640"/>
        <w:outlineLvl w:val="1"/>
        <w:rPr>
          <w:rStyle w:val="2Char"/>
          <w:rFonts w:ascii="Times New Roman" w:eastAsia="黑体" w:hAnsi="Times New Roman" w:cs="Times New Roman"/>
          <w:b w:val="0"/>
        </w:rPr>
      </w:pPr>
      <w:bookmarkStart w:id="32" w:name="_Toc15396609"/>
      <w:bookmarkStart w:id="33" w:name="_Toc15377215"/>
      <w:r>
        <w:rPr>
          <w:rFonts w:eastAsia="黑体"/>
          <w:sz w:val="32"/>
          <w:szCs w:val="32"/>
        </w:rPr>
        <w:t>七、</w:t>
      </w:r>
      <w:r>
        <w:rPr>
          <w:rStyle w:val="2Char"/>
          <w:rFonts w:ascii="Times New Roman" w:eastAsia="黑体" w:hAnsi="Times New Roman" w:cs="Times New Roman"/>
          <w:b w:val="0"/>
        </w:rPr>
        <w:t>财政拨款</w:t>
      </w:r>
      <w:r>
        <w:rPr>
          <w:rStyle w:val="2Char"/>
          <w:rFonts w:ascii="Times New Roman" w:eastAsia="黑体" w:hAnsi="Times New Roman" w:cs="Times New Roman"/>
        </w:rPr>
        <w:t>“</w:t>
      </w:r>
      <w:r>
        <w:rPr>
          <w:rStyle w:val="2Char"/>
          <w:rFonts w:ascii="Times New Roman" w:eastAsia="黑体" w:hAnsi="Times New Roman" w:cs="Times New Roman"/>
          <w:b w:val="0"/>
        </w:rPr>
        <w:t>三公</w:t>
      </w:r>
      <w:r>
        <w:rPr>
          <w:rStyle w:val="2Char"/>
          <w:rFonts w:ascii="Times New Roman" w:eastAsia="黑体" w:hAnsi="Times New Roman" w:cs="Times New Roman"/>
          <w:b w:val="0"/>
        </w:rPr>
        <w:t>”</w:t>
      </w:r>
      <w:r>
        <w:rPr>
          <w:rStyle w:val="2Char"/>
          <w:rFonts w:ascii="Times New Roman" w:eastAsia="黑体" w:hAnsi="Times New Roman" w:cs="Times New Roman"/>
          <w:b w:val="0"/>
        </w:rPr>
        <w:t>经费支出决算情况说明</w:t>
      </w:r>
      <w:bookmarkEnd w:id="32"/>
      <w:bookmarkEnd w:id="33"/>
    </w:p>
    <w:p w:rsidR="00577046" w:rsidRDefault="002C6759">
      <w:pPr>
        <w:spacing w:line="600" w:lineRule="exact"/>
        <w:ind w:firstLineChars="200" w:firstLine="643"/>
        <w:outlineLvl w:val="2"/>
        <w:rPr>
          <w:rFonts w:eastAsia="楷体_GB2312"/>
          <w:b/>
          <w:sz w:val="32"/>
          <w:szCs w:val="32"/>
        </w:rPr>
      </w:pPr>
      <w:bookmarkStart w:id="34" w:name="_Toc15377216"/>
      <w:r>
        <w:rPr>
          <w:rFonts w:eastAsia="楷体_GB2312"/>
          <w:b/>
          <w:sz w:val="32"/>
          <w:szCs w:val="32"/>
        </w:rPr>
        <w:t>（一）</w:t>
      </w:r>
      <w:r>
        <w:rPr>
          <w:rFonts w:eastAsia="楷体_GB2312"/>
          <w:b/>
          <w:sz w:val="32"/>
          <w:szCs w:val="32"/>
        </w:rPr>
        <w:t>“</w:t>
      </w:r>
      <w:r>
        <w:rPr>
          <w:rFonts w:eastAsia="楷体_GB2312"/>
          <w:b/>
          <w:sz w:val="32"/>
          <w:szCs w:val="32"/>
        </w:rPr>
        <w:t>三公</w:t>
      </w:r>
      <w:r>
        <w:rPr>
          <w:rFonts w:eastAsia="楷体_GB2312"/>
          <w:b/>
          <w:sz w:val="32"/>
          <w:szCs w:val="32"/>
        </w:rPr>
        <w:t>”</w:t>
      </w:r>
      <w:r>
        <w:rPr>
          <w:rFonts w:eastAsia="楷体_GB2312"/>
          <w:b/>
          <w:sz w:val="32"/>
          <w:szCs w:val="32"/>
        </w:rPr>
        <w:t>经费财政拨款支出决算总体情况说明</w:t>
      </w:r>
      <w:bookmarkEnd w:id="34"/>
    </w:p>
    <w:p w:rsidR="00577046" w:rsidRDefault="002C6759">
      <w:pPr>
        <w:spacing w:line="600" w:lineRule="exact"/>
        <w:ind w:firstLine="640"/>
        <w:rPr>
          <w:rFonts w:eastAsia="仿宋_GB2312"/>
          <w:sz w:val="32"/>
          <w:szCs w:val="32"/>
        </w:rPr>
      </w:pPr>
      <w:r>
        <w:rPr>
          <w:rFonts w:eastAsia="仿宋_GB2312"/>
          <w:sz w:val="32"/>
          <w:szCs w:val="32"/>
        </w:rPr>
        <w:t>2024</w:t>
      </w:r>
      <w:r>
        <w:rPr>
          <w:rFonts w:eastAsia="仿宋_GB2312"/>
          <w:sz w:val="32"/>
          <w:szCs w:val="32"/>
        </w:rPr>
        <w:t>年度</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经费财政拨款支出决算为</w:t>
      </w:r>
      <w:r>
        <w:rPr>
          <w:rFonts w:eastAsia="仿宋_GB2312"/>
          <w:sz w:val="32"/>
          <w:szCs w:val="32"/>
        </w:rPr>
        <w:t>0.46</w:t>
      </w:r>
      <w:r>
        <w:rPr>
          <w:rFonts w:eastAsia="仿宋_GB2312"/>
          <w:sz w:val="32"/>
          <w:szCs w:val="32"/>
        </w:rPr>
        <w:t>万元，完成预算</w:t>
      </w:r>
      <w:r>
        <w:rPr>
          <w:rFonts w:eastAsia="仿宋_GB2312"/>
          <w:sz w:val="32"/>
          <w:szCs w:val="32"/>
        </w:rPr>
        <w:t>100%</w:t>
      </w:r>
      <w:r>
        <w:rPr>
          <w:rFonts w:eastAsia="仿宋_GB2312"/>
          <w:sz w:val="32"/>
          <w:szCs w:val="32"/>
        </w:rPr>
        <w:t>，较上年度减少</w:t>
      </w:r>
      <w:r>
        <w:rPr>
          <w:rFonts w:eastAsia="仿宋_GB2312"/>
          <w:sz w:val="32"/>
          <w:szCs w:val="32"/>
        </w:rPr>
        <w:t>0.27</w:t>
      </w:r>
      <w:r>
        <w:rPr>
          <w:rFonts w:eastAsia="仿宋_GB2312"/>
          <w:sz w:val="32"/>
          <w:szCs w:val="32"/>
        </w:rPr>
        <w:t>万元，下降</w:t>
      </w:r>
      <w:r>
        <w:rPr>
          <w:rFonts w:eastAsia="仿宋_GB2312"/>
          <w:sz w:val="32"/>
          <w:szCs w:val="32"/>
        </w:rPr>
        <w:t>37%</w:t>
      </w:r>
      <w:r>
        <w:rPr>
          <w:rFonts w:eastAsia="仿宋_GB2312"/>
          <w:sz w:val="32"/>
          <w:szCs w:val="32"/>
        </w:rPr>
        <w:t>。决算数与预算数持平。</w:t>
      </w:r>
    </w:p>
    <w:p w:rsidR="00577046" w:rsidRDefault="002C6759">
      <w:pPr>
        <w:spacing w:line="600" w:lineRule="exact"/>
        <w:ind w:firstLineChars="200" w:firstLine="643"/>
        <w:outlineLvl w:val="2"/>
        <w:rPr>
          <w:rFonts w:eastAsia="楷体_GB2312"/>
          <w:b/>
          <w:sz w:val="32"/>
          <w:szCs w:val="32"/>
        </w:rPr>
      </w:pPr>
      <w:bookmarkStart w:id="35" w:name="_Toc15377217"/>
      <w:r>
        <w:rPr>
          <w:rFonts w:eastAsia="楷体_GB2312"/>
          <w:b/>
          <w:sz w:val="32"/>
          <w:szCs w:val="32"/>
        </w:rPr>
        <w:t>（二）</w:t>
      </w:r>
      <w:r>
        <w:rPr>
          <w:rFonts w:eastAsia="楷体_GB2312"/>
          <w:b/>
          <w:sz w:val="32"/>
          <w:szCs w:val="32"/>
        </w:rPr>
        <w:t>“</w:t>
      </w:r>
      <w:r>
        <w:rPr>
          <w:rFonts w:eastAsia="楷体_GB2312"/>
          <w:b/>
          <w:sz w:val="32"/>
          <w:szCs w:val="32"/>
        </w:rPr>
        <w:t>三公</w:t>
      </w:r>
      <w:r>
        <w:rPr>
          <w:rFonts w:eastAsia="楷体_GB2312"/>
          <w:b/>
          <w:sz w:val="32"/>
          <w:szCs w:val="32"/>
        </w:rPr>
        <w:t>”</w:t>
      </w:r>
      <w:r>
        <w:rPr>
          <w:rFonts w:eastAsia="楷体_GB2312"/>
          <w:b/>
          <w:sz w:val="32"/>
          <w:szCs w:val="32"/>
        </w:rPr>
        <w:t>经费财政拨款支出决算具体情况说明</w:t>
      </w:r>
      <w:bookmarkEnd w:id="35"/>
    </w:p>
    <w:p w:rsidR="00577046" w:rsidRDefault="002C6759">
      <w:pPr>
        <w:spacing w:line="360" w:lineRule="auto"/>
        <w:ind w:firstLine="640"/>
        <w:rPr>
          <w:rFonts w:eastAsia="仿宋_GB2312"/>
          <w:sz w:val="32"/>
          <w:szCs w:val="32"/>
        </w:rPr>
      </w:pPr>
      <w:r>
        <w:rPr>
          <w:rFonts w:eastAsia="仿宋_GB2312"/>
          <w:sz w:val="32"/>
          <w:szCs w:val="32"/>
        </w:rPr>
        <w:t>2024</w:t>
      </w:r>
      <w:r>
        <w:rPr>
          <w:rFonts w:eastAsia="仿宋_GB2312"/>
          <w:sz w:val="32"/>
          <w:szCs w:val="32"/>
        </w:rPr>
        <w:t>年度</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经费财政拨款支出决算中，因公出国（境）费支出决算</w:t>
      </w:r>
      <w:r>
        <w:rPr>
          <w:rFonts w:eastAsia="仿宋_GB2312"/>
          <w:sz w:val="32"/>
          <w:szCs w:val="32"/>
        </w:rPr>
        <w:t>0</w:t>
      </w:r>
      <w:r>
        <w:rPr>
          <w:rFonts w:eastAsia="仿宋_GB2312"/>
          <w:sz w:val="32"/>
          <w:szCs w:val="32"/>
        </w:rPr>
        <w:t>万元，占</w:t>
      </w:r>
      <w:r>
        <w:rPr>
          <w:rFonts w:eastAsia="仿宋_GB2312"/>
          <w:sz w:val="32"/>
          <w:szCs w:val="32"/>
        </w:rPr>
        <w:t>0%</w:t>
      </w:r>
      <w:r>
        <w:rPr>
          <w:rFonts w:eastAsia="仿宋_GB2312"/>
          <w:sz w:val="32"/>
          <w:szCs w:val="32"/>
        </w:rPr>
        <w:t>；公务用车购置及运行维护费支出决算</w:t>
      </w:r>
      <w:r>
        <w:rPr>
          <w:rFonts w:eastAsia="仿宋_GB2312"/>
          <w:sz w:val="32"/>
          <w:szCs w:val="32"/>
        </w:rPr>
        <w:t>0</w:t>
      </w:r>
      <w:r>
        <w:rPr>
          <w:rFonts w:eastAsia="仿宋_GB2312"/>
          <w:sz w:val="32"/>
          <w:szCs w:val="32"/>
        </w:rPr>
        <w:t>万元，占</w:t>
      </w:r>
      <w:r>
        <w:rPr>
          <w:rFonts w:eastAsia="仿宋_GB2312"/>
          <w:sz w:val="32"/>
          <w:szCs w:val="32"/>
        </w:rPr>
        <w:t>0%</w:t>
      </w:r>
      <w:r>
        <w:rPr>
          <w:rFonts w:eastAsia="仿宋_GB2312"/>
          <w:sz w:val="32"/>
          <w:szCs w:val="32"/>
        </w:rPr>
        <w:t>；公务接待费支出决算</w:t>
      </w:r>
      <w:r>
        <w:rPr>
          <w:rFonts w:eastAsia="仿宋_GB2312"/>
          <w:sz w:val="32"/>
          <w:szCs w:val="32"/>
        </w:rPr>
        <w:t>0.46</w:t>
      </w:r>
      <w:r>
        <w:rPr>
          <w:rFonts w:eastAsia="仿宋_GB2312"/>
          <w:sz w:val="32"/>
          <w:szCs w:val="32"/>
        </w:rPr>
        <w:t>万元，占</w:t>
      </w:r>
      <w:r>
        <w:rPr>
          <w:rFonts w:eastAsia="仿宋_GB2312"/>
          <w:sz w:val="32"/>
          <w:szCs w:val="32"/>
        </w:rPr>
        <w:t>100%</w:t>
      </w:r>
      <w:r>
        <w:rPr>
          <w:rFonts w:eastAsia="仿宋_GB2312"/>
          <w:sz w:val="32"/>
          <w:szCs w:val="32"/>
        </w:rPr>
        <w:t>。具体情况如下：</w:t>
      </w:r>
    </w:p>
    <w:p w:rsidR="00577046" w:rsidRDefault="002C6759">
      <w:pPr>
        <w:pStyle w:val="20"/>
        <w:ind w:left="420" w:firstLine="640"/>
        <w:rPr>
          <w:rFonts w:ascii="Times New Roman"/>
        </w:rPr>
      </w:pPr>
      <w:r>
        <w:rPr>
          <w:rFonts w:ascii="Times New Roman" w:eastAsia="仿宋_GB2312"/>
          <w:noProof/>
          <w:sz w:val="32"/>
        </w:rPr>
        <w:drawing>
          <wp:anchor distT="0" distB="0" distL="114300" distR="114300" simplePos="0" relativeHeight="251661312" behindDoc="0" locked="0" layoutInCell="1" allowOverlap="1">
            <wp:simplePos x="0" y="0"/>
            <wp:positionH relativeFrom="column">
              <wp:posOffset>276225</wp:posOffset>
            </wp:positionH>
            <wp:positionV relativeFrom="paragraph">
              <wp:posOffset>-3810</wp:posOffset>
            </wp:positionV>
            <wp:extent cx="5181600" cy="2143125"/>
            <wp:effectExtent l="0" t="0" r="19050" b="9525"/>
            <wp:wrapNone/>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577046" w:rsidRDefault="00577046">
      <w:pPr>
        <w:pStyle w:val="20"/>
        <w:ind w:left="420"/>
        <w:rPr>
          <w:rFonts w:ascii="Times New Roman"/>
        </w:rPr>
      </w:pPr>
    </w:p>
    <w:p w:rsidR="00577046" w:rsidRDefault="00577046">
      <w:pPr>
        <w:pStyle w:val="20"/>
        <w:ind w:left="420"/>
        <w:rPr>
          <w:rFonts w:ascii="Times New Roman"/>
        </w:rPr>
      </w:pPr>
    </w:p>
    <w:p w:rsidR="00577046" w:rsidRDefault="00577046">
      <w:pPr>
        <w:pStyle w:val="20"/>
        <w:ind w:left="420"/>
        <w:rPr>
          <w:rFonts w:ascii="Times New Roman"/>
        </w:rPr>
      </w:pPr>
    </w:p>
    <w:p w:rsidR="00577046" w:rsidRDefault="00577046">
      <w:pPr>
        <w:pStyle w:val="20"/>
        <w:ind w:left="420"/>
        <w:rPr>
          <w:rFonts w:ascii="Times New Roman"/>
        </w:rPr>
      </w:pPr>
    </w:p>
    <w:p w:rsidR="00577046" w:rsidRDefault="00577046">
      <w:pPr>
        <w:spacing w:line="600" w:lineRule="exact"/>
        <w:ind w:firstLine="640"/>
        <w:rPr>
          <w:rFonts w:eastAsia="仿宋_GB2312"/>
          <w:sz w:val="32"/>
          <w:szCs w:val="32"/>
        </w:rPr>
      </w:pPr>
    </w:p>
    <w:p w:rsidR="00577046" w:rsidRDefault="00577046">
      <w:pPr>
        <w:spacing w:line="600" w:lineRule="exact"/>
        <w:rPr>
          <w:rFonts w:eastAsia="仿宋_GB2312"/>
          <w:sz w:val="32"/>
          <w:szCs w:val="32"/>
        </w:rPr>
      </w:pPr>
    </w:p>
    <w:p w:rsidR="00577046" w:rsidRDefault="002C6759">
      <w:pPr>
        <w:spacing w:line="600" w:lineRule="exact"/>
        <w:ind w:firstLine="640"/>
        <w:rPr>
          <w:rFonts w:eastAsia="仿宋_GB2312"/>
          <w:sz w:val="32"/>
          <w:szCs w:val="32"/>
        </w:rPr>
      </w:pPr>
      <w:r>
        <w:rPr>
          <w:rFonts w:eastAsia="仿宋_GB2312"/>
          <w:sz w:val="32"/>
          <w:szCs w:val="32"/>
        </w:rPr>
        <w:t>（图</w:t>
      </w:r>
      <w:r>
        <w:rPr>
          <w:rFonts w:eastAsia="仿宋_GB2312"/>
          <w:sz w:val="32"/>
          <w:szCs w:val="32"/>
        </w:rPr>
        <w:t>7</w:t>
      </w:r>
      <w:r>
        <w:rPr>
          <w:rFonts w:eastAsia="仿宋_GB2312"/>
          <w:sz w:val="32"/>
          <w:szCs w:val="32"/>
        </w:rPr>
        <w:t>：</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经费财政拨款支出结构）（饼状图）</w:t>
      </w:r>
    </w:p>
    <w:p w:rsidR="00577046" w:rsidRDefault="002C6759">
      <w:pPr>
        <w:spacing w:line="600" w:lineRule="exact"/>
        <w:ind w:firstLine="640"/>
        <w:rPr>
          <w:rFonts w:eastAsia="仿宋_GB2312"/>
          <w:sz w:val="32"/>
          <w:szCs w:val="32"/>
        </w:rPr>
      </w:pPr>
      <w:r>
        <w:rPr>
          <w:rFonts w:eastAsia="仿宋_GB2312"/>
          <w:b/>
          <w:bCs/>
          <w:sz w:val="32"/>
          <w:szCs w:val="32"/>
        </w:rPr>
        <w:t>1.</w:t>
      </w:r>
      <w:r>
        <w:rPr>
          <w:rFonts w:eastAsia="仿宋_GB2312"/>
          <w:b/>
          <w:bCs/>
          <w:sz w:val="32"/>
          <w:szCs w:val="32"/>
        </w:rPr>
        <w:t>因公出国（境）经费支出</w:t>
      </w:r>
      <w:r>
        <w:rPr>
          <w:rFonts w:eastAsia="仿宋_GB2312"/>
          <w:b/>
          <w:bCs/>
          <w:sz w:val="32"/>
          <w:szCs w:val="32"/>
        </w:rPr>
        <w:t>0</w:t>
      </w:r>
      <w:r>
        <w:rPr>
          <w:rFonts w:eastAsia="仿宋_GB2312"/>
          <w:b/>
          <w:bCs/>
          <w:sz w:val="32"/>
          <w:szCs w:val="32"/>
        </w:rPr>
        <w:t>万元，完成预算</w:t>
      </w:r>
      <w:r>
        <w:rPr>
          <w:rFonts w:eastAsia="仿宋_GB2312"/>
          <w:b/>
          <w:bCs/>
          <w:sz w:val="32"/>
          <w:szCs w:val="32"/>
        </w:rPr>
        <w:t>0%</w:t>
      </w:r>
      <w:r>
        <w:rPr>
          <w:rFonts w:eastAsia="仿宋_GB2312"/>
          <w:b/>
          <w:bCs/>
          <w:sz w:val="32"/>
          <w:szCs w:val="32"/>
        </w:rPr>
        <w:t>。</w:t>
      </w:r>
      <w:r>
        <w:rPr>
          <w:rFonts w:eastAsia="仿宋_GB2312"/>
          <w:sz w:val="32"/>
          <w:szCs w:val="32"/>
        </w:rPr>
        <w:t>全年安排因公出国（境）团组</w:t>
      </w:r>
      <w:r>
        <w:rPr>
          <w:rFonts w:eastAsia="仿宋_GB2312"/>
          <w:sz w:val="32"/>
          <w:szCs w:val="32"/>
        </w:rPr>
        <w:t>0</w:t>
      </w:r>
      <w:r>
        <w:rPr>
          <w:rFonts w:eastAsia="仿宋_GB2312"/>
          <w:sz w:val="32"/>
          <w:szCs w:val="32"/>
        </w:rPr>
        <w:t>次，出国（境）</w:t>
      </w:r>
      <w:r>
        <w:rPr>
          <w:rFonts w:eastAsia="仿宋_GB2312"/>
          <w:sz w:val="32"/>
          <w:szCs w:val="32"/>
        </w:rPr>
        <w:t>0</w:t>
      </w:r>
      <w:r>
        <w:rPr>
          <w:rFonts w:eastAsia="仿宋_GB2312"/>
          <w:sz w:val="32"/>
          <w:szCs w:val="32"/>
        </w:rPr>
        <w:t>人。因公出国（境）支出决算与</w:t>
      </w:r>
      <w:r>
        <w:rPr>
          <w:rFonts w:eastAsia="仿宋_GB2312"/>
          <w:sz w:val="32"/>
          <w:szCs w:val="32"/>
        </w:rPr>
        <w:t>2023</w:t>
      </w:r>
      <w:r>
        <w:rPr>
          <w:rFonts w:eastAsia="仿宋_GB2312"/>
          <w:sz w:val="32"/>
          <w:szCs w:val="32"/>
        </w:rPr>
        <w:t>年度持平。</w:t>
      </w:r>
    </w:p>
    <w:p w:rsidR="00577046" w:rsidRDefault="002C6759">
      <w:pPr>
        <w:spacing w:line="578" w:lineRule="exact"/>
        <w:ind w:firstLineChars="200" w:firstLine="643"/>
        <w:rPr>
          <w:rFonts w:eastAsia="仿宋_GB2312"/>
          <w:b/>
          <w:sz w:val="32"/>
          <w:szCs w:val="32"/>
        </w:rPr>
      </w:pPr>
      <w:r>
        <w:rPr>
          <w:rFonts w:eastAsia="仿宋_GB2312"/>
          <w:b/>
          <w:sz w:val="32"/>
          <w:szCs w:val="32"/>
        </w:rPr>
        <w:t>2.</w:t>
      </w:r>
      <w:r>
        <w:rPr>
          <w:rFonts w:eastAsia="仿宋_GB2312"/>
          <w:b/>
          <w:sz w:val="32"/>
          <w:szCs w:val="32"/>
        </w:rPr>
        <w:t>公务用车购置及运行维护费支出</w:t>
      </w:r>
      <w:r>
        <w:rPr>
          <w:rFonts w:eastAsia="仿宋_GB2312"/>
          <w:sz w:val="32"/>
          <w:szCs w:val="32"/>
        </w:rPr>
        <w:t>0</w:t>
      </w:r>
      <w:r>
        <w:rPr>
          <w:rFonts w:eastAsia="仿宋_GB2312"/>
          <w:sz w:val="32"/>
          <w:szCs w:val="32"/>
        </w:rPr>
        <w:t>万元</w:t>
      </w:r>
      <w:r>
        <w:rPr>
          <w:rFonts w:eastAsia="仿宋_GB2312"/>
          <w:sz w:val="32"/>
          <w:szCs w:val="32"/>
        </w:rPr>
        <w:t>,</w:t>
      </w:r>
      <w:r>
        <w:rPr>
          <w:rStyle w:val="aa"/>
          <w:rFonts w:eastAsia="仿宋"/>
          <w:b w:val="0"/>
          <w:bCs/>
          <w:sz w:val="32"/>
          <w:szCs w:val="32"/>
        </w:rPr>
        <w:t>完成预算</w:t>
      </w:r>
      <w:r>
        <w:rPr>
          <w:rStyle w:val="aa"/>
          <w:rFonts w:eastAsia="仿宋"/>
          <w:b w:val="0"/>
          <w:bCs/>
          <w:sz w:val="32"/>
          <w:szCs w:val="32"/>
        </w:rPr>
        <w:t>0%</w:t>
      </w:r>
      <w:r>
        <w:rPr>
          <w:rStyle w:val="aa"/>
          <w:rFonts w:eastAsia="仿宋"/>
          <w:b w:val="0"/>
          <w:bCs/>
          <w:sz w:val="32"/>
          <w:szCs w:val="32"/>
        </w:rPr>
        <w:t>。</w:t>
      </w:r>
      <w:r>
        <w:rPr>
          <w:rFonts w:eastAsia="仿宋_GB2312"/>
          <w:sz w:val="32"/>
          <w:szCs w:val="32"/>
        </w:rPr>
        <w:t>公务用车购置及运行维护费支出决算与</w:t>
      </w:r>
      <w:r>
        <w:rPr>
          <w:rFonts w:eastAsia="仿宋_GB2312"/>
          <w:sz w:val="32"/>
          <w:szCs w:val="32"/>
        </w:rPr>
        <w:t>2023</w:t>
      </w:r>
      <w:r>
        <w:rPr>
          <w:rFonts w:eastAsia="仿宋_GB2312"/>
          <w:sz w:val="32"/>
          <w:szCs w:val="32"/>
        </w:rPr>
        <w:t>年度持平。</w:t>
      </w:r>
    </w:p>
    <w:p w:rsidR="00577046" w:rsidRDefault="002C6759">
      <w:pPr>
        <w:spacing w:line="578" w:lineRule="exact"/>
        <w:ind w:firstLineChars="200" w:firstLine="64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w:t>
      </w:r>
      <w:r>
        <w:rPr>
          <w:rFonts w:eastAsia="仿宋_GB2312"/>
          <w:sz w:val="32"/>
          <w:szCs w:val="32"/>
        </w:rPr>
        <w:t>万元。全年按规定更新购置公务用车</w:t>
      </w:r>
      <w:r>
        <w:rPr>
          <w:rFonts w:eastAsia="仿宋_GB2312"/>
          <w:sz w:val="32"/>
          <w:szCs w:val="32"/>
        </w:rPr>
        <w:t>0</w:t>
      </w:r>
      <w:r>
        <w:rPr>
          <w:rFonts w:eastAsia="仿宋_GB2312"/>
          <w:sz w:val="32"/>
          <w:szCs w:val="32"/>
        </w:rPr>
        <w:t>辆，其中：轿车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万元，越野车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万元，载客汽车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万元。截至</w:t>
      </w:r>
      <w:r>
        <w:rPr>
          <w:rFonts w:eastAsia="仿宋_GB2312"/>
          <w:sz w:val="32"/>
          <w:szCs w:val="32"/>
        </w:rPr>
        <w:t>2023</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日，单位共有公务用车</w:t>
      </w:r>
      <w:r>
        <w:rPr>
          <w:rFonts w:eastAsia="仿宋_GB2312"/>
          <w:sz w:val="32"/>
          <w:szCs w:val="32"/>
        </w:rPr>
        <w:t>0</w:t>
      </w:r>
      <w:r>
        <w:rPr>
          <w:rFonts w:eastAsia="仿宋_GB2312"/>
          <w:sz w:val="32"/>
          <w:szCs w:val="32"/>
        </w:rPr>
        <w:t>辆，其中：轿车</w:t>
      </w:r>
      <w:r>
        <w:rPr>
          <w:rFonts w:eastAsia="仿宋_GB2312"/>
          <w:sz w:val="32"/>
          <w:szCs w:val="32"/>
        </w:rPr>
        <w:t>0</w:t>
      </w:r>
      <w:r>
        <w:rPr>
          <w:rFonts w:eastAsia="仿宋_GB2312"/>
          <w:sz w:val="32"/>
          <w:szCs w:val="32"/>
        </w:rPr>
        <w:t>辆、越野车</w:t>
      </w:r>
      <w:r>
        <w:rPr>
          <w:rFonts w:eastAsia="仿宋_GB2312"/>
          <w:sz w:val="32"/>
          <w:szCs w:val="32"/>
        </w:rPr>
        <w:t>0</w:t>
      </w:r>
      <w:r>
        <w:rPr>
          <w:rFonts w:eastAsia="仿宋_GB2312"/>
          <w:sz w:val="32"/>
          <w:szCs w:val="32"/>
        </w:rPr>
        <w:t>辆、载客汽车</w:t>
      </w:r>
      <w:r>
        <w:rPr>
          <w:rFonts w:eastAsia="仿宋_GB2312"/>
          <w:sz w:val="32"/>
          <w:szCs w:val="32"/>
        </w:rPr>
        <w:t>0</w:t>
      </w:r>
      <w:r>
        <w:rPr>
          <w:rFonts w:eastAsia="仿宋_GB2312"/>
          <w:sz w:val="32"/>
          <w:szCs w:val="32"/>
        </w:rPr>
        <w:t>辆。</w:t>
      </w:r>
    </w:p>
    <w:p w:rsidR="00577046" w:rsidRDefault="002C6759">
      <w:pPr>
        <w:spacing w:line="578" w:lineRule="exact"/>
        <w:ind w:firstLineChars="200" w:firstLine="643"/>
        <w:rPr>
          <w:rFonts w:eastAsia="仿宋_GB2312"/>
          <w:sz w:val="32"/>
          <w:szCs w:val="32"/>
        </w:rPr>
      </w:pPr>
      <w:r>
        <w:rPr>
          <w:rFonts w:eastAsia="仿宋_GB2312"/>
          <w:b/>
          <w:sz w:val="32"/>
          <w:szCs w:val="32"/>
        </w:rPr>
        <w:t>公务用车运行维护费支出</w:t>
      </w:r>
      <w:r>
        <w:rPr>
          <w:rFonts w:eastAsia="仿宋_GB2312"/>
          <w:sz w:val="32"/>
          <w:szCs w:val="32"/>
        </w:rPr>
        <w:t>0</w:t>
      </w:r>
      <w:r>
        <w:rPr>
          <w:rFonts w:eastAsia="仿宋_GB2312"/>
          <w:sz w:val="32"/>
          <w:szCs w:val="32"/>
        </w:rPr>
        <w:t>万元。</w:t>
      </w:r>
    </w:p>
    <w:p w:rsidR="00577046" w:rsidRDefault="002C6759">
      <w:pPr>
        <w:spacing w:line="600" w:lineRule="exact"/>
        <w:ind w:firstLine="640"/>
        <w:rPr>
          <w:rFonts w:eastAsia="仿宋_GB2312"/>
          <w:sz w:val="32"/>
          <w:szCs w:val="32"/>
        </w:rPr>
      </w:pPr>
      <w:r>
        <w:rPr>
          <w:rFonts w:eastAsia="仿宋_GB2312"/>
          <w:b/>
          <w:bCs/>
          <w:sz w:val="32"/>
          <w:szCs w:val="32"/>
        </w:rPr>
        <w:t>3.</w:t>
      </w:r>
      <w:r>
        <w:rPr>
          <w:rFonts w:eastAsia="仿宋_GB2312"/>
          <w:b/>
          <w:bCs/>
          <w:sz w:val="32"/>
          <w:szCs w:val="32"/>
        </w:rPr>
        <w:t>公务接待费支出</w:t>
      </w:r>
      <w:r>
        <w:rPr>
          <w:rFonts w:eastAsia="仿宋_GB2312"/>
          <w:b/>
          <w:bCs/>
          <w:sz w:val="32"/>
          <w:szCs w:val="32"/>
        </w:rPr>
        <w:t>0.46</w:t>
      </w:r>
      <w:r>
        <w:rPr>
          <w:rFonts w:eastAsia="仿宋_GB2312"/>
          <w:b/>
          <w:bCs/>
          <w:sz w:val="32"/>
          <w:szCs w:val="32"/>
        </w:rPr>
        <w:t>万元，完成预算</w:t>
      </w:r>
      <w:r>
        <w:rPr>
          <w:rFonts w:eastAsia="仿宋_GB2312"/>
          <w:b/>
          <w:bCs/>
          <w:sz w:val="32"/>
          <w:szCs w:val="32"/>
        </w:rPr>
        <w:t>100%</w:t>
      </w:r>
      <w:r>
        <w:rPr>
          <w:rFonts w:eastAsia="仿宋_GB2312"/>
          <w:b/>
          <w:bCs/>
          <w:sz w:val="32"/>
          <w:szCs w:val="32"/>
        </w:rPr>
        <w:t>。</w:t>
      </w:r>
      <w:r>
        <w:rPr>
          <w:rFonts w:eastAsia="仿宋_GB2312"/>
          <w:sz w:val="32"/>
          <w:szCs w:val="32"/>
        </w:rPr>
        <w:t>公务接待费支出决算较上年度减少</w:t>
      </w:r>
      <w:r>
        <w:rPr>
          <w:rFonts w:eastAsia="仿宋_GB2312"/>
          <w:sz w:val="32"/>
          <w:szCs w:val="32"/>
        </w:rPr>
        <w:t>0.27</w:t>
      </w:r>
      <w:r>
        <w:rPr>
          <w:rFonts w:eastAsia="仿宋_GB2312"/>
          <w:sz w:val="32"/>
          <w:szCs w:val="32"/>
        </w:rPr>
        <w:t>万元，下降</w:t>
      </w:r>
      <w:r>
        <w:rPr>
          <w:rFonts w:eastAsia="仿宋_GB2312"/>
          <w:sz w:val="32"/>
          <w:szCs w:val="32"/>
        </w:rPr>
        <w:t>37%</w:t>
      </w:r>
      <w:r>
        <w:rPr>
          <w:rFonts w:eastAsia="仿宋_GB2312"/>
          <w:sz w:val="32"/>
          <w:szCs w:val="32"/>
        </w:rPr>
        <w:t>，减少原因为报销标准的具体化和严格执行报销制度。决算数与预算数持平。其中：</w:t>
      </w:r>
    </w:p>
    <w:p w:rsidR="00577046" w:rsidRDefault="002C6759">
      <w:pPr>
        <w:spacing w:line="600" w:lineRule="exact"/>
        <w:ind w:firstLine="640"/>
        <w:rPr>
          <w:rFonts w:eastAsia="仿宋_GB2312"/>
          <w:sz w:val="32"/>
          <w:szCs w:val="32"/>
        </w:rPr>
      </w:pPr>
      <w:r>
        <w:rPr>
          <w:rFonts w:eastAsia="仿宋_GB2312"/>
          <w:sz w:val="32"/>
          <w:szCs w:val="32"/>
        </w:rPr>
        <w:t>国内公务接待支出</w:t>
      </w:r>
      <w:r>
        <w:rPr>
          <w:rFonts w:eastAsia="仿宋_GB2312"/>
          <w:sz w:val="32"/>
          <w:szCs w:val="32"/>
        </w:rPr>
        <w:t>0.46</w:t>
      </w:r>
      <w:r>
        <w:rPr>
          <w:rFonts w:eastAsia="仿宋_GB2312"/>
          <w:sz w:val="32"/>
          <w:szCs w:val="32"/>
        </w:rPr>
        <w:t>万元，主要用于</w:t>
      </w:r>
      <w:r>
        <w:rPr>
          <w:rFonts w:eastAsia="仿宋_GB2312"/>
          <w:color w:val="000000"/>
          <w:sz w:val="32"/>
          <w:szCs w:val="32"/>
        </w:rPr>
        <w:t>接待市州来攀开展</w:t>
      </w:r>
      <w:proofErr w:type="gramStart"/>
      <w:r>
        <w:rPr>
          <w:rFonts w:eastAsia="仿宋_GB2312"/>
          <w:color w:val="000000"/>
          <w:sz w:val="32"/>
          <w:szCs w:val="32"/>
        </w:rPr>
        <w:t>医</w:t>
      </w:r>
      <w:proofErr w:type="gramEnd"/>
      <w:r>
        <w:rPr>
          <w:rFonts w:eastAsia="仿宋_GB2312"/>
          <w:color w:val="000000"/>
          <w:sz w:val="32"/>
          <w:szCs w:val="32"/>
        </w:rPr>
        <w:t>保业务工作考察调研、省</w:t>
      </w:r>
      <w:proofErr w:type="gramStart"/>
      <w:r>
        <w:rPr>
          <w:rFonts w:eastAsia="仿宋_GB2312"/>
          <w:color w:val="000000"/>
          <w:sz w:val="32"/>
          <w:szCs w:val="32"/>
        </w:rPr>
        <w:t>医</w:t>
      </w:r>
      <w:proofErr w:type="gramEnd"/>
      <w:r>
        <w:rPr>
          <w:rFonts w:eastAsia="仿宋_GB2312"/>
          <w:color w:val="000000"/>
          <w:sz w:val="32"/>
          <w:szCs w:val="32"/>
        </w:rPr>
        <w:t>保局专项检查等公务接待费</w:t>
      </w:r>
      <w:r>
        <w:rPr>
          <w:rFonts w:eastAsia="仿宋_GB2312"/>
          <w:sz w:val="32"/>
          <w:szCs w:val="32"/>
        </w:rPr>
        <w:t>。国内公务接待</w:t>
      </w:r>
      <w:r>
        <w:rPr>
          <w:rFonts w:eastAsia="仿宋_GB2312"/>
          <w:sz w:val="32"/>
          <w:szCs w:val="32"/>
        </w:rPr>
        <w:t>3</w:t>
      </w:r>
      <w:r>
        <w:rPr>
          <w:rFonts w:eastAsia="仿宋_GB2312"/>
          <w:sz w:val="32"/>
          <w:szCs w:val="32"/>
        </w:rPr>
        <w:t>批次，</w:t>
      </w:r>
      <w:r>
        <w:rPr>
          <w:rFonts w:eastAsia="仿宋_GB2312"/>
          <w:sz w:val="32"/>
          <w:szCs w:val="32"/>
        </w:rPr>
        <w:t>18</w:t>
      </w:r>
      <w:r>
        <w:rPr>
          <w:rFonts w:eastAsia="仿宋_GB2312"/>
          <w:sz w:val="32"/>
          <w:szCs w:val="32"/>
        </w:rPr>
        <w:t>人次（不包括陪同人员），共计支出</w:t>
      </w:r>
      <w:r>
        <w:rPr>
          <w:rFonts w:eastAsia="仿宋_GB2312"/>
          <w:sz w:val="32"/>
          <w:szCs w:val="32"/>
        </w:rPr>
        <w:t>0.46</w:t>
      </w:r>
      <w:r>
        <w:rPr>
          <w:rFonts w:eastAsia="仿宋_GB2312"/>
          <w:sz w:val="32"/>
          <w:szCs w:val="32"/>
        </w:rPr>
        <w:t>万元，具体内容包括：</w:t>
      </w:r>
    </w:p>
    <w:p w:rsidR="00577046" w:rsidRDefault="002C6759">
      <w:pPr>
        <w:spacing w:line="600" w:lineRule="exact"/>
        <w:ind w:firstLine="640"/>
        <w:rPr>
          <w:rFonts w:eastAsia="仿宋_GB2312"/>
          <w:sz w:val="32"/>
          <w:szCs w:val="32"/>
        </w:rPr>
      </w:pPr>
      <w:r>
        <w:rPr>
          <w:rFonts w:eastAsia="仿宋_GB2312"/>
          <w:sz w:val="32"/>
          <w:szCs w:val="32"/>
        </w:rPr>
        <w:t>接待重庆市</w:t>
      </w:r>
      <w:proofErr w:type="gramStart"/>
      <w:r>
        <w:rPr>
          <w:rFonts w:eastAsia="仿宋_GB2312"/>
          <w:sz w:val="32"/>
          <w:szCs w:val="32"/>
        </w:rPr>
        <w:t>医</w:t>
      </w:r>
      <w:proofErr w:type="gramEnd"/>
      <w:r>
        <w:rPr>
          <w:rFonts w:eastAsia="仿宋_GB2312"/>
          <w:sz w:val="32"/>
          <w:szCs w:val="32"/>
        </w:rPr>
        <w:t>保局来攀调研</w:t>
      </w:r>
      <w:r>
        <w:rPr>
          <w:rFonts w:eastAsia="仿宋_GB2312"/>
          <w:sz w:val="32"/>
          <w:szCs w:val="32"/>
        </w:rPr>
        <w:t>DRG</w:t>
      </w:r>
      <w:r>
        <w:rPr>
          <w:rFonts w:eastAsia="仿宋_GB2312"/>
          <w:sz w:val="32"/>
          <w:szCs w:val="32"/>
        </w:rPr>
        <w:t>监管和</w:t>
      </w:r>
      <w:r>
        <w:rPr>
          <w:rFonts w:eastAsia="仿宋_GB2312"/>
          <w:sz w:val="32"/>
          <w:szCs w:val="32"/>
        </w:rPr>
        <w:t>“</w:t>
      </w:r>
      <w:r>
        <w:rPr>
          <w:rFonts w:eastAsia="仿宋_GB2312"/>
          <w:sz w:val="32"/>
          <w:szCs w:val="32"/>
        </w:rPr>
        <w:t>两库</w:t>
      </w:r>
      <w:r>
        <w:rPr>
          <w:rFonts w:eastAsia="仿宋_GB2312"/>
          <w:sz w:val="32"/>
          <w:szCs w:val="32"/>
        </w:rPr>
        <w:t>”</w:t>
      </w:r>
      <w:r>
        <w:rPr>
          <w:rFonts w:eastAsia="仿宋_GB2312"/>
          <w:sz w:val="32"/>
          <w:szCs w:val="32"/>
        </w:rPr>
        <w:t>建设工作</w:t>
      </w:r>
      <w:r>
        <w:rPr>
          <w:rFonts w:eastAsia="仿宋_GB2312"/>
          <w:sz w:val="32"/>
          <w:szCs w:val="32"/>
        </w:rPr>
        <w:t>0.19</w:t>
      </w:r>
      <w:r>
        <w:rPr>
          <w:rFonts w:eastAsia="仿宋_GB2312"/>
          <w:sz w:val="32"/>
          <w:szCs w:val="32"/>
        </w:rPr>
        <w:t>万元、接待省</w:t>
      </w:r>
      <w:proofErr w:type="gramStart"/>
      <w:r>
        <w:rPr>
          <w:rFonts w:eastAsia="仿宋_GB2312"/>
          <w:sz w:val="32"/>
          <w:szCs w:val="32"/>
        </w:rPr>
        <w:t>医</w:t>
      </w:r>
      <w:proofErr w:type="gramEnd"/>
      <w:r>
        <w:rPr>
          <w:rFonts w:eastAsia="仿宋_GB2312"/>
          <w:sz w:val="32"/>
          <w:szCs w:val="32"/>
        </w:rPr>
        <w:t>保中心来</w:t>
      </w:r>
      <w:proofErr w:type="gramStart"/>
      <w:r>
        <w:rPr>
          <w:rFonts w:eastAsia="仿宋_GB2312"/>
          <w:sz w:val="32"/>
          <w:szCs w:val="32"/>
        </w:rPr>
        <w:t>攀开展</w:t>
      </w:r>
      <w:proofErr w:type="gramEnd"/>
      <w:r>
        <w:rPr>
          <w:rFonts w:eastAsia="仿宋_GB2312"/>
          <w:sz w:val="32"/>
          <w:szCs w:val="32"/>
        </w:rPr>
        <w:t>经办服务能力提升调研</w:t>
      </w:r>
      <w:r>
        <w:rPr>
          <w:rFonts w:eastAsia="仿宋_GB2312"/>
          <w:sz w:val="32"/>
          <w:szCs w:val="32"/>
        </w:rPr>
        <w:t>0.10</w:t>
      </w:r>
      <w:r>
        <w:rPr>
          <w:rFonts w:eastAsia="仿宋_GB2312"/>
          <w:sz w:val="32"/>
          <w:szCs w:val="32"/>
        </w:rPr>
        <w:t>万元、接待四川省</w:t>
      </w:r>
      <w:proofErr w:type="gramStart"/>
      <w:r>
        <w:rPr>
          <w:rFonts w:eastAsia="仿宋_GB2312"/>
          <w:sz w:val="32"/>
          <w:szCs w:val="32"/>
        </w:rPr>
        <w:t>医</w:t>
      </w:r>
      <w:proofErr w:type="gramEnd"/>
      <w:r>
        <w:rPr>
          <w:rFonts w:eastAsia="仿宋_GB2312"/>
          <w:sz w:val="32"/>
          <w:szCs w:val="32"/>
        </w:rPr>
        <w:t>保来攀调研</w:t>
      </w:r>
      <w:r>
        <w:rPr>
          <w:rFonts w:eastAsia="仿宋_GB2312"/>
          <w:sz w:val="32"/>
          <w:szCs w:val="32"/>
        </w:rPr>
        <w:t>DRG</w:t>
      </w:r>
      <w:r>
        <w:rPr>
          <w:rFonts w:eastAsia="仿宋_GB2312"/>
          <w:sz w:val="32"/>
          <w:szCs w:val="32"/>
        </w:rPr>
        <w:t>支付方式改革</w:t>
      </w:r>
      <w:r>
        <w:rPr>
          <w:rFonts w:eastAsia="仿宋_GB2312"/>
          <w:sz w:val="32"/>
          <w:szCs w:val="32"/>
        </w:rPr>
        <w:t>0.17</w:t>
      </w:r>
      <w:r>
        <w:rPr>
          <w:rFonts w:eastAsia="仿宋_GB2312"/>
          <w:sz w:val="32"/>
          <w:szCs w:val="32"/>
        </w:rPr>
        <w:t>万元。</w:t>
      </w:r>
    </w:p>
    <w:p w:rsidR="00577046" w:rsidRDefault="002C6759">
      <w:pPr>
        <w:spacing w:line="600" w:lineRule="exact"/>
        <w:ind w:firstLine="640"/>
        <w:rPr>
          <w:rFonts w:eastAsia="仿宋_GB2312"/>
          <w:sz w:val="32"/>
          <w:szCs w:val="32"/>
        </w:rPr>
      </w:pPr>
      <w:r>
        <w:rPr>
          <w:rFonts w:eastAsia="仿宋_GB2312"/>
          <w:sz w:val="32"/>
          <w:szCs w:val="32"/>
        </w:rPr>
        <w:t>外事接待支出</w:t>
      </w:r>
      <w:r>
        <w:rPr>
          <w:rFonts w:eastAsia="仿宋_GB2312"/>
          <w:sz w:val="32"/>
          <w:szCs w:val="32"/>
        </w:rPr>
        <w:t>0</w:t>
      </w:r>
      <w:r>
        <w:rPr>
          <w:rFonts w:eastAsia="仿宋_GB2312"/>
          <w:sz w:val="32"/>
          <w:szCs w:val="32"/>
        </w:rPr>
        <w:t>万元，。外事接待</w:t>
      </w:r>
      <w:r>
        <w:rPr>
          <w:rFonts w:eastAsia="仿宋_GB2312"/>
          <w:sz w:val="32"/>
          <w:szCs w:val="32"/>
        </w:rPr>
        <w:t>0</w:t>
      </w:r>
      <w:r>
        <w:rPr>
          <w:rFonts w:eastAsia="仿宋_GB2312"/>
          <w:sz w:val="32"/>
          <w:szCs w:val="32"/>
        </w:rPr>
        <w:t>批次，</w:t>
      </w:r>
      <w:r>
        <w:rPr>
          <w:rFonts w:eastAsia="仿宋_GB2312"/>
          <w:sz w:val="32"/>
          <w:szCs w:val="32"/>
        </w:rPr>
        <w:t>0</w:t>
      </w:r>
      <w:r>
        <w:rPr>
          <w:rFonts w:eastAsia="仿宋_GB2312"/>
          <w:sz w:val="32"/>
          <w:szCs w:val="32"/>
        </w:rPr>
        <w:t>人次（不包括陪同人员），共计支出</w:t>
      </w:r>
      <w:r>
        <w:rPr>
          <w:rFonts w:eastAsia="仿宋_GB2312"/>
          <w:sz w:val="32"/>
          <w:szCs w:val="32"/>
        </w:rPr>
        <w:t>0</w:t>
      </w:r>
      <w:r>
        <w:rPr>
          <w:rFonts w:eastAsia="仿宋_GB2312"/>
          <w:sz w:val="32"/>
          <w:szCs w:val="32"/>
        </w:rPr>
        <w:t>万元。</w:t>
      </w:r>
    </w:p>
    <w:p w:rsidR="00577046" w:rsidRDefault="002C6759">
      <w:pPr>
        <w:spacing w:line="600" w:lineRule="exact"/>
        <w:ind w:firstLine="640"/>
        <w:outlineLvl w:val="1"/>
        <w:rPr>
          <w:rStyle w:val="2Char"/>
          <w:rFonts w:ascii="Times New Roman" w:eastAsia="黑体" w:hAnsi="Times New Roman" w:cs="Times New Roman"/>
        </w:rPr>
      </w:pPr>
      <w:bookmarkStart w:id="36" w:name="_Toc15396610"/>
      <w:bookmarkStart w:id="37" w:name="_Toc15377218"/>
      <w:r>
        <w:rPr>
          <w:rFonts w:eastAsia="黑体"/>
          <w:sz w:val="32"/>
          <w:szCs w:val="32"/>
        </w:rPr>
        <w:t>八、</w:t>
      </w:r>
      <w:r>
        <w:rPr>
          <w:rStyle w:val="2Char"/>
          <w:rFonts w:ascii="Times New Roman" w:eastAsia="黑体" w:hAnsi="Times New Roman" w:cs="Times New Roman"/>
          <w:b w:val="0"/>
        </w:rPr>
        <w:t>政府性基金预算支出决算情况说明</w:t>
      </w:r>
      <w:bookmarkEnd w:id="36"/>
      <w:bookmarkEnd w:id="37"/>
    </w:p>
    <w:p w:rsidR="00577046" w:rsidRDefault="002C6759">
      <w:pPr>
        <w:spacing w:line="600" w:lineRule="exact"/>
        <w:ind w:firstLine="640"/>
        <w:rPr>
          <w:rFonts w:eastAsia="仿宋_GB2312"/>
          <w:sz w:val="32"/>
          <w:szCs w:val="32"/>
        </w:rPr>
      </w:pPr>
      <w:r>
        <w:rPr>
          <w:rFonts w:eastAsia="仿宋_GB2312"/>
          <w:sz w:val="32"/>
          <w:szCs w:val="32"/>
        </w:rPr>
        <w:t>2024</w:t>
      </w:r>
      <w:r>
        <w:rPr>
          <w:rFonts w:eastAsia="仿宋_GB2312"/>
          <w:sz w:val="32"/>
          <w:szCs w:val="32"/>
        </w:rPr>
        <w:t>年度政府性基金预算财政拨款支出</w:t>
      </w:r>
      <w:r>
        <w:rPr>
          <w:rFonts w:eastAsia="仿宋_GB2312"/>
          <w:sz w:val="32"/>
          <w:szCs w:val="32"/>
        </w:rPr>
        <w:t>0</w:t>
      </w:r>
      <w:r>
        <w:rPr>
          <w:rFonts w:eastAsia="仿宋_GB2312"/>
          <w:sz w:val="32"/>
          <w:szCs w:val="32"/>
        </w:rPr>
        <w:t>万元，占本年支出合计的</w:t>
      </w:r>
      <w:r>
        <w:rPr>
          <w:rFonts w:eastAsia="仿宋_GB2312"/>
          <w:sz w:val="32"/>
          <w:szCs w:val="32"/>
        </w:rPr>
        <w:t>0%</w:t>
      </w:r>
      <w:r>
        <w:rPr>
          <w:rFonts w:eastAsia="仿宋_GB2312"/>
          <w:sz w:val="32"/>
          <w:szCs w:val="32"/>
        </w:rPr>
        <w:t>。与</w:t>
      </w:r>
      <w:r>
        <w:rPr>
          <w:rFonts w:eastAsia="仿宋_GB2312"/>
          <w:sz w:val="32"/>
          <w:szCs w:val="32"/>
        </w:rPr>
        <w:t>2023</w:t>
      </w:r>
      <w:r>
        <w:rPr>
          <w:rFonts w:eastAsia="仿宋_GB2312"/>
          <w:sz w:val="32"/>
          <w:szCs w:val="32"/>
        </w:rPr>
        <w:t>年度相比，政府性基金预算财政拨款支出与上年持平。</w:t>
      </w:r>
    </w:p>
    <w:p w:rsidR="00577046" w:rsidRDefault="002C6759">
      <w:pPr>
        <w:spacing w:line="600" w:lineRule="exact"/>
        <w:ind w:left="630"/>
        <w:outlineLvl w:val="1"/>
        <w:rPr>
          <w:rStyle w:val="2Char"/>
          <w:rFonts w:ascii="Times New Roman" w:eastAsia="黑体" w:hAnsi="Times New Roman" w:cs="Times New Roman"/>
          <w:b w:val="0"/>
        </w:rPr>
      </w:pPr>
      <w:bookmarkStart w:id="38" w:name="_Toc15396611"/>
      <w:bookmarkStart w:id="39" w:name="_Toc15377219"/>
      <w:r>
        <w:rPr>
          <w:rStyle w:val="2Char"/>
          <w:rFonts w:ascii="Times New Roman" w:eastAsia="黑体" w:hAnsi="Times New Roman" w:cs="Times New Roman"/>
          <w:b w:val="0"/>
        </w:rPr>
        <w:t>九、国有资本经营预算支出决算情况说明</w:t>
      </w:r>
      <w:bookmarkEnd w:id="38"/>
      <w:bookmarkEnd w:id="39"/>
    </w:p>
    <w:p w:rsidR="00577046" w:rsidRDefault="002C6759">
      <w:pPr>
        <w:spacing w:line="600" w:lineRule="exact"/>
        <w:ind w:firstLine="640"/>
        <w:rPr>
          <w:rFonts w:eastAsia="仿宋_GB2312"/>
          <w:sz w:val="32"/>
          <w:szCs w:val="32"/>
        </w:rPr>
      </w:pPr>
      <w:r>
        <w:rPr>
          <w:rFonts w:eastAsia="仿宋_GB2312"/>
          <w:sz w:val="32"/>
          <w:szCs w:val="32"/>
        </w:rPr>
        <w:t>2024</w:t>
      </w:r>
      <w:r>
        <w:rPr>
          <w:rFonts w:eastAsia="仿宋_GB2312"/>
          <w:sz w:val="32"/>
          <w:szCs w:val="32"/>
        </w:rPr>
        <w:t>年度国有资本经营预算财政拨款支出</w:t>
      </w:r>
      <w:r>
        <w:rPr>
          <w:rFonts w:eastAsia="仿宋_GB2312"/>
          <w:sz w:val="32"/>
          <w:szCs w:val="32"/>
        </w:rPr>
        <w:t>0</w:t>
      </w:r>
      <w:r>
        <w:rPr>
          <w:rFonts w:eastAsia="仿宋_GB2312"/>
          <w:sz w:val="32"/>
          <w:szCs w:val="32"/>
        </w:rPr>
        <w:t>万元，占本年支出合计的</w:t>
      </w:r>
      <w:r>
        <w:rPr>
          <w:rFonts w:eastAsia="仿宋_GB2312"/>
          <w:sz w:val="32"/>
          <w:szCs w:val="32"/>
        </w:rPr>
        <w:t>0%</w:t>
      </w:r>
      <w:r>
        <w:rPr>
          <w:rFonts w:eastAsia="仿宋_GB2312"/>
          <w:sz w:val="32"/>
          <w:szCs w:val="32"/>
        </w:rPr>
        <w:t>。与</w:t>
      </w:r>
      <w:r>
        <w:rPr>
          <w:rFonts w:eastAsia="仿宋_GB2312"/>
          <w:sz w:val="32"/>
          <w:szCs w:val="32"/>
        </w:rPr>
        <w:t>2023</w:t>
      </w:r>
      <w:r>
        <w:rPr>
          <w:rFonts w:eastAsia="仿宋_GB2312"/>
          <w:sz w:val="32"/>
          <w:szCs w:val="32"/>
        </w:rPr>
        <w:t>年度相比，国有资本经营预算财政拨款支出与上年持平。</w:t>
      </w:r>
    </w:p>
    <w:p w:rsidR="00577046" w:rsidRDefault="002C6759">
      <w:pPr>
        <w:spacing w:line="600" w:lineRule="exact"/>
        <w:ind w:left="630"/>
        <w:outlineLvl w:val="1"/>
        <w:rPr>
          <w:rStyle w:val="2Char"/>
          <w:rFonts w:ascii="Times New Roman" w:eastAsia="黑体" w:hAnsi="Times New Roman" w:cs="Times New Roman"/>
          <w:b w:val="0"/>
        </w:rPr>
      </w:pPr>
      <w:bookmarkStart w:id="40" w:name="_Toc15396612"/>
      <w:bookmarkStart w:id="41" w:name="_Toc15377221"/>
      <w:r>
        <w:rPr>
          <w:rStyle w:val="2Char"/>
          <w:rFonts w:ascii="Times New Roman" w:eastAsia="黑体" w:hAnsi="Times New Roman" w:cs="Times New Roman"/>
          <w:b w:val="0"/>
        </w:rPr>
        <w:t>十、其他重要事项的情况说明</w:t>
      </w:r>
      <w:bookmarkEnd w:id="40"/>
      <w:bookmarkEnd w:id="41"/>
    </w:p>
    <w:p w:rsidR="00577046" w:rsidRDefault="002C6759">
      <w:pPr>
        <w:spacing w:line="600" w:lineRule="exact"/>
        <w:ind w:firstLineChars="200" w:firstLine="643"/>
        <w:outlineLvl w:val="2"/>
        <w:rPr>
          <w:rFonts w:eastAsia="楷体_GB2312"/>
          <w:b/>
          <w:sz w:val="32"/>
          <w:szCs w:val="32"/>
        </w:rPr>
      </w:pPr>
      <w:bookmarkStart w:id="42" w:name="_Toc15377222"/>
      <w:r>
        <w:rPr>
          <w:rFonts w:eastAsia="楷体_GB2312"/>
          <w:b/>
          <w:sz w:val="32"/>
          <w:szCs w:val="32"/>
        </w:rPr>
        <w:t>（一）机关运行经费支出情况</w:t>
      </w:r>
      <w:bookmarkEnd w:id="42"/>
    </w:p>
    <w:p w:rsidR="00577046" w:rsidRDefault="002C6759">
      <w:pPr>
        <w:spacing w:line="600" w:lineRule="exact"/>
        <w:ind w:firstLine="640"/>
        <w:rPr>
          <w:rFonts w:eastAsia="仿宋_GB2312"/>
          <w:sz w:val="32"/>
          <w:szCs w:val="32"/>
        </w:rPr>
      </w:pPr>
      <w:r>
        <w:rPr>
          <w:rFonts w:eastAsia="仿宋_GB2312"/>
          <w:sz w:val="32"/>
          <w:szCs w:val="32"/>
        </w:rPr>
        <w:t>2024</w:t>
      </w:r>
      <w:r>
        <w:rPr>
          <w:rFonts w:eastAsia="仿宋_GB2312"/>
          <w:sz w:val="32"/>
          <w:szCs w:val="32"/>
        </w:rPr>
        <w:t>年度，四川省攀枝花市医疗保障事务中心机关运行经费支出</w:t>
      </w:r>
      <w:r>
        <w:rPr>
          <w:rFonts w:eastAsia="仿宋_GB2312"/>
          <w:sz w:val="32"/>
          <w:szCs w:val="32"/>
        </w:rPr>
        <w:t>95.29</w:t>
      </w:r>
      <w:r>
        <w:rPr>
          <w:rFonts w:eastAsia="仿宋_GB2312"/>
          <w:sz w:val="32"/>
          <w:szCs w:val="32"/>
        </w:rPr>
        <w:t>万元，比</w:t>
      </w:r>
      <w:r>
        <w:rPr>
          <w:rFonts w:eastAsia="仿宋_GB2312"/>
          <w:sz w:val="32"/>
          <w:szCs w:val="32"/>
        </w:rPr>
        <w:t>2023</w:t>
      </w:r>
      <w:r>
        <w:rPr>
          <w:rFonts w:eastAsia="仿宋_GB2312"/>
          <w:sz w:val="32"/>
          <w:szCs w:val="32"/>
        </w:rPr>
        <w:t>年度增加</w:t>
      </w:r>
      <w:r>
        <w:rPr>
          <w:rFonts w:eastAsia="仿宋_GB2312"/>
          <w:sz w:val="32"/>
          <w:szCs w:val="32"/>
        </w:rPr>
        <w:t>5.53</w:t>
      </w:r>
      <w:r>
        <w:rPr>
          <w:rFonts w:eastAsia="仿宋_GB2312"/>
          <w:sz w:val="32"/>
          <w:szCs w:val="32"/>
        </w:rPr>
        <w:t>万元，增长</w:t>
      </w:r>
      <w:r>
        <w:rPr>
          <w:rFonts w:eastAsia="仿宋_GB2312"/>
          <w:sz w:val="32"/>
          <w:szCs w:val="32"/>
        </w:rPr>
        <w:t>6%</w:t>
      </w:r>
      <w:r>
        <w:rPr>
          <w:rFonts w:eastAsia="仿宋_GB2312"/>
          <w:sz w:val="32"/>
          <w:szCs w:val="32"/>
        </w:rPr>
        <w:t>。主要原因是</w:t>
      </w:r>
      <w:r>
        <w:rPr>
          <w:rFonts w:eastAsia="仿宋_GB2312"/>
          <w:sz w:val="32"/>
          <w:szCs w:val="32"/>
        </w:rPr>
        <w:t>2024</w:t>
      </w:r>
      <w:r>
        <w:rPr>
          <w:rFonts w:eastAsia="仿宋_GB2312"/>
          <w:sz w:val="32"/>
          <w:szCs w:val="32"/>
        </w:rPr>
        <w:t>年单位新增</w:t>
      </w:r>
      <w:r>
        <w:rPr>
          <w:rFonts w:eastAsia="仿宋_GB2312"/>
          <w:sz w:val="32"/>
          <w:szCs w:val="32"/>
        </w:rPr>
        <w:t>3</w:t>
      </w:r>
      <w:r>
        <w:rPr>
          <w:rFonts w:eastAsia="仿宋_GB2312"/>
          <w:sz w:val="32"/>
          <w:szCs w:val="32"/>
        </w:rPr>
        <w:t>人，</w:t>
      </w:r>
      <w:proofErr w:type="gramStart"/>
      <w:r>
        <w:rPr>
          <w:rFonts w:eastAsia="仿宋_GB2312"/>
          <w:sz w:val="32"/>
          <w:szCs w:val="32"/>
        </w:rPr>
        <w:t>其中公招</w:t>
      </w:r>
      <w:proofErr w:type="gramEnd"/>
      <w:r>
        <w:rPr>
          <w:rFonts w:eastAsia="仿宋_GB2312"/>
          <w:sz w:val="32"/>
          <w:szCs w:val="32"/>
        </w:rPr>
        <w:t>1</w:t>
      </w:r>
      <w:r>
        <w:rPr>
          <w:rFonts w:eastAsia="仿宋_GB2312"/>
          <w:sz w:val="32"/>
          <w:szCs w:val="32"/>
        </w:rPr>
        <w:t>人、遴选</w:t>
      </w:r>
      <w:r>
        <w:rPr>
          <w:rFonts w:eastAsia="仿宋_GB2312"/>
          <w:sz w:val="32"/>
          <w:szCs w:val="32"/>
        </w:rPr>
        <w:t>1</w:t>
      </w:r>
      <w:r>
        <w:rPr>
          <w:rFonts w:eastAsia="仿宋_GB2312"/>
          <w:sz w:val="32"/>
          <w:szCs w:val="32"/>
        </w:rPr>
        <w:t>人、商调</w:t>
      </w:r>
      <w:r>
        <w:rPr>
          <w:rFonts w:eastAsia="仿宋_GB2312"/>
          <w:sz w:val="32"/>
          <w:szCs w:val="32"/>
        </w:rPr>
        <w:t>1</w:t>
      </w:r>
      <w:r>
        <w:rPr>
          <w:rFonts w:eastAsia="仿宋_GB2312"/>
          <w:sz w:val="32"/>
          <w:szCs w:val="32"/>
        </w:rPr>
        <w:t>人。</w:t>
      </w:r>
    </w:p>
    <w:p w:rsidR="00577046" w:rsidRDefault="002C6759">
      <w:pPr>
        <w:spacing w:line="600" w:lineRule="exact"/>
        <w:ind w:firstLineChars="200" w:firstLine="643"/>
        <w:outlineLvl w:val="2"/>
        <w:rPr>
          <w:rFonts w:eastAsia="楷体_GB2312"/>
          <w:b/>
          <w:sz w:val="32"/>
          <w:szCs w:val="32"/>
        </w:rPr>
      </w:pPr>
      <w:bookmarkStart w:id="43" w:name="_Toc15377223"/>
      <w:r>
        <w:rPr>
          <w:rFonts w:eastAsia="楷体_GB2312"/>
          <w:b/>
          <w:sz w:val="32"/>
          <w:szCs w:val="32"/>
        </w:rPr>
        <w:t>（二）政府采购支出情况</w:t>
      </w:r>
      <w:bookmarkEnd w:id="43"/>
    </w:p>
    <w:p w:rsidR="00577046" w:rsidRDefault="002C6759">
      <w:pPr>
        <w:spacing w:line="600" w:lineRule="exact"/>
        <w:ind w:firstLine="640"/>
        <w:rPr>
          <w:rFonts w:eastAsia="仿宋_GB2312"/>
          <w:sz w:val="32"/>
          <w:szCs w:val="32"/>
        </w:rPr>
      </w:pPr>
      <w:r>
        <w:rPr>
          <w:rFonts w:eastAsia="仿宋_GB2312"/>
          <w:sz w:val="32"/>
          <w:szCs w:val="32"/>
        </w:rPr>
        <w:t>2024</w:t>
      </w:r>
      <w:r>
        <w:rPr>
          <w:rFonts w:eastAsia="仿宋_GB2312"/>
          <w:sz w:val="32"/>
          <w:szCs w:val="32"/>
        </w:rPr>
        <w:t>年度，四川省攀枝花市医疗保障事务中心政府采购支出总额</w:t>
      </w:r>
      <w:r>
        <w:rPr>
          <w:rFonts w:eastAsia="仿宋_GB2312"/>
          <w:sz w:val="32"/>
          <w:szCs w:val="32"/>
        </w:rPr>
        <w:t>213.9</w:t>
      </w:r>
      <w:r>
        <w:rPr>
          <w:rFonts w:eastAsia="仿宋_GB2312"/>
          <w:sz w:val="32"/>
          <w:szCs w:val="32"/>
        </w:rPr>
        <w:t>万元，其中：政府采购货物支出</w:t>
      </w:r>
      <w:r>
        <w:rPr>
          <w:rFonts w:eastAsia="仿宋_GB2312"/>
          <w:sz w:val="32"/>
          <w:szCs w:val="32"/>
        </w:rPr>
        <w:t>0</w:t>
      </w:r>
      <w:r>
        <w:rPr>
          <w:rFonts w:eastAsia="仿宋_GB2312"/>
          <w:sz w:val="32"/>
          <w:szCs w:val="32"/>
        </w:rPr>
        <w:t>万元、政府采购工程支出</w:t>
      </w:r>
      <w:r>
        <w:rPr>
          <w:rFonts w:eastAsia="仿宋_GB2312"/>
          <w:sz w:val="32"/>
          <w:szCs w:val="32"/>
        </w:rPr>
        <w:t>0</w:t>
      </w:r>
      <w:r>
        <w:rPr>
          <w:rFonts w:eastAsia="仿宋_GB2312"/>
          <w:sz w:val="32"/>
          <w:szCs w:val="32"/>
        </w:rPr>
        <w:t>万元、政府采购服务支出</w:t>
      </w:r>
      <w:r>
        <w:rPr>
          <w:rFonts w:eastAsia="仿宋_GB2312"/>
          <w:sz w:val="32"/>
          <w:szCs w:val="32"/>
        </w:rPr>
        <w:t>0</w:t>
      </w:r>
      <w:r>
        <w:rPr>
          <w:rFonts w:eastAsia="仿宋_GB2312"/>
          <w:sz w:val="32"/>
          <w:szCs w:val="32"/>
        </w:rPr>
        <w:t>万元。授予中小企业合同金额</w:t>
      </w:r>
      <w:r>
        <w:rPr>
          <w:rFonts w:eastAsia="仿宋_GB2312"/>
          <w:sz w:val="32"/>
          <w:szCs w:val="32"/>
        </w:rPr>
        <w:t>0</w:t>
      </w:r>
      <w:r>
        <w:rPr>
          <w:rFonts w:eastAsia="仿宋_GB2312"/>
          <w:sz w:val="32"/>
          <w:szCs w:val="32"/>
        </w:rPr>
        <w:t>万元，占政府采购支出总额的</w:t>
      </w:r>
      <w:r>
        <w:rPr>
          <w:rFonts w:eastAsia="仿宋_GB2312"/>
          <w:sz w:val="32"/>
          <w:szCs w:val="32"/>
        </w:rPr>
        <w:t>0%</w:t>
      </w:r>
      <w:r>
        <w:rPr>
          <w:rFonts w:eastAsia="仿宋_GB2312"/>
          <w:sz w:val="32"/>
          <w:szCs w:val="32"/>
        </w:rPr>
        <w:t>，其中：授予小</w:t>
      </w:r>
      <w:proofErr w:type="gramStart"/>
      <w:r>
        <w:rPr>
          <w:rFonts w:eastAsia="仿宋_GB2312"/>
          <w:sz w:val="32"/>
          <w:szCs w:val="32"/>
        </w:rPr>
        <w:t>微企业</w:t>
      </w:r>
      <w:proofErr w:type="gramEnd"/>
      <w:r>
        <w:rPr>
          <w:rFonts w:eastAsia="仿宋_GB2312"/>
          <w:sz w:val="32"/>
          <w:szCs w:val="32"/>
        </w:rPr>
        <w:t>合同金额</w:t>
      </w:r>
      <w:r>
        <w:rPr>
          <w:rFonts w:eastAsia="仿宋_GB2312"/>
          <w:sz w:val="32"/>
          <w:szCs w:val="32"/>
        </w:rPr>
        <w:t>0</w:t>
      </w:r>
      <w:r>
        <w:rPr>
          <w:rFonts w:eastAsia="仿宋_GB2312"/>
          <w:sz w:val="32"/>
          <w:szCs w:val="32"/>
        </w:rPr>
        <w:t>万元，占政府采购支出总额的</w:t>
      </w:r>
      <w:r>
        <w:rPr>
          <w:rFonts w:eastAsia="仿宋_GB2312"/>
          <w:sz w:val="32"/>
          <w:szCs w:val="32"/>
        </w:rPr>
        <w:t>0%</w:t>
      </w:r>
      <w:r>
        <w:rPr>
          <w:rFonts w:eastAsia="仿宋_GB2312"/>
          <w:sz w:val="32"/>
          <w:szCs w:val="32"/>
        </w:rPr>
        <w:t>。</w:t>
      </w:r>
    </w:p>
    <w:p w:rsidR="00577046" w:rsidRDefault="002C6759">
      <w:pPr>
        <w:spacing w:line="600" w:lineRule="exact"/>
        <w:ind w:firstLineChars="200" w:firstLine="643"/>
        <w:outlineLvl w:val="2"/>
        <w:rPr>
          <w:rFonts w:eastAsia="楷体_GB2312"/>
          <w:b/>
          <w:sz w:val="32"/>
          <w:szCs w:val="32"/>
        </w:rPr>
      </w:pPr>
      <w:bookmarkStart w:id="44" w:name="_Toc15377224"/>
      <w:r>
        <w:rPr>
          <w:rFonts w:eastAsia="楷体_GB2312"/>
          <w:b/>
          <w:sz w:val="32"/>
          <w:szCs w:val="32"/>
        </w:rPr>
        <w:t>（三）国有资产占有使用情况</w:t>
      </w:r>
      <w:bookmarkEnd w:id="44"/>
    </w:p>
    <w:p w:rsidR="00577046" w:rsidRDefault="002C6759">
      <w:pPr>
        <w:spacing w:line="600" w:lineRule="exact"/>
        <w:ind w:firstLine="640"/>
        <w:rPr>
          <w:rFonts w:eastAsia="仿宋_GB2312"/>
          <w:sz w:val="32"/>
          <w:szCs w:val="32"/>
        </w:rPr>
      </w:pPr>
      <w:r>
        <w:rPr>
          <w:rFonts w:eastAsia="仿宋_GB2312"/>
          <w:sz w:val="32"/>
          <w:szCs w:val="32"/>
        </w:rPr>
        <w:t>截至</w:t>
      </w:r>
      <w:r>
        <w:rPr>
          <w:rFonts w:eastAsia="仿宋_GB2312"/>
          <w:sz w:val="32"/>
          <w:szCs w:val="32"/>
        </w:rPr>
        <w:t>2024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日，四川省攀枝花市医疗保障事务中心共有车辆</w:t>
      </w:r>
      <w:r>
        <w:rPr>
          <w:rFonts w:eastAsia="仿宋_GB2312"/>
          <w:sz w:val="32"/>
          <w:szCs w:val="32"/>
        </w:rPr>
        <w:t>0</w:t>
      </w:r>
      <w:r>
        <w:rPr>
          <w:rFonts w:eastAsia="仿宋_GB2312"/>
          <w:sz w:val="32"/>
          <w:szCs w:val="32"/>
        </w:rPr>
        <w:t>辆，其中：主要负责人用车</w:t>
      </w:r>
      <w:r>
        <w:rPr>
          <w:rFonts w:eastAsia="仿宋_GB2312"/>
          <w:sz w:val="32"/>
          <w:szCs w:val="32"/>
        </w:rPr>
        <w:t>0</w:t>
      </w:r>
      <w:r>
        <w:rPr>
          <w:rFonts w:eastAsia="仿宋_GB2312"/>
          <w:sz w:val="32"/>
          <w:szCs w:val="32"/>
        </w:rPr>
        <w:t>辆、机要通信用车</w:t>
      </w:r>
      <w:r>
        <w:rPr>
          <w:rFonts w:eastAsia="仿宋_GB2312"/>
          <w:sz w:val="32"/>
          <w:szCs w:val="32"/>
        </w:rPr>
        <w:t>0</w:t>
      </w:r>
      <w:r>
        <w:rPr>
          <w:rFonts w:eastAsia="仿宋_GB2312"/>
          <w:sz w:val="32"/>
          <w:szCs w:val="32"/>
        </w:rPr>
        <w:t>辆、应急保障用车</w:t>
      </w:r>
      <w:r>
        <w:rPr>
          <w:rFonts w:eastAsia="仿宋_GB2312"/>
          <w:sz w:val="32"/>
          <w:szCs w:val="32"/>
        </w:rPr>
        <w:t>0</w:t>
      </w:r>
      <w:r>
        <w:rPr>
          <w:rFonts w:eastAsia="仿宋_GB2312"/>
          <w:sz w:val="32"/>
          <w:szCs w:val="32"/>
        </w:rPr>
        <w:t>辆、其他用车</w:t>
      </w:r>
      <w:r>
        <w:rPr>
          <w:rFonts w:eastAsia="仿宋_GB2312"/>
          <w:sz w:val="32"/>
          <w:szCs w:val="32"/>
        </w:rPr>
        <w:t>0</w:t>
      </w:r>
      <w:r>
        <w:rPr>
          <w:rFonts w:eastAsia="仿宋_GB2312"/>
          <w:sz w:val="32"/>
          <w:szCs w:val="32"/>
        </w:rPr>
        <w:t>辆。</w:t>
      </w:r>
    </w:p>
    <w:p w:rsidR="00577046" w:rsidRDefault="002C6759">
      <w:pPr>
        <w:spacing w:line="600" w:lineRule="exact"/>
        <w:ind w:firstLineChars="200" w:firstLine="643"/>
        <w:outlineLvl w:val="2"/>
        <w:rPr>
          <w:rFonts w:eastAsia="楷体_GB2312"/>
          <w:b/>
          <w:sz w:val="32"/>
          <w:szCs w:val="32"/>
        </w:rPr>
      </w:pPr>
      <w:r>
        <w:rPr>
          <w:rFonts w:eastAsia="楷体_GB2312"/>
          <w:b/>
          <w:sz w:val="32"/>
          <w:szCs w:val="32"/>
        </w:rPr>
        <w:t>（四）预算绩效管理情况</w:t>
      </w:r>
    </w:p>
    <w:p w:rsidR="00577046" w:rsidRDefault="002C6759">
      <w:pPr>
        <w:spacing w:line="600" w:lineRule="exact"/>
        <w:ind w:firstLine="640"/>
        <w:rPr>
          <w:rFonts w:eastAsia="仿宋_GB2312"/>
          <w:sz w:val="32"/>
          <w:szCs w:val="32"/>
        </w:rPr>
      </w:pPr>
      <w:r>
        <w:rPr>
          <w:rFonts w:eastAsia="仿宋_GB2312"/>
          <w:sz w:val="32"/>
          <w:szCs w:val="32"/>
        </w:rPr>
        <w:t>根据预算绩效管理要求，市</w:t>
      </w:r>
      <w:proofErr w:type="gramStart"/>
      <w:r>
        <w:rPr>
          <w:rFonts w:eastAsia="仿宋_GB2312"/>
          <w:sz w:val="32"/>
          <w:szCs w:val="32"/>
        </w:rPr>
        <w:t>医</w:t>
      </w:r>
      <w:proofErr w:type="gramEnd"/>
      <w:r>
        <w:rPr>
          <w:rFonts w:eastAsia="仿宋_GB2312"/>
          <w:sz w:val="32"/>
          <w:szCs w:val="32"/>
        </w:rPr>
        <w:t>保中心在</w:t>
      </w:r>
      <w:r>
        <w:rPr>
          <w:rFonts w:eastAsia="仿宋_GB2312"/>
          <w:sz w:val="32"/>
          <w:szCs w:val="32"/>
        </w:rPr>
        <w:t>2024</w:t>
      </w:r>
      <w:r>
        <w:rPr>
          <w:rFonts w:eastAsia="仿宋_GB2312"/>
          <w:sz w:val="32"/>
          <w:szCs w:val="32"/>
        </w:rPr>
        <w:t>年度预算编制阶段，组织对攀枝花市基本医疗保险按疾病诊断相关分组结合点数法付费（</w:t>
      </w:r>
      <w:r>
        <w:rPr>
          <w:rFonts w:eastAsia="仿宋_GB2312"/>
          <w:sz w:val="32"/>
          <w:szCs w:val="32"/>
        </w:rPr>
        <w:t>DRG</w:t>
      </w:r>
      <w:r>
        <w:rPr>
          <w:rFonts w:eastAsia="仿宋_GB2312"/>
          <w:sz w:val="32"/>
          <w:szCs w:val="32"/>
        </w:rPr>
        <w:t>）应用软件系统暨</w:t>
      </w:r>
      <w:proofErr w:type="gramStart"/>
      <w:r>
        <w:rPr>
          <w:rFonts w:eastAsia="仿宋_GB2312"/>
          <w:sz w:val="32"/>
          <w:szCs w:val="32"/>
        </w:rPr>
        <w:t>医</w:t>
      </w:r>
      <w:proofErr w:type="gramEnd"/>
      <w:r>
        <w:rPr>
          <w:rFonts w:eastAsia="仿宋_GB2312"/>
          <w:sz w:val="32"/>
          <w:szCs w:val="32"/>
        </w:rPr>
        <w:t>保基金第三方支付评审项目等</w:t>
      </w:r>
      <w:r>
        <w:rPr>
          <w:rFonts w:eastAsia="仿宋_GB2312"/>
          <w:sz w:val="32"/>
          <w:szCs w:val="32"/>
        </w:rPr>
        <w:t>4</w:t>
      </w:r>
      <w:r>
        <w:rPr>
          <w:rFonts w:eastAsia="仿宋_GB2312"/>
          <w:sz w:val="32"/>
          <w:szCs w:val="32"/>
        </w:rPr>
        <w:t>个项目开展了预算事前绩效评估，对</w:t>
      </w:r>
      <w:r>
        <w:rPr>
          <w:rFonts w:eastAsia="仿宋_GB2312"/>
          <w:sz w:val="32"/>
          <w:szCs w:val="32"/>
        </w:rPr>
        <w:t>4</w:t>
      </w:r>
      <w:r>
        <w:rPr>
          <w:rFonts w:eastAsia="仿宋_GB2312"/>
          <w:sz w:val="32"/>
          <w:szCs w:val="32"/>
        </w:rPr>
        <w:t>个项目编制了绩效目标，预算执行过程中，选取</w:t>
      </w:r>
      <w:r>
        <w:rPr>
          <w:rFonts w:eastAsia="仿宋_GB2312"/>
          <w:sz w:val="32"/>
          <w:szCs w:val="32"/>
        </w:rPr>
        <w:t>4</w:t>
      </w:r>
      <w:r>
        <w:rPr>
          <w:rFonts w:eastAsia="仿宋_GB2312"/>
          <w:sz w:val="32"/>
          <w:szCs w:val="32"/>
        </w:rPr>
        <w:t>个项目开展绩效监控。</w:t>
      </w:r>
    </w:p>
    <w:p w:rsidR="00577046" w:rsidRDefault="00577046">
      <w:pPr>
        <w:spacing w:line="540" w:lineRule="exact"/>
        <w:ind w:firstLineChars="200" w:firstLine="643"/>
        <w:rPr>
          <w:rFonts w:eastAsia="仿宋_GB2312"/>
          <w:b/>
          <w:bCs/>
          <w:sz w:val="32"/>
          <w:szCs w:val="32"/>
        </w:rPr>
      </w:pPr>
      <w:bookmarkStart w:id="45" w:name="_Toc15396613"/>
      <w:bookmarkStart w:id="46" w:name="_Toc15377225"/>
    </w:p>
    <w:p w:rsidR="00577046" w:rsidRDefault="00577046">
      <w:pPr>
        <w:spacing w:line="540" w:lineRule="exact"/>
        <w:ind w:firstLineChars="200" w:firstLine="643"/>
        <w:rPr>
          <w:rFonts w:eastAsia="仿宋_GB2312"/>
          <w:b/>
          <w:bCs/>
          <w:sz w:val="32"/>
          <w:szCs w:val="32"/>
        </w:rPr>
      </w:pPr>
    </w:p>
    <w:p w:rsidR="00577046" w:rsidRDefault="00577046">
      <w:pPr>
        <w:spacing w:line="540" w:lineRule="exact"/>
        <w:ind w:firstLineChars="200" w:firstLine="643"/>
        <w:rPr>
          <w:rFonts w:eastAsia="仿宋_GB2312"/>
          <w:b/>
          <w:bCs/>
          <w:sz w:val="32"/>
          <w:szCs w:val="32"/>
        </w:rPr>
      </w:pPr>
    </w:p>
    <w:p w:rsidR="00577046" w:rsidRDefault="00577046">
      <w:pPr>
        <w:spacing w:line="540" w:lineRule="exact"/>
        <w:ind w:firstLineChars="200" w:firstLine="643"/>
        <w:rPr>
          <w:rFonts w:eastAsia="仿宋_GB2312"/>
          <w:b/>
          <w:bCs/>
          <w:sz w:val="32"/>
          <w:szCs w:val="32"/>
        </w:rPr>
      </w:pPr>
    </w:p>
    <w:p w:rsidR="00577046" w:rsidRDefault="00577046">
      <w:pPr>
        <w:spacing w:line="540" w:lineRule="exact"/>
        <w:ind w:firstLineChars="200" w:firstLine="643"/>
        <w:rPr>
          <w:rFonts w:eastAsia="仿宋_GB2312"/>
          <w:b/>
          <w:bCs/>
          <w:sz w:val="32"/>
          <w:szCs w:val="32"/>
        </w:rPr>
      </w:pPr>
    </w:p>
    <w:p w:rsidR="00577046" w:rsidRDefault="00577046">
      <w:pPr>
        <w:spacing w:line="540" w:lineRule="exact"/>
        <w:ind w:firstLineChars="200" w:firstLine="643"/>
        <w:rPr>
          <w:rFonts w:eastAsia="仿宋_GB2312"/>
          <w:b/>
          <w:bCs/>
          <w:sz w:val="32"/>
          <w:szCs w:val="32"/>
        </w:rPr>
      </w:pPr>
    </w:p>
    <w:p w:rsidR="00577046" w:rsidRDefault="00577046">
      <w:pPr>
        <w:spacing w:line="540" w:lineRule="exact"/>
        <w:ind w:firstLineChars="200" w:firstLine="643"/>
        <w:rPr>
          <w:rFonts w:eastAsia="仿宋_GB2312"/>
          <w:b/>
          <w:bCs/>
          <w:sz w:val="32"/>
          <w:szCs w:val="32"/>
        </w:rPr>
      </w:pPr>
    </w:p>
    <w:p w:rsidR="00577046" w:rsidRDefault="00577046">
      <w:pPr>
        <w:spacing w:line="540" w:lineRule="exact"/>
        <w:ind w:firstLineChars="200" w:firstLine="643"/>
        <w:rPr>
          <w:rFonts w:eastAsia="仿宋_GB2312"/>
          <w:b/>
          <w:bCs/>
          <w:sz w:val="32"/>
          <w:szCs w:val="32"/>
        </w:rPr>
      </w:pPr>
    </w:p>
    <w:p w:rsidR="00577046" w:rsidRDefault="00577046">
      <w:pPr>
        <w:spacing w:line="540" w:lineRule="exact"/>
        <w:ind w:firstLineChars="200" w:firstLine="643"/>
        <w:rPr>
          <w:rFonts w:eastAsia="仿宋_GB2312"/>
          <w:b/>
          <w:bCs/>
          <w:sz w:val="32"/>
          <w:szCs w:val="32"/>
        </w:rPr>
      </w:pPr>
    </w:p>
    <w:p w:rsidR="00577046" w:rsidRDefault="00577046">
      <w:pPr>
        <w:spacing w:line="540" w:lineRule="exact"/>
        <w:ind w:firstLineChars="200" w:firstLine="643"/>
        <w:rPr>
          <w:rFonts w:eastAsia="仿宋_GB2312"/>
          <w:b/>
          <w:bCs/>
          <w:sz w:val="32"/>
          <w:szCs w:val="32"/>
        </w:rPr>
      </w:pPr>
    </w:p>
    <w:p w:rsidR="00577046" w:rsidRDefault="00577046">
      <w:pPr>
        <w:spacing w:line="540" w:lineRule="exact"/>
        <w:ind w:firstLineChars="200" w:firstLine="643"/>
        <w:rPr>
          <w:rFonts w:eastAsia="仿宋_GB2312"/>
          <w:b/>
          <w:bCs/>
          <w:sz w:val="32"/>
          <w:szCs w:val="32"/>
        </w:rPr>
      </w:pPr>
    </w:p>
    <w:p w:rsidR="00577046" w:rsidRDefault="00577046">
      <w:pPr>
        <w:spacing w:line="540" w:lineRule="exact"/>
        <w:ind w:firstLineChars="200" w:firstLine="643"/>
        <w:rPr>
          <w:rFonts w:eastAsia="仿宋_GB2312"/>
          <w:b/>
          <w:bCs/>
          <w:sz w:val="32"/>
          <w:szCs w:val="32"/>
        </w:rPr>
      </w:pPr>
    </w:p>
    <w:p w:rsidR="00577046" w:rsidRDefault="00577046">
      <w:pPr>
        <w:spacing w:line="600" w:lineRule="exact"/>
        <w:jc w:val="center"/>
        <w:outlineLvl w:val="0"/>
        <w:rPr>
          <w:rFonts w:eastAsia="黑体"/>
          <w:sz w:val="44"/>
          <w:szCs w:val="44"/>
        </w:rPr>
      </w:pPr>
    </w:p>
    <w:p w:rsidR="00577046" w:rsidRDefault="002C6759">
      <w:pPr>
        <w:spacing w:line="600" w:lineRule="exact"/>
        <w:jc w:val="center"/>
        <w:outlineLvl w:val="0"/>
        <w:rPr>
          <w:rFonts w:eastAsia="黑体"/>
          <w:sz w:val="44"/>
          <w:szCs w:val="44"/>
        </w:rPr>
      </w:pPr>
      <w:r>
        <w:rPr>
          <w:rFonts w:eastAsia="黑体"/>
          <w:sz w:val="44"/>
          <w:szCs w:val="44"/>
        </w:rPr>
        <w:t>第三部分</w:t>
      </w:r>
      <w:r>
        <w:rPr>
          <w:rFonts w:eastAsia="黑体"/>
          <w:sz w:val="44"/>
          <w:szCs w:val="44"/>
        </w:rPr>
        <w:t xml:space="preserve">  </w:t>
      </w:r>
      <w:r>
        <w:rPr>
          <w:rFonts w:eastAsia="黑体"/>
          <w:sz w:val="44"/>
          <w:szCs w:val="44"/>
        </w:rPr>
        <w:t>名词解释</w:t>
      </w:r>
      <w:bookmarkEnd w:id="45"/>
      <w:bookmarkEnd w:id="46"/>
    </w:p>
    <w:p w:rsidR="00577046" w:rsidRDefault="00577046">
      <w:pPr>
        <w:spacing w:line="600" w:lineRule="exact"/>
        <w:jc w:val="left"/>
        <w:rPr>
          <w:b/>
          <w:sz w:val="44"/>
          <w:szCs w:val="44"/>
        </w:rPr>
      </w:pPr>
    </w:p>
    <w:p w:rsidR="00577046" w:rsidRDefault="002C6759">
      <w:pPr>
        <w:pStyle w:val="Default"/>
        <w:spacing w:line="578" w:lineRule="exact"/>
        <w:ind w:firstLineChars="200" w:firstLine="640"/>
        <w:rPr>
          <w:rFonts w:ascii="Times New Roman" w:eastAsia="仿宋_GB2312" w:hAnsi="Times New Roman" w:cs="Times New Roman"/>
          <w:color w:val="auto"/>
          <w:sz w:val="32"/>
          <w:szCs w:val="32"/>
        </w:rPr>
      </w:pPr>
      <w:bookmarkStart w:id="47" w:name="_Toc15377226"/>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财政拨款收入：指单位从同级财政部门取得的财政预算资金。</w:t>
      </w:r>
    </w:p>
    <w:p w:rsidR="00577046" w:rsidRDefault="002C6759">
      <w:pPr>
        <w:pStyle w:val="Default"/>
        <w:spacing w:line="578"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事业收入：指事业单位开展专业业务活动及辅助活动取得的收入。</w:t>
      </w:r>
    </w:p>
    <w:p w:rsidR="00577046" w:rsidRDefault="002C6759">
      <w:pPr>
        <w:pStyle w:val="Default"/>
        <w:spacing w:line="578"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经营收入：指事业单位在专业业务活动及其辅助活动之外开展非独立核算经营活动取得的收入。</w:t>
      </w:r>
    </w:p>
    <w:p w:rsidR="00577046" w:rsidRDefault="002C6759">
      <w:pPr>
        <w:pStyle w:val="Default"/>
        <w:spacing w:line="578"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4.</w:t>
      </w:r>
      <w:r>
        <w:rPr>
          <w:rFonts w:ascii="Times New Roman" w:eastAsia="仿宋_GB2312" w:hAnsi="Times New Roman" w:cs="Times New Roman"/>
          <w:color w:val="auto"/>
          <w:sz w:val="32"/>
          <w:szCs w:val="32"/>
        </w:rPr>
        <w:t>其他收入：指单位取得的除上述收入以外的各项收入。</w:t>
      </w:r>
      <w:r>
        <w:rPr>
          <w:rFonts w:ascii="Times New Roman" w:eastAsia="仿宋_GB2312" w:hAnsi="Times New Roman" w:cs="Times New Roman"/>
          <w:color w:val="auto"/>
          <w:sz w:val="32"/>
          <w:szCs w:val="32"/>
        </w:rPr>
        <w:t xml:space="preserve"> </w:t>
      </w:r>
    </w:p>
    <w:p w:rsidR="00577046" w:rsidRDefault="002C6759">
      <w:pPr>
        <w:pStyle w:val="Default"/>
        <w:spacing w:line="578"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5.</w:t>
      </w:r>
      <w:r>
        <w:rPr>
          <w:rFonts w:ascii="Times New Roman" w:eastAsia="仿宋_GB2312" w:hAnsi="Times New Roman" w:cs="Times New Roman"/>
          <w:sz w:val="32"/>
          <w:szCs w:val="32"/>
        </w:rPr>
        <w:t>使用非财政拨款结余（含专用结余）</w:t>
      </w:r>
      <w:r>
        <w:rPr>
          <w:rFonts w:ascii="Times New Roman" w:eastAsia="仿宋_GB2312" w:hAnsi="Times New Roman" w:cs="Times New Roman"/>
          <w:color w:val="auto"/>
          <w:sz w:val="32"/>
          <w:szCs w:val="32"/>
        </w:rPr>
        <w:t>：指事业单位使用以前年度积累的非财政拨款结余弥补当年收支差额的金额。</w:t>
      </w:r>
      <w:r>
        <w:rPr>
          <w:rFonts w:ascii="Times New Roman" w:eastAsia="仿宋_GB2312" w:hAnsi="Times New Roman" w:cs="Times New Roman"/>
          <w:color w:val="auto"/>
          <w:sz w:val="32"/>
          <w:szCs w:val="32"/>
        </w:rPr>
        <w:t xml:space="preserve"> </w:t>
      </w:r>
    </w:p>
    <w:p w:rsidR="00577046" w:rsidRDefault="002C6759">
      <w:pPr>
        <w:pStyle w:val="Default"/>
        <w:spacing w:line="578"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6.</w:t>
      </w:r>
      <w:r>
        <w:rPr>
          <w:rFonts w:ascii="Times New Roman" w:eastAsia="仿宋_GB2312" w:hAnsi="Times New Roman" w:cs="Times New Roman"/>
          <w:color w:val="auto"/>
          <w:sz w:val="32"/>
          <w:szCs w:val="32"/>
        </w:rPr>
        <w:t>年初结转和结余：指以前年度尚未完成、结转到本年按有关规定继续使用的资金。</w:t>
      </w:r>
      <w:r>
        <w:rPr>
          <w:rFonts w:ascii="Times New Roman" w:eastAsia="仿宋_GB2312" w:hAnsi="Times New Roman" w:cs="Times New Roman"/>
          <w:color w:val="auto"/>
          <w:sz w:val="32"/>
          <w:szCs w:val="32"/>
        </w:rPr>
        <w:t xml:space="preserve"> </w:t>
      </w:r>
    </w:p>
    <w:p w:rsidR="00577046" w:rsidRDefault="002C6759">
      <w:pPr>
        <w:pStyle w:val="Default"/>
        <w:spacing w:line="578"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7.</w:t>
      </w:r>
      <w:r>
        <w:rPr>
          <w:rFonts w:ascii="Times New Roman" w:eastAsia="仿宋_GB2312" w:hAnsi="Times New Roman" w:cs="Times New Roman"/>
          <w:color w:val="auto"/>
          <w:sz w:val="32"/>
          <w:szCs w:val="32"/>
        </w:rPr>
        <w:t>结余分配：指事业单位按照会计制度规定缴纳的所得税、提取的专用结余以及转入非财政拨款结余的金额等。</w:t>
      </w:r>
    </w:p>
    <w:p w:rsidR="00577046" w:rsidRDefault="002C6759">
      <w:pPr>
        <w:pStyle w:val="Default"/>
        <w:spacing w:line="578"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8.</w:t>
      </w:r>
      <w:r>
        <w:rPr>
          <w:rFonts w:ascii="Times New Roman" w:eastAsia="仿宋_GB2312" w:hAnsi="Times New Roman" w:cs="Times New Roman"/>
          <w:color w:val="auto"/>
          <w:sz w:val="32"/>
          <w:szCs w:val="32"/>
        </w:rPr>
        <w:t>年末结转和结余：指</w:t>
      </w:r>
      <w:r w:rsidR="00852CC7">
        <w:rPr>
          <w:rFonts w:ascii="Times New Roman" w:eastAsia="仿宋_GB2312" w:hAnsi="Times New Roman" w:cs="Times New Roman" w:hint="eastAsia"/>
          <w:color w:val="auto"/>
          <w:sz w:val="32"/>
          <w:szCs w:val="32"/>
        </w:rPr>
        <w:t>单位</w:t>
      </w:r>
      <w:r>
        <w:rPr>
          <w:rFonts w:ascii="Times New Roman" w:eastAsia="仿宋_GB2312" w:hAnsi="Times New Roman" w:cs="Times New Roman"/>
          <w:color w:val="auto"/>
          <w:sz w:val="32"/>
          <w:szCs w:val="32"/>
        </w:rPr>
        <w:t>按有关规定结转到下年或以后年度继续使用的资金。</w:t>
      </w:r>
    </w:p>
    <w:p w:rsidR="00577046" w:rsidRDefault="002C6759">
      <w:pPr>
        <w:spacing w:line="578" w:lineRule="exact"/>
        <w:ind w:firstLineChars="200" w:firstLine="640"/>
        <w:rPr>
          <w:rFonts w:eastAsia="仿宋_GB2312"/>
          <w:sz w:val="32"/>
          <w:szCs w:val="32"/>
        </w:rPr>
      </w:pPr>
      <w:r>
        <w:rPr>
          <w:rFonts w:eastAsia="仿宋_GB2312"/>
          <w:sz w:val="32"/>
          <w:szCs w:val="32"/>
        </w:rPr>
        <w:t>9.</w:t>
      </w:r>
      <w:r>
        <w:rPr>
          <w:rFonts w:eastAsia="仿宋_GB2312"/>
          <w:sz w:val="32"/>
          <w:szCs w:val="32"/>
        </w:rPr>
        <w:t>一般公共服务</w:t>
      </w:r>
    </w:p>
    <w:p w:rsidR="00577046" w:rsidRDefault="002C6759">
      <w:pPr>
        <w:spacing w:line="578" w:lineRule="exact"/>
        <w:ind w:firstLineChars="200" w:firstLine="640"/>
        <w:rPr>
          <w:rFonts w:eastAsia="仿宋_GB2312"/>
          <w:sz w:val="32"/>
          <w:szCs w:val="32"/>
        </w:rPr>
      </w:pPr>
      <w:r>
        <w:rPr>
          <w:rFonts w:eastAsia="仿宋_GB2312"/>
          <w:sz w:val="32"/>
          <w:szCs w:val="32"/>
        </w:rPr>
        <w:t>201</w:t>
      </w:r>
      <w:r>
        <w:rPr>
          <w:rFonts w:eastAsia="仿宋_GB2312"/>
          <w:sz w:val="32"/>
          <w:szCs w:val="32"/>
        </w:rPr>
        <w:t>（类）</w:t>
      </w:r>
      <w:r>
        <w:rPr>
          <w:rFonts w:eastAsia="仿宋_GB2312"/>
          <w:sz w:val="32"/>
          <w:szCs w:val="32"/>
        </w:rPr>
        <w:t>32</w:t>
      </w:r>
      <w:r>
        <w:rPr>
          <w:rFonts w:eastAsia="仿宋_GB2312"/>
          <w:sz w:val="32"/>
          <w:szCs w:val="32"/>
        </w:rPr>
        <w:t>（款）</w:t>
      </w:r>
      <w:r>
        <w:rPr>
          <w:rFonts w:eastAsia="仿宋_GB2312"/>
          <w:sz w:val="32"/>
          <w:szCs w:val="32"/>
        </w:rPr>
        <w:t>99</w:t>
      </w:r>
      <w:r>
        <w:rPr>
          <w:rFonts w:eastAsia="仿宋_GB2312"/>
          <w:sz w:val="32"/>
          <w:szCs w:val="32"/>
        </w:rPr>
        <w:t>（项）其他事务支出：反映除上述项目以外其他适用于中国共产党组织部门的事务支出。</w:t>
      </w:r>
    </w:p>
    <w:p w:rsidR="00577046" w:rsidRDefault="002C6759">
      <w:pPr>
        <w:numPr>
          <w:ilvl w:val="0"/>
          <w:numId w:val="2"/>
        </w:numPr>
        <w:spacing w:line="578" w:lineRule="exact"/>
        <w:ind w:firstLineChars="200" w:firstLine="640"/>
        <w:rPr>
          <w:rFonts w:eastAsia="仿宋_GB2312"/>
          <w:sz w:val="32"/>
          <w:szCs w:val="32"/>
        </w:rPr>
      </w:pPr>
      <w:r>
        <w:rPr>
          <w:rFonts w:eastAsia="仿宋_GB2312"/>
          <w:sz w:val="32"/>
          <w:szCs w:val="32"/>
        </w:rPr>
        <w:t>社会保障和就业</w:t>
      </w:r>
    </w:p>
    <w:p w:rsidR="00577046" w:rsidRDefault="002C6759">
      <w:pPr>
        <w:spacing w:line="578" w:lineRule="exact"/>
        <w:ind w:firstLineChars="200" w:firstLine="640"/>
        <w:rPr>
          <w:rFonts w:eastAsia="仿宋_GB2312"/>
          <w:sz w:val="32"/>
          <w:szCs w:val="32"/>
        </w:rPr>
      </w:pPr>
      <w:r>
        <w:rPr>
          <w:rFonts w:eastAsia="仿宋_GB2312"/>
          <w:sz w:val="32"/>
          <w:szCs w:val="32"/>
        </w:rPr>
        <w:t>208</w:t>
      </w:r>
      <w:r>
        <w:rPr>
          <w:rFonts w:eastAsia="仿宋_GB2312"/>
          <w:sz w:val="32"/>
          <w:szCs w:val="32"/>
        </w:rPr>
        <w:t>（类）</w:t>
      </w:r>
      <w:r>
        <w:rPr>
          <w:rFonts w:eastAsia="仿宋_GB2312"/>
          <w:sz w:val="32"/>
          <w:szCs w:val="32"/>
        </w:rPr>
        <w:t>05</w:t>
      </w:r>
      <w:r>
        <w:rPr>
          <w:rFonts w:eastAsia="仿宋_GB2312"/>
          <w:sz w:val="32"/>
          <w:szCs w:val="32"/>
        </w:rPr>
        <w:t>（款）</w:t>
      </w:r>
      <w:r>
        <w:rPr>
          <w:rFonts w:eastAsia="仿宋_GB2312"/>
          <w:sz w:val="32"/>
          <w:szCs w:val="32"/>
        </w:rPr>
        <w:t>01</w:t>
      </w:r>
      <w:r>
        <w:rPr>
          <w:rFonts w:eastAsia="仿宋_GB2312"/>
          <w:sz w:val="32"/>
          <w:szCs w:val="32"/>
        </w:rPr>
        <w:t>（项）行政单位离退休：反映用于行政事业单位养老方面的支出。</w:t>
      </w:r>
    </w:p>
    <w:p w:rsidR="00577046" w:rsidRDefault="002C6759">
      <w:pPr>
        <w:spacing w:line="578" w:lineRule="exact"/>
        <w:ind w:firstLineChars="200" w:firstLine="640"/>
        <w:rPr>
          <w:rFonts w:eastAsia="仿宋_GB2312"/>
          <w:sz w:val="32"/>
          <w:szCs w:val="32"/>
        </w:rPr>
      </w:pPr>
      <w:r>
        <w:rPr>
          <w:rFonts w:eastAsia="仿宋_GB2312"/>
          <w:sz w:val="32"/>
          <w:szCs w:val="32"/>
        </w:rPr>
        <w:t>208</w:t>
      </w:r>
      <w:r>
        <w:rPr>
          <w:rFonts w:eastAsia="仿宋_GB2312"/>
          <w:sz w:val="32"/>
          <w:szCs w:val="32"/>
        </w:rPr>
        <w:t>（类）</w:t>
      </w:r>
      <w:r>
        <w:rPr>
          <w:rFonts w:eastAsia="仿宋_GB2312"/>
          <w:sz w:val="32"/>
          <w:szCs w:val="32"/>
        </w:rPr>
        <w:t>05</w:t>
      </w:r>
      <w:r>
        <w:rPr>
          <w:rFonts w:eastAsia="仿宋_GB2312"/>
          <w:sz w:val="32"/>
          <w:szCs w:val="32"/>
        </w:rPr>
        <w:t>（款）</w:t>
      </w:r>
      <w:r>
        <w:rPr>
          <w:rFonts w:eastAsia="仿宋_GB2312"/>
          <w:sz w:val="32"/>
          <w:szCs w:val="32"/>
        </w:rPr>
        <w:t>05</w:t>
      </w:r>
      <w:r>
        <w:rPr>
          <w:rFonts w:eastAsia="仿宋_GB2312"/>
          <w:sz w:val="32"/>
          <w:szCs w:val="32"/>
        </w:rPr>
        <w:t>（项）机关事业单位基本养老保险缴费支出：反映机关事业单位实施养老保险制度由单位实际缴纳的基本养老保险费支出。</w:t>
      </w:r>
    </w:p>
    <w:p w:rsidR="00577046" w:rsidRDefault="002C6759">
      <w:pPr>
        <w:spacing w:line="578" w:lineRule="exact"/>
        <w:ind w:firstLineChars="200" w:firstLine="640"/>
        <w:rPr>
          <w:rFonts w:eastAsia="仿宋_GB2312"/>
          <w:sz w:val="32"/>
          <w:szCs w:val="32"/>
        </w:rPr>
      </w:pPr>
      <w:r>
        <w:rPr>
          <w:rFonts w:eastAsia="仿宋_GB2312"/>
          <w:sz w:val="32"/>
          <w:szCs w:val="32"/>
        </w:rPr>
        <w:t>208</w:t>
      </w:r>
      <w:r>
        <w:rPr>
          <w:rFonts w:eastAsia="仿宋_GB2312"/>
          <w:sz w:val="32"/>
          <w:szCs w:val="32"/>
        </w:rPr>
        <w:t>（类）</w:t>
      </w:r>
      <w:r>
        <w:rPr>
          <w:rFonts w:eastAsia="仿宋_GB2312"/>
          <w:sz w:val="32"/>
          <w:szCs w:val="32"/>
        </w:rPr>
        <w:t>05</w:t>
      </w:r>
      <w:r>
        <w:rPr>
          <w:rFonts w:eastAsia="仿宋_GB2312"/>
          <w:sz w:val="32"/>
          <w:szCs w:val="32"/>
        </w:rPr>
        <w:t>（款）</w:t>
      </w:r>
      <w:r>
        <w:rPr>
          <w:rFonts w:eastAsia="仿宋_GB2312"/>
          <w:sz w:val="32"/>
          <w:szCs w:val="32"/>
        </w:rPr>
        <w:t>06</w:t>
      </w:r>
      <w:r>
        <w:rPr>
          <w:rFonts w:eastAsia="仿宋_GB2312"/>
          <w:sz w:val="32"/>
          <w:szCs w:val="32"/>
        </w:rPr>
        <w:t>（项）机关事业单位职业年金缴费支出：反映机关事业单位实施养老保险制度由单位实际缴纳的职业年金支出（</w:t>
      </w:r>
      <w:proofErr w:type="gramStart"/>
      <w:r>
        <w:rPr>
          <w:rFonts w:eastAsia="仿宋_GB2312"/>
          <w:sz w:val="32"/>
          <w:szCs w:val="32"/>
        </w:rPr>
        <w:t>含职业</w:t>
      </w:r>
      <w:proofErr w:type="gramEnd"/>
      <w:r>
        <w:rPr>
          <w:rFonts w:eastAsia="仿宋_GB2312"/>
          <w:sz w:val="32"/>
          <w:szCs w:val="32"/>
        </w:rPr>
        <w:t>年金补记支出）。</w:t>
      </w:r>
    </w:p>
    <w:p w:rsidR="00577046" w:rsidRDefault="002C6759">
      <w:pPr>
        <w:numPr>
          <w:ilvl w:val="0"/>
          <w:numId w:val="2"/>
        </w:numPr>
        <w:spacing w:line="578" w:lineRule="exact"/>
        <w:ind w:firstLineChars="200" w:firstLine="640"/>
        <w:rPr>
          <w:rFonts w:eastAsia="仿宋_GB2312"/>
          <w:sz w:val="32"/>
          <w:szCs w:val="32"/>
        </w:rPr>
      </w:pPr>
      <w:r>
        <w:rPr>
          <w:rFonts w:eastAsia="仿宋_GB2312"/>
          <w:sz w:val="32"/>
          <w:szCs w:val="32"/>
        </w:rPr>
        <w:t>卫生健康</w:t>
      </w:r>
    </w:p>
    <w:p w:rsidR="00577046" w:rsidRDefault="002C6759">
      <w:pPr>
        <w:spacing w:line="578" w:lineRule="exact"/>
        <w:ind w:firstLineChars="200" w:firstLine="640"/>
        <w:rPr>
          <w:rFonts w:eastAsia="仿宋_GB2312"/>
          <w:sz w:val="32"/>
          <w:szCs w:val="32"/>
        </w:rPr>
      </w:pPr>
      <w:r>
        <w:rPr>
          <w:rFonts w:eastAsia="仿宋_GB2312"/>
          <w:sz w:val="32"/>
          <w:szCs w:val="32"/>
        </w:rPr>
        <w:t>210</w:t>
      </w:r>
      <w:r>
        <w:rPr>
          <w:rFonts w:eastAsia="仿宋_GB2312"/>
          <w:sz w:val="32"/>
          <w:szCs w:val="32"/>
        </w:rPr>
        <w:t>（类）</w:t>
      </w:r>
      <w:r>
        <w:rPr>
          <w:rFonts w:eastAsia="仿宋_GB2312"/>
          <w:sz w:val="32"/>
          <w:szCs w:val="32"/>
        </w:rPr>
        <w:t>11</w:t>
      </w:r>
      <w:r>
        <w:rPr>
          <w:rFonts w:eastAsia="仿宋_GB2312"/>
          <w:sz w:val="32"/>
          <w:szCs w:val="32"/>
        </w:rPr>
        <w:t>（款）</w:t>
      </w:r>
      <w:r>
        <w:rPr>
          <w:rFonts w:eastAsia="仿宋_GB2312"/>
          <w:sz w:val="32"/>
          <w:szCs w:val="32"/>
        </w:rPr>
        <w:t>01</w:t>
      </w:r>
      <w:r>
        <w:rPr>
          <w:rFonts w:eastAsia="仿宋_GB2312"/>
          <w:sz w:val="32"/>
          <w:szCs w:val="32"/>
        </w:rPr>
        <w:t>（项）行政单位医疗：</w:t>
      </w:r>
      <w:r>
        <w:rPr>
          <w:rFonts w:eastAsia="仿宋_GB2312"/>
          <w:color w:val="000000"/>
          <w:sz w:val="32"/>
          <w:szCs w:val="32"/>
        </w:rPr>
        <w:t>反映财政单位安排的行政单位（包括实行公务员管理的事业单位，下同）基本医疗保险缴费经费，未参加医疗保险的行政单位的公费医疗经费，按国家规定享受离休人员，红军老战士待遇人员的医疗经费</w:t>
      </w:r>
      <w:r>
        <w:rPr>
          <w:rFonts w:eastAsia="仿宋_GB2312"/>
          <w:sz w:val="32"/>
          <w:szCs w:val="32"/>
        </w:rPr>
        <w:t>。</w:t>
      </w:r>
    </w:p>
    <w:p w:rsidR="00577046" w:rsidRDefault="002C6759">
      <w:pPr>
        <w:spacing w:line="578" w:lineRule="exact"/>
        <w:ind w:firstLineChars="200" w:firstLine="640"/>
        <w:rPr>
          <w:rFonts w:eastAsia="仿宋_GB2312"/>
          <w:sz w:val="32"/>
          <w:szCs w:val="32"/>
        </w:rPr>
      </w:pPr>
      <w:r>
        <w:rPr>
          <w:rFonts w:eastAsia="仿宋_GB2312"/>
          <w:sz w:val="32"/>
          <w:szCs w:val="32"/>
        </w:rPr>
        <w:t>210</w:t>
      </w:r>
      <w:r>
        <w:rPr>
          <w:rFonts w:eastAsia="仿宋_GB2312"/>
          <w:sz w:val="32"/>
          <w:szCs w:val="32"/>
        </w:rPr>
        <w:t>（类）</w:t>
      </w:r>
      <w:r>
        <w:rPr>
          <w:rFonts w:eastAsia="仿宋_GB2312"/>
          <w:sz w:val="32"/>
          <w:szCs w:val="32"/>
        </w:rPr>
        <w:t>11</w:t>
      </w:r>
      <w:r>
        <w:rPr>
          <w:rFonts w:eastAsia="仿宋_GB2312"/>
          <w:sz w:val="32"/>
          <w:szCs w:val="32"/>
        </w:rPr>
        <w:t>（款）</w:t>
      </w:r>
      <w:r>
        <w:rPr>
          <w:rFonts w:eastAsia="仿宋_GB2312"/>
          <w:sz w:val="32"/>
          <w:szCs w:val="32"/>
        </w:rPr>
        <w:t>03</w:t>
      </w:r>
      <w:r>
        <w:rPr>
          <w:rFonts w:eastAsia="仿宋_GB2312"/>
          <w:sz w:val="32"/>
          <w:szCs w:val="32"/>
        </w:rPr>
        <w:t>（项）公务员医疗补助：</w:t>
      </w:r>
      <w:r>
        <w:rPr>
          <w:rFonts w:eastAsia="仿宋_GB2312"/>
          <w:color w:val="000000"/>
          <w:sz w:val="32"/>
          <w:szCs w:val="32"/>
        </w:rPr>
        <w:t>反映财政单位安排的公务员医疗补助经费</w:t>
      </w:r>
      <w:r>
        <w:rPr>
          <w:rFonts w:eastAsia="仿宋_GB2312"/>
          <w:sz w:val="32"/>
          <w:szCs w:val="32"/>
        </w:rPr>
        <w:t>。</w:t>
      </w:r>
    </w:p>
    <w:p w:rsidR="00577046" w:rsidRDefault="002C6759">
      <w:pPr>
        <w:spacing w:line="578" w:lineRule="exact"/>
        <w:ind w:firstLineChars="200" w:firstLine="640"/>
        <w:rPr>
          <w:rFonts w:eastAsia="仿宋_GB2312"/>
          <w:sz w:val="32"/>
          <w:szCs w:val="32"/>
        </w:rPr>
      </w:pPr>
      <w:r>
        <w:rPr>
          <w:rFonts w:eastAsia="仿宋_GB2312"/>
          <w:sz w:val="32"/>
          <w:szCs w:val="32"/>
        </w:rPr>
        <w:t>210</w:t>
      </w:r>
      <w:r>
        <w:rPr>
          <w:rFonts w:eastAsia="仿宋_GB2312"/>
          <w:sz w:val="32"/>
          <w:szCs w:val="32"/>
        </w:rPr>
        <w:t>（类）</w:t>
      </w:r>
      <w:r>
        <w:rPr>
          <w:rFonts w:eastAsia="仿宋_GB2312"/>
          <w:sz w:val="32"/>
          <w:szCs w:val="32"/>
        </w:rPr>
        <w:t>11</w:t>
      </w:r>
      <w:r>
        <w:rPr>
          <w:rFonts w:eastAsia="仿宋_GB2312"/>
          <w:sz w:val="32"/>
          <w:szCs w:val="32"/>
        </w:rPr>
        <w:t>（款）</w:t>
      </w:r>
      <w:r>
        <w:rPr>
          <w:rFonts w:eastAsia="仿宋_GB2312"/>
          <w:sz w:val="32"/>
          <w:szCs w:val="32"/>
        </w:rPr>
        <w:t>99</w:t>
      </w:r>
      <w:r>
        <w:rPr>
          <w:rFonts w:eastAsia="仿宋_GB2312"/>
          <w:sz w:val="32"/>
          <w:szCs w:val="32"/>
        </w:rPr>
        <w:t>（项）其他行政事业单位医疗支出：反映除上述项目以外的用于其他行政事业单位医疗方面的支出。</w:t>
      </w:r>
    </w:p>
    <w:p w:rsidR="00577046" w:rsidRDefault="002C6759">
      <w:pPr>
        <w:spacing w:line="578" w:lineRule="exact"/>
        <w:ind w:firstLineChars="200" w:firstLine="640"/>
        <w:rPr>
          <w:rFonts w:eastAsia="仿宋_GB2312"/>
          <w:sz w:val="32"/>
          <w:szCs w:val="32"/>
        </w:rPr>
      </w:pPr>
      <w:r>
        <w:rPr>
          <w:rFonts w:eastAsia="仿宋_GB2312"/>
          <w:sz w:val="32"/>
          <w:szCs w:val="32"/>
        </w:rPr>
        <w:t>210</w:t>
      </w:r>
      <w:r>
        <w:rPr>
          <w:rFonts w:eastAsia="仿宋_GB2312"/>
          <w:sz w:val="32"/>
          <w:szCs w:val="32"/>
        </w:rPr>
        <w:t>（类）</w:t>
      </w:r>
      <w:r>
        <w:rPr>
          <w:rFonts w:eastAsia="仿宋_GB2312"/>
          <w:sz w:val="32"/>
          <w:szCs w:val="32"/>
        </w:rPr>
        <w:t>15</w:t>
      </w:r>
      <w:r>
        <w:rPr>
          <w:rFonts w:eastAsia="仿宋_GB2312"/>
          <w:sz w:val="32"/>
          <w:szCs w:val="32"/>
        </w:rPr>
        <w:t>（款）</w:t>
      </w:r>
      <w:r>
        <w:rPr>
          <w:rFonts w:eastAsia="仿宋_GB2312"/>
          <w:sz w:val="32"/>
          <w:szCs w:val="32"/>
        </w:rPr>
        <w:t>01</w:t>
      </w:r>
      <w:r>
        <w:rPr>
          <w:rFonts w:eastAsia="仿宋_GB2312"/>
          <w:sz w:val="32"/>
          <w:szCs w:val="32"/>
        </w:rPr>
        <w:t>（项）行政运行：反映行政单位</w:t>
      </w:r>
      <w:r>
        <w:rPr>
          <w:rFonts w:eastAsia="仿宋_GB2312"/>
          <w:sz w:val="32"/>
          <w:szCs w:val="32"/>
        </w:rPr>
        <w:t>(</w:t>
      </w:r>
      <w:r>
        <w:rPr>
          <w:rFonts w:eastAsia="仿宋_GB2312"/>
          <w:sz w:val="32"/>
          <w:szCs w:val="32"/>
        </w:rPr>
        <w:t>包括实行公务员管理的事业单位）的基本支出。</w:t>
      </w:r>
    </w:p>
    <w:p w:rsidR="00577046" w:rsidRDefault="002C6759">
      <w:pPr>
        <w:spacing w:line="578" w:lineRule="exact"/>
        <w:ind w:firstLineChars="200" w:firstLine="640"/>
        <w:rPr>
          <w:rFonts w:eastAsia="仿宋_GB2312"/>
          <w:sz w:val="32"/>
          <w:szCs w:val="32"/>
        </w:rPr>
      </w:pPr>
      <w:r>
        <w:rPr>
          <w:rFonts w:eastAsia="仿宋_GB2312"/>
          <w:sz w:val="32"/>
          <w:szCs w:val="32"/>
        </w:rPr>
        <w:t>210</w:t>
      </w:r>
      <w:r>
        <w:rPr>
          <w:rFonts w:eastAsia="仿宋_GB2312"/>
          <w:sz w:val="32"/>
          <w:szCs w:val="32"/>
        </w:rPr>
        <w:t>（类）</w:t>
      </w:r>
      <w:r>
        <w:rPr>
          <w:rFonts w:eastAsia="仿宋_GB2312"/>
          <w:sz w:val="32"/>
          <w:szCs w:val="32"/>
        </w:rPr>
        <w:t>15</w:t>
      </w:r>
      <w:r>
        <w:rPr>
          <w:rFonts w:eastAsia="仿宋_GB2312"/>
          <w:sz w:val="32"/>
          <w:szCs w:val="32"/>
        </w:rPr>
        <w:t>（款）</w:t>
      </w:r>
      <w:r>
        <w:rPr>
          <w:rFonts w:eastAsia="仿宋_GB2312"/>
          <w:sz w:val="32"/>
          <w:szCs w:val="32"/>
        </w:rPr>
        <w:t>06</w:t>
      </w:r>
      <w:r>
        <w:rPr>
          <w:rFonts w:eastAsia="仿宋_GB2312"/>
          <w:sz w:val="32"/>
          <w:szCs w:val="32"/>
        </w:rPr>
        <w:t>（项）医疗保障经办事务：反映</w:t>
      </w:r>
      <w:proofErr w:type="gramStart"/>
      <w:r>
        <w:rPr>
          <w:rFonts w:eastAsia="仿宋_GB2312"/>
          <w:sz w:val="32"/>
          <w:szCs w:val="32"/>
        </w:rPr>
        <w:t>医</w:t>
      </w:r>
      <w:proofErr w:type="gramEnd"/>
      <w:r>
        <w:rPr>
          <w:rFonts w:eastAsia="仿宋_GB2312"/>
          <w:sz w:val="32"/>
          <w:szCs w:val="32"/>
        </w:rPr>
        <w:t>保基金核算、精算、参保登记、权益记录、转移接续等医疗保障经办支出。</w:t>
      </w:r>
    </w:p>
    <w:p w:rsidR="00577046" w:rsidRDefault="002C6759">
      <w:pPr>
        <w:spacing w:line="578" w:lineRule="exact"/>
        <w:ind w:firstLineChars="200" w:firstLine="640"/>
        <w:rPr>
          <w:rFonts w:eastAsia="仿宋_GB2312"/>
          <w:sz w:val="32"/>
          <w:szCs w:val="32"/>
        </w:rPr>
      </w:pPr>
      <w:r>
        <w:rPr>
          <w:rFonts w:eastAsia="仿宋_GB2312"/>
          <w:sz w:val="32"/>
          <w:szCs w:val="32"/>
        </w:rPr>
        <w:t>210</w:t>
      </w:r>
      <w:r>
        <w:rPr>
          <w:rFonts w:eastAsia="仿宋_GB2312"/>
          <w:sz w:val="32"/>
          <w:szCs w:val="32"/>
        </w:rPr>
        <w:t>（类）</w:t>
      </w:r>
      <w:r>
        <w:rPr>
          <w:rFonts w:eastAsia="仿宋_GB2312"/>
          <w:sz w:val="32"/>
          <w:szCs w:val="32"/>
        </w:rPr>
        <w:t>15</w:t>
      </w:r>
      <w:r>
        <w:rPr>
          <w:rFonts w:eastAsia="仿宋_GB2312"/>
          <w:sz w:val="32"/>
          <w:szCs w:val="32"/>
        </w:rPr>
        <w:t>（款）</w:t>
      </w:r>
      <w:r>
        <w:rPr>
          <w:rFonts w:eastAsia="仿宋_GB2312"/>
          <w:sz w:val="32"/>
          <w:szCs w:val="32"/>
        </w:rPr>
        <w:t>99</w:t>
      </w:r>
      <w:r>
        <w:rPr>
          <w:rFonts w:eastAsia="仿宋_GB2312"/>
          <w:sz w:val="32"/>
          <w:szCs w:val="32"/>
        </w:rPr>
        <w:t>（项）其他医疗保障管理事务支出：反映除上述项目以外的其他用于医疗保障管理事务方面的支出。</w:t>
      </w:r>
    </w:p>
    <w:p w:rsidR="00577046" w:rsidRDefault="002C6759">
      <w:pPr>
        <w:spacing w:line="578" w:lineRule="exact"/>
        <w:ind w:firstLineChars="200" w:firstLine="640"/>
        <w:rPr>
          <w:rFonts w:eastAsia="仿宋"/>
          <w:b/>
          <w:sz w:val="32"/>
          <w:szCs w:val="32"/>
        </w:rPr>
      </w:pPr>
      <w:r>
        <w:rPr>
          <w:rFonts w:eastAsia="仿宋_GB2312"/>
          <w:sz w:val="32"/>
          <w:szCs w:val="32"/>
        </w:rPr>
        <w:t>12.</w:t>
      </w:r>
      <w:r>
        <w:rPr>
          <w:rFonts w:eastAsia="仿宋_GB2312"/>
          <w:sz w:val="32"/>
          <w:szCs w:val="32"/>
        </w:rPr>
        <w:t>住房保障</w:t>
      </w:r>
      <w:r>
        <w:rPr>
          <w:rFonts w:eastAsia="仿宋_GB2312"/>
          <w:sz w:val="32"/>
          <w:szCs w:val="32"/>
        </w:rPr>
        <w:t>221</w:t>
      </w:r>
      <w:r>
        <w:rPr>
          <w:rFonts w:eastAsia="仿宋_GB2312"/>
          <w:sz w:val="32"/>
          <w:szCs w:val="32"/>
        </w:rPr>
        <w:t>（类）</w:t>
      </w:r>
      <w:r>
        <w:rPr>
          <w:rFonts w:eastAsia="仿宋_GB2312"/>
          <w:sz w:val="32"/>
          <w:szCs w:val="32"/>
        </w:rPr>
        <w:t>02</w:t>
      </w:r>
      <w:r>
        <w:rPr>
          <w:rFonts w:eastAsia="仿宋_GB2312"/>
          <w:sz w:val="32"/>
          <w:szCs w:val="32"/>
        </w:rPr>
        <w:t>（款）</w:t>
      </w:r>
      <w:r>
        <w:rPr>
          <w:rFonts w:eastAsia="仿宋_GB2312"/>
          <w:sz w:val="32"/>
          <w:szCs w:val="32"/>
        </w:rPr>
        <w:t>01</w:t>
      </w:r>
      <w:r>
        <w:rPr>
          <w:rFonts w:eastAsia="仿宋_GB2312"/>
          <w:sz w:val="32"/>
          <w:szCs w:val="32"/>
        </w:rPr>
        <w:t>（项）住房公积金：</w:t>
      </w:r>
      <w:r>
        <w:rPr>
          <w:rFonts w:eastAsia="仿宋_GB2312"/>
          <w:color w:val="000000"/>
          <w:sz w:val="32"/>
          <w:szCs w:val="32"/>
        </w:rPr>
        <w:t>反映行政事业单位按人力资源和社会保障部、财政部规定的基本工资和津贴补贴以及规定比例为职工缴纳的住房公积金</w:t>
      </w:r>
      <w:r>
        <w:rPr>
          <w:rFonts w:eastAsia="仿宋_GB2312"/>
          <w:sz w:val="32"/>
          <w:szCs w:val="32"/>
        </w:rPr>
        <w:t>。</w:t>
      </w:r>
    </w:p>
    <w:p w:rsidR="00577046" w:rsidRDefault="002C6759">
      <w:pPr>
        <w:spacing w:line="578" w:lineRule="exact"/>
        <w:ind w:firstLineChars="200" w:firstLine="640"/>
        <w:rPr>
          <w:rFonts w:eastAsia="仿宋_GB2312"/>
          <w:sz w:val="32"/>
          <w:szCs w:val="32"/>
        </w:rPr>
      </w:pPr>
      <w:r>
        <w:rPr>
          <w:rFonts w:eastAsia="仿宋_GB2312"/>
          <w:sz w:val="32"/>
          <w:szCs w:val="32"/>
        </w:rPr>
        <w:t>13.</w:t>
      </w:r>
      <w:r>
        <w:rPr>
          <w:rFonts w:eastAsia="仿宋_GB2312"/>
          <w:sz w:val="32"/>
          <w:szCs w:val="32"/>
        </w:rPr>
        <w:t>基本支出：指为保障机构正常运转、完成日常工作任务而发生的人员支出和公用支出。</w:t>
      </w:r>
    </w:p>
    <w:p w:rsidR="00577046" w:rsidRDefault="002C6759">
      <w:pPr>
        <w:spacing w:line="578" w:lineRule="exact"/>
        <w:ind w:firstLineChars="200" w:firstLine="640"/>
        <w:rPr>
          <w:rFonts w:eastAsia="仿宋_GB2312"/>
          <w:sz w:val="32"/>
          <w:szCs w:val="32"/>
        </w:rPr>
      </w:pPr>
      <w:r>
        <w:rPr>
          <w:rFonts w:eastAsia="仿宋_GB2312"/>
          <w:sz w:val="32"/>
          <w:szCs w:val="32"/>
        </w:rPr>
        <w:t>14.</w:t>
      </w:r>
      <w:r>
        <w:rPr>
          <w:rFonts w:eastAsia="仿宋_GB2312"/>
          <w:sz w:val="32"/>
          <w:szCs w:val="32"/>
        </w:rPr>
        <w:t>项目支出：指在基本支出之外为完成特定行政任务和事业发展目标所发生的支出。</w:t>
      </w:r>
      <w:r>
        <w:rPr>
          <w:rFonts w:eastAsia="仿宋_GB2312"/>
          <w:sz w:val="32"/>
          <w:szCs w:val="32"/>
        </w:rPr>
        <w:t xml:space="preserve"> </w:t>
      </w:r>
    </w:p>
    <w:p w:rsidR="00577046" w:rsidRDefault="002C6759">
      <w:pPr>
        <w:spacing w:line="578" w:lineRule="exact"/>
        <w:ind w:firstLineChars="200" w:firstLine="640"/>
        <w:rPr>
          <w:rFonts w:eastAsia="仿宋_GB2312"/>
          <w:sz w:val="32"/>
          <w:szCs w:val="32"/>
        </w:rPr>
      </w:pPr>
      <w:r>
        <w:rPr>
          <w:rFonts w:eastAsia="仿宋_GB2312"/>
          <w:sz w:val="32"/>
          <w:szCs w:val="32"/>
        </w:rPr>
        <w:t>15.</w:t>
      </w:r>
      <w:r>
        <w:rPr>
          <w:rFonts w:eastAsia="仿宋_GB2312"/>
          <w:sz w:val="32"/>
          <w:szCs w:val="32"/>
        </w:rPr>
        <w:t>经营支出：指事业单位在专业业务活动及其辅助活动之外开展非独立核算经营活动发生的支出。</w:t>
      </w:r>
    </w:p>
    <w:p w:rsidR="00577046" w:rsidRDefault="002C6759">
      <w:pPr>
        <w:pStyle w:val="Default"/>
        <w:spacing w:line="578"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16.“</w:t>
      </w:r>
      <w:r>
        <w:rPr>
          <w:rFonts w:ascii="Times New Roman" w:eastAsia="仿宋_GB2312" w:hAnsi="Times New Roman" w:cs="Times New Roman"/>
          <w:color w:val="auto"/>
          <w:sz w:val="32"/>
          <w:szCs w:val="32"/>
        </w:rPr>
        <w:t>三公</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经费：指单位用财政拨款安排的因公出国（境）费、公务用车购置及运行费和公务接待费。其中，因公出国（境）</w:t>
      </w:r>
      <w:proofErr w:type="gramStart"/>
      <w:r>
        <w:rPr>
          <w:rFonts w:ascii="Times New Roman" w:eastAsia="仿宋_GB2312" w:hAnsi="Times New Roman" w:cs="Times New Roman"/>
          <w:color w:val="auto"/>
          <w:sz w:val="32"/>
          <w:szCs w:val="32"/>
        </w:rPr>
        <w:t>费反映</w:t>
      </w:r>
      <w:proofErr w:type="gramEnd"/>
      <w:r>
        <w:rPr>
          <w:rFonts w:ascii="Times New Roman" w:eastAsia="仿宋_GB2312" w:hAnsi="Times New Roman" w:cs="Times New Roman"/>
          <w:color w:val="auto"/>
          <w:sz w:val="32"/>
          <w:szCs w:val="32"/>
        </w:rPr>
        <w:t>单位公务出国（境）的国际旅费、国外城市间交通费、住宿费、伙食费、培训费、公杂费等支出；公务用车购置及运行</w:t>
      </w:r>
      <w:proofErr w:type="gramStart"/>
      <w:r>
        <w:rPr>
          <w:rFonts w:ascii="Times New Roman" w:eastAsia="仿宋_GB2312" w:hAnsi="Times New Roman" w:cs="Times New Roman"/>
          <w:color w:val="auto"/>
          <w:sz w:val="32"/>
          <w:szCs w:val="32"/>
        </w:rPr>
        <w:t>费反映</w:t>
      </w:r>
      <w:proofErr w:type="gramEnd"/>
      <w:r>
        <w:rPr>
          <w:rFonts w:ascii="Times New Roman" w:eastAsia="仿宋_GB2312" w:hAnsi="Times New Roman" w:cs="Times New Roman"/>
          <w:color w:val="auto"/>
          <w:sz w:val="32"/>
          <w:szCs w:val="32"/>
        </w:rPr>
        <w:t>公务用车车辆购置支出（</w:t>
      </w:r>
      <w:proofErr w:type="gramStart"/>
      <w:r>
        <w:rPr>
          <w:rFonts w:ascii="Times New Roman" w:eastAsia="仿宋_GB2312" w:hAnsi="Times New Roman" w:cs="Times New Roman"/>
          <w:color w:val="auto"/>
          <w:sz w:val="32"/>
          <w:szCs w:val="32"/>
        </w:rPr>
        <w:t>含车辆</w:t>
      </w:r>
      <w:proofErr w:type="gramEnd"/>
      <w:r>
        <w:rPr>
          <w:rFonts w:ascii="Times New Roman" w:eastAsia="仿宋_GB2312" w:hAnsi="Times New Roman" w:cs="Times New Roman"/>
          <w:color w:val="auto"/>
          <w:sz w:val="32"/>
          <w:szCs w:val="32"/>
        </w:rPr>
        <w:t>购置税）及租用费、燃料费、维修费、过路过桥费、保险费等支出；公务接待</w:t>
      </w:r>
      <w:proofErr w:type="gramStart"/>
      <w:r>
        <w:rPr>
          <w:rFonts w:ascii="Times New Roman" w:eastAsia="仿宋_GB2312" w:hAnsi="Times New Roman" w:cs="Times New Roman"/>
          <w:color w:val="auto"/>
          <w:sz w:val="32"/>
          <w:szCs w:val="32"/>
        </w:rPr>
        <w:t>费反映</w:t>
      </w:r>
      <w:proofErr w:type="gramEnd"/>
      <w:r>
        <w:rPr>
          <w:rFonts w:ascii="Times New Roman" w:eastAsia="仿宋_GB2312" w:hAnsi="Times New Roman" w:cs="Times New Roman"/>
          <w:color w:val="auto"/>
          <w:sz w:val="32"/>
          <w:szCs w:val="32"/>
        </w:rPr>
        <w:t>单位按规定开支的各类公务接待（含外宾接待）支出。</w:t>
      </w:r>
    </w:p>
    <w:p w:rsidR="00577046" w:rsidRDefault="002C6759">
      <w:pPr>
        <w:spacing w:line="600" w:lineRule="exact"/>
        <w:ind w:firstLineChars="200" w:firstLine="640"/>
        <w:jc w:val="left"/>
        <w:rPr>
          <w:rFonts w:eastAsia="仿宋_GB2312"/>
          <w:kern w:val="0"/>
          <w:sz w:val="32"/>
          <w:szCs w:val="32"/>
        </w:rPr>
      </w:pPr>
      <w:r>
        <w:rPr>
          <w:rFonts w:eastAsia="仿宋_GB2312"/>
          <w:sz w:val="32"/>
          <w:szCs w:val="32"/>
        </w:rPr>
        <w:t>17.</w:t>
      </w:r>
      <w:r>
        <w:rPr>
          <w:rFonts w:eastAsia="仿宋_GB2312"/>
          <w:sz w:val="32"/>
          <w:szCs w:val="32"/>
        </w:rPr>
        <w:t>机关运行经费：为保障行政部门（含参照公务员法管理的事业单位）运行用于购买货物和服务的各项资金，包括办公及印刷费、邮电费、差旅费、会</w:t>
      </w:r>
      <w:r>
        <w:rPr>
          <w:rFonts w:eastAsia="仿宋_GB2312"/>
          <w:kern w:val="0"/>
          <w:sz w:val="32"/>
          <w:szCs w:val="32"/>
        </w:rPr>
        <w:t>议费、福利费、日常维修费、专用材料及一般设备购置费、办公用房水电费、办公用房取暖费、办公用房物业管理费、公务用车运行维护费以及其他费用。</w:t>
      </w:r>
    </w:p>
    <w:p w:rsidR="00577046" w:rsidRDefault="00577046" w:rsidP="002A41B6">
      <w:pPr>
        <w:spacing w:line="600" w:lineRule="exact"/>
        <w:jc w:val="left"/>
        <w:rPr>
          <w:rFonts w:eastAsia="仿宋_GB2312"/>
          <w:kern w:val="0"/>
          <w:sz w:val="32"/>
          <w:szCs w:val="32"/>
        </w:rPr>
        <w:sectPr w:rsidR="00577046">
          <w:headerReference w:type="default" r:id="rId16"/>
          <w:footerReference w:type="default" r:id="rId17"/>
          <w:headerReference w:type="first" r:id="rId18"/>
          <w:pgSz w:w="11906" w:h="16838"/>
          <w:pgMar w:top="1440" w:right="1800" w:bottom="1440" w:left="1800" w:header="851" w:footer="992" w:gutter="0"/>
          <w:pgNumType w:fmt="numberInDash" w:start="1"/>
          <w:cols w:space="425"/>
          <w:titlePg/>
          <w:docGrid w:type="lines" w:linePitch="312"/>
        </w:sectPr>
      </w:pPr>
    </w:p>
    <w:p w:rsidR="002A41B6" w:rsidRDefault="002A41B6" w:rsidP="002A41B6">
      <w:pPr>
        <w:tabs>
          <w:tab w:val="left" w:pos="417"/>
        </w:tabs>
        <w:spacing w:line="600" w:lineRule="exact"/>
        <w:jc w:val="center"/>
        <w:rPr>
          <w:rFonts w:eastAsia="黑体"/>
          <w:sz w:val="32"/>
          <w:szCs w:val="32"/>
        </w:rPr>
      </w:pPr>
      <w:r>
        <w:rPr>
          <w:rFonts w:eastAsia="黑体"/>
          <w:sz w:val="44"/>
          <w:szCs w:val="44"/>
        </w:rPr>
        <w:t>第四部分</w:t>
      </w:r>
      <w:r>
        <w:rPr>
          <w:rFonts w:eastAsia="黑体" w:hint="eastAsia"/>
          <w:sz w:val="44"/>
          <w:szCs w:val="44"/>
        </w:rPr>
        <w:t xml:space="preserve"> </w:t>
      </w:r>
      <w:r>
        <w:rPr>
          <w:rFonts w:eastAsia="黑体" w:hint="eastAsia"/>
          <w:sz w:val="44"/>
          <w:szCs w:val="44"/>
        </w:rPr>
        <w:t>附件</w:t>
      </w:r>
    </w:p>
    <w:p w:rsidR="002A41B6" w:rsidRDefault="002A41B6" w:rsidP="002A41B6">
      <w:pPr>
        <w:tabs>
          <w:tab w:val="left" w:pos="417"/>
        </w:tabs>
        <w:spacing w:line="600" w:lineRule="exact"/>
        <w:jc w:val="left"/>
        <w:rPr>
          <w:rFonts w:eastAsia="黑体"/>
          <w:sz w:val="32"/>
          <w:szCs w:val="32"/>
        </w:rPr>
      </w:pPr>
      <w:r>
        <w:rPr>
          <w:rFonts w:eastAsia="黑体" w:hint="eastAsia"/>
          <w:sz w:val="32"/>
          <w:szCs w:val="32"/>
        </w:rPr>
        <w:t>附件</w:t>
      </w:r>
      <w:r>
        <w:rPr>
          <w:rFonts w:eastAsia="黑体" w:hint="eastAsia"/>
          <w:sz w:val="32"/>
          <w:szCs w:val="32"/>
        </w:rPr>
        <w:t>1</w:t>
      </w:r>
    </w:p>
    <w:tbl>
      <w:tblPr>
        <w:tblW w:w="5000" w:type="pct"/>
        <w:jc w:val="center"/>
        <w:tblCellMar>
          <w:left w:w="0" w:type="dxa"/>
          <w:right w:w="0" w:type="dxa"/>
        </w:tblCellMar>
        <w:tblLook w:val="04A0"/>
      </w:tblPr>
      <w:tblGrid>
        <w:gridCol w:w="575"/>
        <w:gridCol w:w="2051"/>
        <w:gridCol w:w="1030"/>
        <w:gridCol w:w="2232"/>
        <w:gridCol w:w="481"/>
        <w:gridCol w:w="1469"/>
        <w:gridCol w:w="504"/>
        <w:gridCol w:w="1404"/>
        <w:gridCol w:w="490"/>
        <w:gridCol w:w="1164"/>
        <w:gridCol w:w="2588"/>
      </w:tblGrid>
      <w:tr w:rsidR="002A41B6" w:rsidTr="002C6759">
        <w:trPr>
          <w:trHeight w:val="639"/>
          <w:jc w:val="center"/>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852CC7" w:rsidP="002C6759">
            <w:pPr>
              <w:widowControl/>
              <w:jc w:val="center"/>
              <w:textAlignment w:val="center"/>
              <w:rPr>
                <w:rFonts w:eastAsia="黑体"/>
                <w:b/>
                <w:color w:val="000000"/>
                <w:sz w:val="30"/>
                <w:szCs w:val="30"/>
              </w:rPr>
            </w:pPr>
            <w:r>
              <w:rPr>
                <w:rFonts w:eastAsia="黑体"/>
                <w:b/>
                <w:color w:val="000000"/>
                <w:kern w:val="0"/>
                <w:sz w:val="30"/>
                <w:szCs w:val="30"/>
              </w:rPr>
              <w:t>单位</w:t>
            </w:r>
            <w:r w:rsidR="002A41B6">
              <w:rPr>
                <w:rFonts w:eastAsia="黑体"/>
                <w:b/>
                <w:color w:val="000000"/>
                <w:kern w:val="0"/>
                <w:sz w:val="30"/>
                <w:szCs w:val="30"/>
              </w:rPr>
              <w:t>预算项目支出绩效自评表（</w:t>
            </w:r>
            <w:r w:rsidR="002A41B6">
              <w:rPr>
                <w:rFonts w:eastAsia="黑体"/>
                <w:b/>
                <w:color w:val="000000"/>
                <w:kern w:val="0"/>
                <w:sz w:val="30"/>
                <w:szCs w:val="30"/>
              </w:rPr>
              <w:t>2024</w:t>
            </w:r>
            <w:r w:rsidR="002A41B6">
              <w:rPr>
                <w:rFonts w:eastAsia="黑体"/>
                <w:b/>
                <w:color w:val="000000"/>
                <w:kern w:val="0"/>
                <w:sz w:val="30"/>
                <w:szCs w:val="30"/>
              </w:rPr>
              <w:t>年度）</w:t>
            </w:r>
          </w:p>
        </w:tc>
      </w:tr>
      <w:tr w:rsidR="002A41B6" w:rsidTr="002A41B6">
        <w:trPr>
          <w:trHeight w:val="286"/>
          <w:jc w:val="center"/>
        </w:trPr>
        <w:tc>
          <w:tcPr>
            <w:tcW w:w="93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项目名称</w:t>
            </w:r>
          </w:p>
        </w:tc>
        <w:tc>
          <w:tcPr>
            <w:tcW w:w="4061" w:type="pct"/>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51040022T000000387972-</w:t>
            </w:r>
            <w:proofErr w:type="gramStart"/>
            <w:r>
              <w:rPr>
                <w:rFonts w:eastAsia="微软雅黑"/>
                <w:color w:val="000000"/>
                <w:kern w:val="0"/>
                <w:sz w:val="18"/>
                <w:szCs w:val="18"/>
              </w:rPr>
              <w:t>医</w:t>
            </w:r>
            <w:proofErr w:type="gramEnd"/>
            <w:r>
              <w:rPr>
                <w:rFonts w:eastAsia="微软雅黑"/>
                <w:color w:val="000000"/>
                <w:kern w:val="0"/>
                <w:sz w:val="18"/>
                <w:szCs w:val="18"/>
              </w:rPr>
              <w:t>保定点医药机构监管经费</w:t>
            </w:r>
          </w:p>
        </w:tc>
      </w:tr>
      <w:tr w:rsidR="002A41B6" w:rsidTr="002A41B6">
        <w:trPr>
          <w:trHeight w:val="432"/>
          <w:jc w:val="center"/>
        </w:trPr>
        <w:tc>
          <w:tcPr>
            <w:tcW w:w="93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主管</w:t>
            </w:r>
            <w:r w:rsidR="00852CC7">
              <w:rPr>
                <w:rFonts w:eastAsia="微软雅黑"/>
                <w:color w:val="000000"/>
                <w:kern w:val="0"/>
                <w:sz w:val="18"/>
                <w:szCs w:val="18"/>
              </w:rPr>
              <w:t>单位</w:t>
            </w:r>
          </w:p>
        </w:tc>
        <w:tc>
          <w:tcPr>
            <w:tcW w:w="2043"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攀枝花市医疗保障事务中心</w:t>
            </w:r>
          </w:p>
        </w:tc>
        <w:tc>
          <w:tcPr>
            <w:tcW w:w="502" w:type="pct"/>
            <w:tcBorders>
              <w:top w:val="nil"/>
              <w:left w:val="nil"/>
              <w:bottom w:val="nil"/>
              <w:right w:val="nil"/>
            </w:tcBorders>
            <w:shd w:val="clear" w:color="auto" w:fill="auto"/>
            <w:tcMar>
              <w:top w:w="15" w:type="dxa"/>
              <w:left w:w="15" w:type="dxa"/>
              <w:right w:w="15" w:type="dxa"/>
            </w:tcMar>
            <w:vAlign w:val="center"/>
          </w:tcPr>
          <w:p w:rsidR="002A41B6" w:rsidRDefault="002A41B6" w:rsidP="00026D1D">
            <w:pPr>
              <w:widowControl/>
              <w:jc w:val="center"/>
              <w:textAlignment w:val="center"/>
              <w:rPr>
                <w:rFonts w:eastAsia="微软雅黑"/>
                <w:color w:val="000000"/>
                <w:sz w:val="18"/>
                <w:szCs w:val="18"/>
              </w:rPr>
            </w:pPr>
            <w:r>
              <w:rPr>
                <w:rFonts w:eastAsia="微软雅黑"/>
                <w:color w:val="000000"/>
                <w:kern w:val="0"/>
                <w:sz w:val="18"/>
                <w:szCs w:val="18"/>
              </w:rPr>
              <w:t>实施单位</w:t>
            </w:r>
          </w:p>
        </w:tc>
        <w:tc>
          <w:tcPr>
            <w:tcW w:w="15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攀枝花市医疗保障事务中心</w:t>
            </w:r>
          </w:p>
        </w:tc>
      </w:tr>
      <w:tr w:rsidR="002A41B6" w:rsidTr="002A41B6">
        <w:trPr>
          <w:trHeight w:val="286"/>
          <w:jc w:val="center"/>
        </w:trPr>
        <w:tc>
          <w:tcPr>
            <w:tcW w:w="20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项目基本情况</w:t>
            </w:r>
          </w:p>
        </w:tc>
        <w:tc>
          <w:tcPr>
            <w:tcW w:w="73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1.</w:t>
            </w:r>
            <w:r>
              <w:rPr>
                <w:rFonts w:eastAsia="微软雅黑"/>
                <w:color w:val="000000"/>
                <w:kern w:val="0"/>
                <w:sz w:val="18"/>
                <w:szCs w:val="18"/>
              </w:rPr>
              <w:t>项目年度目标完成情况</w:t>
            </w:r>
          </w:p>
        </w:tc>
        <w:tc>
          <w:tcPr>
            <w:tcW w:w="2043"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项目年度目标</w:t>
            </w:r>
          </w:p>
        </w:tc>
        <w:tc>
          <w:tcPr>
            <w:tcW w:w="2018"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年度目标完成情况</w:t>
            </w:r>
          </w:p>
        </w:tc>
      </w:tr>
      <w:tr w:rsidR="002A41B6" w:rsidTr="002A41B6">
        <w:trPr>
          <w:trHeight w:val="708"/>
          <w:jc w:val="center"/>
        </w:trPr>
        <w:tc>
          <w:tcPr>
            <w:tcW w:w="20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rPr>
                <w:rFonts w:eastAsia="微软雅黑"/>
                <w:color w:val="000000"/>
                <w:sz w:val="18"/>
                <w:szCs w:val="18"/>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rPr>
                <w:rFonts w:eastAsia="微软雅黑"/>
                <w:color w:val="000000"/>
                <w:sz w:val="18"/>
                <w:szCs w:val="18"/>
              </w:rPr>
            </w:pPr>
          </w:p>
        </w:tc>
        <w:tc>
          <w:tcPr>
            <w:tcW w:w="2043"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通过加大对</w:t>
            </w:r>
            <w:proofErr w:type="gramStart"/>
            <w:r>
              <w:rPr>
                <w:rFonts w:eastAsia="微软雅黑"/>
                <w:color w:val="000000"/>
                <w:kern w:val="0"/>
                <w:sz w:val="18"/>
                <w:szCs w:val="18"/>
              </w:rPr>
              <w:t>医</w:t>
            </w:r>
            <w:proofErr w:type="gramEnd"/>
            <w:r>
              <w:rPr>
                <w:rFonts w:eastAsia="微软雅黑"/>
                <w:color w:val="000000"/>
                <w:kern w:val="0"/>
                <w:sz w:val="18"/>
                <w:szCs w:val="18"/>
              </w:rPr>
              <w:t>保基金监管经费的投入，为我市医疗保障基金挽回大量的基金损失，欺诈骗</w:t>
            </w:r>
            <w:proofErr w:type="gramStart"/>
            <w:r>
              <w:rPr>
                <w:rFonts w:eastAsia="微软雅黑"/>
                <w:color w:val="000000"/>
                <w:kern w:val="0"/>
                <w:sz w:val="18"/>
                <w:szCs w:val="18"/>
              </w:rPr>
              <w:t>保行为</w:t>
            </w:r>
            <w:proofErr w:type="gramEnd"/>
            <w:r>
              <w:rPr>
                <w:rFonts w:eastAsia="微软雅黑"/>
                <w:color w:val="000000"/>
                <w:kern w:val="0"/>
                <w:sz w:val="18"/>
                <w:szCs w:val="18"/>
              </w:rPr>
              <w:t>得到有效的遏制，</w:t>
            </w:r>
            <w:proofErr w:type="gramStart"/>
            <w:r>
              <w:rPr>
                <w:rFonts w:eastAsia="微软雅黑"/>
                <w:color w:val="000000"/>
                <w:kern w:val="0"/>
                <w:sz w:val="18"/>
                <w:szCs w:val="18"/>
              </w:rPr>
              <w:t>医</w:t>
            </w:r>
            <w:proofErr w:type="gramEnd"/>
            <w:r>
              <w:rPr>
                <w:rFonts w:eastAsia="微软雅黑"/>
                <w:color w:val="000000"/>
                <w:kern w:val="0"/>
                <w:sz w:val="18"/>
                <w:szCs w:val="18"/>
              </w:rPr>
              <w:t>保基金使用高效、安全，社会效应和经济效应明显。</w:t>
            </w:r>
          </w:p>
        </w:tc>
        <w:tc>
          <w:tcPr>
            <w:tcW w:w="2018"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按时发放</w:t>
            </w:r>
            <w:r>
              <w:rPr>
                <w:rFonts w:eastAsia="微软雅黑" w:hint="eastAsia"/>
                <w:color w:val="000000"/>
                <w:kern w:val="0"/>
                <w:sz w:val="18"/>
                <w:szCs w:val="18"/>
              </w:rPr>
              <w:t>监管稽核聘用人员劳务费</w:t>
            </w:r>
            <w:r>
              <w:rPr>
                <w:rFonts w:eastAsia="微软雅黑"/>
                <w:color w:val="000000"/>
                <w:kern w:val="0"/>
                <w:sz w:val="18"/>
                <w:szCs w:val="18"/>
              </w:rPr>
              <w:t>，完成监管检查、协查。逐步提升</w:t>
            </w:r>
            <w:proofErr w:type="gramStart"/>
            <w:r>
              <w:rPr>
                <w:rFonts w:eastAsia="微软雅黑"/>
                <w:color w:val="000000"/>
                <w:kern w:val="0"/>
                <w:sz w:val="18"/>
                <w:szCs w:val="18"/>
              </w:rPr>
              <w:t>医</w:t>
            </w:r>
            <w:proofErr w:type="gramEnd"/>
            <w:r>
              <w:rPr>
                <w:rFonts w:eastAsia="微软雅黑"/>
                <w:color w:val="000000"/>
                <w:kern w:val="0"/>
                <w:sz w:val="18"/>
                <w:szCs w:val="18"/>
              </w:rPr>
              <w:t>保经办机构稽核、监管水平，维护</w:t>
            </w:r>
            <w:proofErr w:type="gramStart"/>
            <w:r>
              <w:rPr>
                <w:rFonts w:eastAsia="微软雅黑"/>
                <w:color w:val="000000"/>
                <w:kern w:val="0"/>
                <w:sz w:val="18"/>
                <w:szCs w:val="18"/>
              </w:rPr>
              <w:t>医</w:t>
            </w:r>
            <w:proofErr w:type="gramEnd"/>
            <w:r>
              <w:rPr>
                <w:rFonts w:eastAsia="微软雅黑"/>
                <w:color w:val="000000"/>
                <w:kern w:val="0"/>
                <w:sz w:val="18"/>
                <w:szCs w:val="18"/>
              </w:rPr>
              <w:t>保基金安全。</w:t>
            </w:r>
          </w:p>
        </w:tc>
      </w:tr>
      <w:tr w:rsidR="002A41B6" w:rsidTr="002A41B6">
        <w:trPr>
          <w:trHeight w:val="533"/>
          <w:jc w:val="center"/>
        </w:trPr>
        <w:tc>
          <w:tcPr>
            <w:tcW w:w="20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rPr>
                <w:rFonts w:eastAsia="微软雅黑"/>
                <w:color w:val="000000"/>
                <w:sz w:val="18"/>
                <w:szCs w:val="18"/>
              </w:rPr>
            </w:pP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2.</w:t>
            </w:r>
            <w:r>
              <w:rPr>
                <w:rFonts w:eastAsia="微软雅黑"/>
                <w:color w:val="000000"/>
                <w:kern w:val="0"/>
                <w:sz w:val="18"/>
                <w:szCs w:val="18"/>
              </w:rPr>
              <w:t>项目实施内容及过程概述</w:t>
            </w:r>
          </w:p>
        </w:tc>
        <w:tc>
          <w:tcPr>
            <w:tcW w:w="4061" w:type="pct"/>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rPr>
                <w:rFonts w:eastAsia="微软雅黑"/>
                <w:color w:val="000000"/>
                <w:sz w:val="18"/>
                <w:szCs w:val="18"/>
              </w:rPr>
            </w:pPr>
            <w:r>
              <w:rPr>
                <w:rFonts w:eastAsia="微软雅黑" w:hint="eastAsia"/>
                <w:color w:val="000000"/>
                <w:sz w:val="18"/>
                <w:szCs w:val="18"/>
              </w:rPr>
              <w:t>市、县（区）两级</w:t>
            </w:r>
            <w:proofErr w:type="gramStart"/>
            <w:r>
              <w:rPr>
                <w:rFonts w:eastAsia="微软雅黑" w:hint="eastAsia"/>
                <w:color w:val="000000"/>
                <w:sz w:val="18"/>
                <w:szCs w:val="18"/>
              </w:rPr>
              <w:t>医</w:t>
            </w:r>
            <w:proofErr w:type="gramEnd"/>
            <w:r>
              <w:rPr>
                <w:rFonts w:eastAsia="微软雅黑" w:hint="eastAsia"/>
                <w:color w:val="000000"/>
                <w:sz w:val="18"/>
                <w:szCs w:val="18"/>
              </w:rPr>
              <w:t>保经办机构聘用监管稽核人员开展基金监管稽核工作，参与国家、省、市</w:t>
            </w:r>
            <w:proofErr w:type="gramStart"/>
            <w:r>
              <w:rPr>
                <w:rFonts w:eastAsia="微软雅黑" w:hint="eastAsia"/>
                <w:color w:val="000000"/>
                <w:sz w:val="18"/>
                <w:szCs w:val="18"/>
              </w:rPr>
              <w:t>医</w:t>
            </w:r>
            <w:proofErr w:type="gramEnd"/>
            <w:r>
              <w:rPr>
                <w:rFonts w:eastAsia="微软雅黑" w:hint="eastAsia"/>
                <w:color w:val="000000"/>
                <w:sz w:val="18"/>
                <w:szCs w:val="18"/>
              </w:rPr>
              <w:t>保基金交叉检查及飞行检查，购买必需的监管稽核工作设备。</w:t>
            </w:r>
          </w:p>
        </w:tc>
      </w:tr>
      <w:tr w:rsidR="002A41B6" w:rsidTr="002A41B6">
        <w:trPr>
          <w:trHeight w:val="361"/>
          <w:jc w:val="center"/>
        </w:trPr>
        <w:tc>
          <w:tcPr>
            <w:tcW w:w="20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预算执行情况（</w:t>
            </w:r>
            <w:r>
              <w:rPr>
                <w:rFonts w:eastAsia="微软雅黑"/>
                <w:color w:val="000000"/>
                <w:kern w:val="0"/>
                <w:sz w:val="18"/>
                <w:szCs w:val="18"/>
              </w:rPr>
              <w:t>10</w:t>
            </w:r>
            <w:r>
              <w:rPr>
                <w:rFonts w:eastAsia="微软雅黑"/>
                <w:color w:val="000000"/>
                <w:kern w:val="0"/>
                <w:sz w:val="18"/>
                <w:szCs w:val="18"/>
              </w:rPr>
              <w:t>分）</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年度预算数（万元）</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年初预算</w:t>
            </w: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调整</w:t>
            </w:r>
            <w:proofErr w:type="gramStart"/>
            <w:r>
              <w:rPr>
                <w:rFonts w:eastAsia="微软雅黑"/>
                <w:color w:val="000000"/>
                <w:kern w:val="0"/>
                <w:sz w:val="18"/>
                <w:szCs w:val="18"/>
              </w:rPr>
              <w:t>后预算</w:t>
            </w:r>
            <w:proofErr w:type="gramEnd"/>
            <w:r>
              <w:rPr>
                <w:rFonts w:eastAsia="微软雅黑"/>
                <w:color w:val="000000"/>
                <w:kern w:val="0"/>
                <w:sz w:val="18"/>
                <w:szCs w:val="18"/>
              </w:rPr>
              <w:t>数</w:t>
            </w:r>
          </w:p>
        </w:tc>
        <w:tc>
          <w:tcPr>
            <w:tcW w:w="87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预算执行数</w:t>
            </w:r>
          </w:p>
        </w:tc>
        <w:tc>
          <w:tcPr>
            <w:tcW w:w="5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预算执行率</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权重</w:t>
            </w:r>
          </w:p>
        </w:tc>
        <w:tc>
          <w:tcPr>
            <w:tcW w:w="4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得分</w:t>
            </w:r>
          </w:p>
        </w:tc>
        <w:tc>
          <w:tcPr>
            <w:tcW w:w="9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原因</w:t>
            </w:r>
          </w:p>
        </w:tc>
      </w:tr>
      <w:tr w:rsidR="002A41B6" w:rsidTr="002A41B6">
        <w:trPr>
          <w:trHeight w:val="346"/>
          <w:jc w:val="center"/>
        </w:trPr>
        <w:tc>
          <w:tcPr>
            <w:tcW w:w="20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总额</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73.00</w:t>
            </w:r>
          </w:p>
        </w:tc>
        <w:tc>
          <w:tcPr>
            <w:tcW w:w="87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73.00</w:t>
            </w:r>
          </w:p>
        </w:tc>
        <w:tc>
          <w:tcPr>
            <w:tcW w:w="5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100.00%</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4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2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391"/>
          <w:jc w:val="center"/>
        </w:trPr>
        <w:tc>
          <w:tcPr>
            <w:tcW w:w="20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其中：财政资金</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73.00</w:t>
            </w:r>
          </w:p>
        </w:tc>
        <w:tc>
          <w:tcPr>
            <w:tcW w:w="87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73.00</w:t>
            </w:r>
          </w:p>
        </w:tc>
        <w:tc>
          <w:tcPr>
            <w:tcW w:w="5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100.00%</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4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92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rPr>
                <w:rFonts w:eastAsia="微软雅黑"/>
                <w:color w:val="000000"/>
                <w:sz w:val="18"/>
                <w:szCs w:val="18"/>
              </w:rPr>
            </w:pPr>
          </w:p>
        </w:tc>
      </w:tr>
      <w:tr w:rsidR="002A41B6" w:rsidTr="002A41B6">
        <w:trPr>
          <w:trHeight w:val="407"/>
          <w:jc w:val="center"/>
        </w:trPr>
        <w:tc>
          <w:tcPr>
            <w:tcW w:w="20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财政专户管理资金</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87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5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4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92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rPr>
                <w:rFonts w:eastAsia="微软雅黑"/>
                <w:color w:val="000000"/>
                <w:sz w:val="18"/>
                <w:szCs w:val="18"/>
              </w:rPr>
            </w:pPr>
          </w:p>
        </w:tc>
      </w:tr>
      <w:tr w:rsidR="002A41B6" w:rsidTr="002A41B6">
        <w:trPr>
          <w:trHeight w:val="361"/>
          <w:jc w:val="center"/>
        </w:trPr>
        <w:tc>
          <w:tcPr>
            <w:tcW w:w="20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单位资金</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87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5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4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92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rPr>
                <w:rFonts w:eastAsia="微软雅黑"/>
                <w:color w:val="000000"/>
                <w:sz w:val="18"/>
                <w:szCs w:val="18"/>
              </w:rPr>
            </w:pPr>
          </w:p>
        </w:tc>
      </w:tr>
      <w:tr w:rsidR="002A41B6" w:rsidTr="002A41B6">
        <w:trPr>
          <w:trHeight w:val="452"/>
          <w:jc w:val="center"/>
        </w:trPr>
        <w:tc>
          <w:tcPr>
            <w:tcW w:w="20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绩效指标（</w:t>
            </w:r>
            <w:r>
              <w:rPr>
                <w:rFonts w:eastAsia="微软雅黑"/>
                <w:color w:val="000000"/>
                <w:kern w:val="0"/>
                <w:sz w:val="18"/>
                <w:szCs w:val="18"/>
              </w:rPr>
              <w:t>90</w:t>
            </w:r>
            <w:r>
              <w:rPr>
                <w:rFonts w:eastAsia="微软雅黑"/>
                <w:color w:val="000000"/>
                <w:kern w:val="0"/>
                <w:sz w:val="18"/>
                <w:szCs w:val="18"/>
              </w:rPr>
              <w:t>分）</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一级指标</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二级指标</w:t>
            </w: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三级指标</w:t>
            </w:r>
          </w:p>
        </w:tc>
        <w:tc>
          <w:tcPr>
            <w:tcW w:w="1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指标性质</w:t>
            </w: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指标值</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度量单位</w:t>
            </w:r>
          </w:p>
        </w:tc>
        <w:tc>
          <w:tcPr>
            <w:tcW w:w="5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完成值</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权重</w:t>
            </w:r>
          </w:p>
        </w:tc>
        <w:tc>
          <w:tcPr>
            <w:tcW w:w="4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得分</w:t>
            </w:r>
          </w:p>
        </w:tc>
        <w:tc>
          <w:tcPr>
            <w:tcW w:w="9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未完成原因分析</w:t>
            </w:r>
          </w:p>
        </w:tc>
      </w:tr>
      <w:tr w:rsidR="002A41B6" w:rsidTr="002A41B6">
        <w:trPr>
          <w:trHeight w:val="339"/>
          <w:jc w:val="center"/>
        </w:trPr>
        <w:tc>
          <w:tcPr>
            <w:tcW w:w="20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3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产出指标</w:t>
            </w:r>
          </w:p>
        </w:tc>
        <w:tc>
          <w:tcPr>
            <w:tcW w:w="36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数量指标</w:t>
            </w: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完成监管设备采购</w:t>
            </w:r>
          </w:p>
        </w:tc>
        <w:tc>
          <w:tcPr>
            <w:tcW w:w="1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套</w:t>
            </w:r>
          </w:p>
        </w:tc>
        <w:tc>
          <w:tcPr>
            <w:tcW w:w="5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5</w:t>
            </w:r>
          </w:p>
        </w:tc>
        <w:tc>
          <w:tcPr>
            <w:tcW w:w="4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5</w:t>
            </w:r>
          </w:p>
        </w:tc>
        <w:tc>
          <w:tcPr>
            <w:tcW w:w="9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452"/>
          <w:jc w:val="center"/>
        </w:trPr>
        <w:tc>
          <w:tcPr>
            <w:tcW w:w="20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市、区（县）两级稽核人员相关工资、业务费发放</w:t>
            </w:r>
          </w:p>
        </w:tc>
        <w:tc>
          <w:tcPr>
            <w:tcW w:w="1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16</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元</w:t>
            </w:r>
            <w:r>
              <w:rPr>
                <w:rFonts w:eastAsia="微软雅黑"/>
                <w:color w:val="000000"/>
                <w:kern w:val="0"/>
                <w:sz w:val="18"/>
                <w:szCs w:val="18"/>
              </w:rPr>
              <w:t>/</w:t>
            </w:r>
            <w:r>
              <w:rPr>
                <w:rFonts w:eastAsia="微软雅黑"/>
                <w:color w:val="000000"/>
                <w:kern w:val="0"/>
                <w:sz w:val="18"/>
                <w:szCs w:val="18"/>
              </w:rPr>
              <w:t>月</w:t>
            </w:r>
          </w:p>
        </w:tc>
        <w:tc>
          <w:tcPr>
            <w:tcW w:w="5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16</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4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678"/>
          <w:jc w:val="center"/>
        </w:trPr>
        <w:tc>
          <w:tcPr>
            <w:tcW w:w="20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聘请相关专家和第三方开展基金监管检查购买劳务费</w:t>
            </w:r>
          </w:p>
        </w:tc>
        <w:tc>
          <w:tcPr>
            <w:tcW w:w="1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元</w:t>
            </w:r>
            <w:r>
              <w:rPr>
                <w:rFonts w:eastAsia="微软雅黑"/>
                <w:color w:val="000000"/>
                <w:kern w:val="0"/>
                <w:sz w:val="18"/>
                <w:szCs w:val="18"/>
              </w:rPr>
              <w:t>/</w:t>
            </w:r>
            <w:r>
              <w:rPr>
                <w:rFonts w:eastAsia="微软雅黑"/>
                <w:color w:val="000000"/>
                <w:kern w:val="0"/>
                <w:sz w:val="18"/>
                <w:szCs w:val="18"/>
              </w:rPr>
              <w:t>人</w:t>
            </w:r>
            <w:r>
              <w:rPr>
                <w:rFonts w:eastAsia="微软雅黑"/>
                <w:color w:val="000000"/>
                <w:kern w:val="0"/>
                <w:sz w:val="18"/>
                <w:szCs w:val="18"/>
              </w:rPr>
              <w:t>·</w:t>
            </w:r>
            <w:r>
              <w:rPr>
                <w:rFonts w:eastAsia="微软雅黑"/>
                <w:color w:val="000000"/>
                <w:kern w:val="0"/>
                <w:sz w:val="18"/>
                <w:szCs w:val="18"/>
              </w:rPr>
              <w:t>次</w:t>
            </w:r>
          </w:p>
        </w:tc>
        <w:tc>
          <w:tcPr>
            <w:tcW w:w="5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4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452"/>
          <w:jc w:val="center"/>
        </w:trPr>
        <w:tc>
          <w:tcPr>
            <w:tcW w:w="20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质量指标</w:t>
            </w: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监管工作成效逐步上升</w:t>
            </w:r>
          </w:p>
        </w:tc>
        <w:tc>
          <w:tcPr>
            <w:tcW w:w="1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26</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人</w:t>
            </w:r>
            <w:r>
              <w:rPr>
                <w:rFonts w:eastAsia="微软雅黑"/>
                <w:color w:val="000000"/>
                <w:kern w:val="0"/>
                <w:sz w:val="18"/>
                <w:szCs w:val="18"/>
              </w:rPr>
              <w:t>/</w:t>
            </w:r>
            <w:r>
              <w:rPr>
                <w:rFonts w:eastAsia="微软雅黑"/>
                <w:color w:val="000000"/>
                <w:kern w:val="0"/>
                <w:sz w:val="18"/>
                <w:szCs w:val="18"/>
              </w:rPr>
              <w:t>户</w:t>
            </w:r>
          </w:p>
        </w:tc>
        <w:tc>
          <w:tcPr>
            <w:tcW w:w="5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26</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5</w:t>
            </w:r>
          </w:p>
        </w:tc>
        <w:tc>
          <w:tcPr>
            <w:tcW w:w="4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5</w:t>
            </w:r>
          </w:p>
        </w:tc>
        <w:tc>
          <w:tcPr>
            <w:tcW w:w="9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452"/>
          <w:jc w:val="center"/>
        </w:trPr>
        <w:tc>
          <w:tcPr>
            <w:tcW w:w="20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时效指标</w:t>
            </w: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各项工作按照时间进度完成</w:t>
            </w:r>
          </w:p>
        </w:tc>
        <w:tc>
          <w:tcPr>
            <w:tcW w:w="1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人</w:t>
            </w:r>
            <w:r>
              <w:rPr>
                <w:rFonts w:eastAsia="微软雅黑"/>
                <w:color w:val="000000"/>
                <w:kern w:val="0"/>
                <w:sz w:val="18"/>
                <w:szCs w:val="18"/>
              </w:rPr>
              <w:t>/</w:t>
            </w:r>
            <w:r>
              <w:rPr>
                <w:rFonts w:eastAsia="微软雅黑"/>
                <w:color w:val="000000"/>
                <w:kern w:val="0"/>
                <w:sz w:val="18"/>
                <w:szCs w:val="18"/>
              </w:rPr>
              <w:t>户</w:t>
            </w:r>
          </w:p>
        </w:tc>
        <w:tc>
          <w:tcPr>
            <w:tcW w:w="5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4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452"/>
          <w:jc w:val="center"/>
        </w:trPr>
        <w:tc>
          <w:tcPr>
            <w:tcW w:w="20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3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效益指标</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经济效益指标</w:t>
            </w: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检查追回全市</w:t>
            </w:r>
            <w:proofErr w:type="gramStart"/>
            <w:r>
              <w:rPr>
                <w:rFonts w:eastAsia="微软雅黑"/>
                <w:color w:val="000000"/>
                <w:kern w:val="0"/>
                <w:sz w:val="18"/>
                <w:szCs w:val="18"/>
              </w:rPr>
              <w:t>医</w:t>
            </w:r>
            <w:proofErr w:type="gramEnd"/>
            <w:r>
              <w:rPr>
                <w:rFonts w:eastAsia="微软雅黑"/>
                <w:color w:val="000000"/>
                <w:kern w:val="0"/>
                <w:sz w:val="18"/>
                <w:szCs w:val="18"/>
              </w:rPr>
              <w:t>保基金</w:t>
            </w:r>
          </w:p>
        </w:tc>
        <w:tc>
          <w:tcPr>
            <w:tcW w:w="1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定性</w:t>
            </w: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高</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元</w:t>
            </w:r>
            <w:r>
              <w:rPr>
                <w:rFonts w:eastAsia="微软雅黑"/>
                <w:color w:val="000000"/>
                <w:kern w:val="0"/>
                <w:sz w:val="18"/>
                <w:szCs w:val="18"/>
              </w:rPr>
              <w:t>/</w:t>
            </w:r>
            <w:r>
              <w:rPr>
                <w:rFonts w:eastAsia="微软雅黑"/>
                <w:color w:val="000000"/>
                <w:kern w:val="0"/>
                <w:sz w:val="18"/>
                <w:szCs w:val="18"/>
              </w:rPr>
              <w:t>月</w:t>
            </w:r>
          </w:p>
        </w:tc>
        <w:tc>
          <w:tcPr>
            <w:tcW w:w="5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高</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4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339"/>
          <w:jc w:val="center"/>
        </w:trPr>
        <w:tc>
          <w:tcPr>
            <w:tcW w:w="20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社会效益指标</w:t>
            </w: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有效解决看病</w:t>
            </w:r>
            <w:proofErr w:type="gramStart"/>
            <w:r>
              <w:rPr>
                <w:rFonts w:eastAsia="微软雅黑"/>
                <w:color w:val="000000"/>
                <w:kern w:val="0"/>
                <w:sz w:val="18"/>
                <w:szCs w:val="18"/>
              </w:rPr>
              <w:t>难看病贵</w:t>
            </w:r>
            <w:proofErr w:type="gramEnd"/>
          </w:p>
        </w:tc>
        <w:tc>
          <w:tcPr>
            <w:tcW w:w="1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定性</w:t>
            </w: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高</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项</w:t>
            </w:r>
          </w:p>
        </w:tc>
        <w:tc>
          <w:tcPr>
            <w:tcW w:w="5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高</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4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452"/>
          <w:jc w:val="center"/>
        </w:trPr>
        <w:tc>
          <w:tcPr>
            <w:tcW w:w="20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可持续影响指标</w:t>
            </w: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全面提升我市医疗保障经办能力和水平。</w:t>
            </w:r>
          </w:p>
        </w:tc>
        <w:tc>
          <w:tcPr>
            <w:tcW w:w="1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定性</w:t>
            </w: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高</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项</w:t>
            </w:r>
          </w:p>
        </w:tc>
        <w:tc>
          <w:tcPr>
            <w:tcW w:w="5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高</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20</w:t>
            </w:r>
          </w:p>
        </w:tc>
        <w:tc>
          <w:tcPr>
            <w:tcW w:w="4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20</w:t>
            </w:r>
          </w:p>
        </w:tc>
        <w:tc>
          <w:tcPr>
            <w:tcW w:w="9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452"/>
          <w:jc w:val="center"/>
        </w:trPr>
        <w:tc>
          <w:tcPr>
            <w:tcW w:w="20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满意度指标</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服务对象满意度指标</w:t>
            </w:r>
          </w:p>
        </w:tc>
        <w:tc>
          <w:tcPr>
            <w:tcW w:w="7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人民群众满意度稳健提升</w:t>
            </w:r>
          </w:p>
        </w:tc>
        <w:tc>
          <w:tcPr>
            <w:tcW w:w="1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85</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85</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4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286"/>
          <w:jc w:val="center"/>
        </w:trPr>
        <w:tc>
          <w:tcPr>
            <w:tcW w:w="3484" w:type="pct"/>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合计</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100</w:t>
            </w:r>
          </w:p>
        </w:tc>
        <w:tc>
          <w:tcPr>
            <w:tcW w:w="4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right"/>
              <w:textAlignment w:val="center"/>
              <w:rPr>
                <w:rFonts w:eastAsia="微软雅黑"/>
                <w:color w:val="000000"/>
                <w:sz w:val="18"/>
                <w:szCs w:val="18"/>
              </w:rPr>
            </w:pPr>
            <w:r>
              <w:rPr>
                <w:rFonts w:eastAsia="微软雅黑"/>
                <w:color w:val="000000"/>
                <w:kern w:val="0"/>
                <w:sz w:val="18"/>
                <w:szCs w:val="18"/>
              </w:rPr>
              <w:t>100</w:t>
            </w:r>
          </w:p>
        </w:tc>
        <w:tc>
          <w:tcPr>
            <w:tcW w:w="9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603"/>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评价结论</w:t>
            </w:r>
          </w:p>
        </w:tc>
        <w:tc>
          <w:tcPr>
            <w:tcW w:w="4794" w:type="pct"/>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依据专项项目支出绩效评价指标体系，综合</w:t>
            </w:r>
            <w:proofErr w:type="gramStart"/>
            <w:r>
              <w:rPr>
                <w:rFonts w:eastAsia="微软雅黑"/>
                <w:color w:val="000000"/>
                <w:kern w:val="0"/>
                <w:sz w:val="18"/>
                <w:szCs w:val="18"/>
              </w:rPr>
              <w:t>考量</w:t>
            </w:r>
            <w:proofErr w:type="gramEnd"/>
            <w:r>
              <w:rPr>
                <w:rFonts w:eastAsia="微软雅黑"/>
                <w:color w:val="000000"/>
                <w:kern w:val="0"/>
                <w:sz w:val="18"/>
                <w:szCs w:val="18"/>
              </w:rPr>
              <w:t>项目决策、管理、产出、效益各环节，</w:t>
            </w:r>
            <w:r>
              <w:rPr>
                <w:rFonts w:eastAsia="微软雅黑"/>
                <w:color w:val="000000"/>
                <w:kern w:val="0"/>
                <w:sz w:val="18"/>
                <w:szCs w:val="18"/>
              </w:rPr>
              <w:t>“</w:t>
            </w:r>
            <w:proofErr w:type="gramStart"/>
            <w:r>
              <w:rPr>
                <w:rFonts w:eastAsia="微软雅黑"/>
                <w:color w:val="000000"/>
                <w:kern w:val="0"/>
                <w:sz w:val="18"/>
                <w:szCs w:val="18"/>
              </w:rPr>
              <w:t>医</w:t>
            </w:r>
            <w:proofErr w:type="gramEnd"/>
            <w:r>
              <w:rPr>
                <w:rFonts w:eastAsia="微软雅黑"/>
                <w:color w:val="000000"/>
                <w:kern w:val="0"/>
                <w:sz w:val="18"/>
                <w:szCs w:val="18"/>
              </w:rPr>
              <w:t>保定点医药机构监管经费</w:t>
            </w:r>
            <w:r>
              <w:rPr>
                <w:rFonts w:eastAsia="微软雅黑"/>
                <w:color w:val="000000"/>
                <w:kern w:val="0"/>
                <w:sz w:val="18"/>
                <w:szCs w:val="18"/>
              </w:rPr>
              <w:t>”</w:t>
            </w:r>
            <w:r>
              <w:rPr>
                <w:rFonts w:eastAsia="微软雅黑"/>
                <w:color w:val="000000"/>
                <w:kern w:val="0"/>
                <w:sz w:val="18"/>
                <w:szCs w:val="18"/>
              </w:rPr>
              <w:t>项目自评得分</w:t>
            </w:r>
            <w:r>
              <w:rPr>
                <w:rFonts w:eastAsia="微软雅黑"/>
                <w:color w:val="000000"/>
                <w:kern w:val="0"/>
                <w:sz w:val="18"/>
                <w:szCs w:val="18"/>
              </w:rPr>
              <w:t xml:space="preserve"> 100 </w:t>
            </w:r>
            <w:r>
              <w:rPr>
                <w:rFonts w:eastAsia="微软雅黑"/>
                <w:color w:val="000000"/>
                <w:kern w:val="0"/>
                <w:sz w:val="18"/>
                <w:szCs w:val="18"/>
              </w:rPr>
              <w:t>分。项目立项精准契合</w:t>
            </w:r>
            <w:proofErr w:type="gramStart"/>
            <w:r>
              <w:rPr>
                <w:rFonts w:eastAsia="微软雅黑"/>
                <w:color w:val="000000"/>
                <w:kern w:val="0"/>
                <w:sz w:val="18"/>
                <w:szCs w:val="18"/>
              </w:rPr>
              <w:t>医</w:t>
            </w:r>
            <w:proofErr w:type="gramEnd"/>
            <w:r>
              <w:rPr>
                <w:rFonts w:eastAsia="微软雅黑"/>
                <w:color w:val="000000"/>
                <w:kern w:val="0"/>
                <w:sz w:val="18"/>
                <w:szCs w:val="18"/>
              </w:rPr>
              <w:t>保基金监管需求，资金管理规范透明，实施流程严谨高效，绩效目标全面达成，经济效益、社会效益显著，切实提升</w:t>
            </w:r>
            <w:proofErr w:type="gramStart"/>
            <w:r>
              <w:rPr>
                <w:rFonts w:eastAsia="微软雅黑"/>
                <w:color w:val="000000"/>
                <w:kern w:val="0"/>
                <w:sz w:val="18"/>
                <w:szCs w:val="18"/>
              </w:rPr>
              <w:t>医</w:t>
            </w:r>
            <w:proofErr w:type="gramEnd"/>
            <w:r>
              <w:rPr>
                <w:rFonts w:eastAsia="微软雅黑"/>
                <w:color w:val="000000"/>
                <w:kern w:val="0"/>
                <w:sz w:val="18"/>
                <w:szCs w:val="18"/>
              </w:rPr>
              <w:t>保基金监督管理能力，维护</w:t>
            </w:r>
            <w:proofErr w:type="gramStart"/>
            <w:r>
              <w:rPr>
                <w:rFonts w:eastAsia="微软雅黑"/>
                <w:color w:val="000000"/>
                <w:kern w:val="0"/>
                <w:sz w:val="18"/>
                <w:szCs w:val="18"/>
              </w:rPr>
              <w:t>医</w:t>
            </w:r>
            <w:proofErr w:type="gramEnd"/>
            <w:r>
              <w:rPr>
                <w:rFonts w:eastAsia="微软雅黑"/>
                <w:color w:val="000000"/>
                <w:kern w:val="0"/>
                <w:sz w:val="18"/>
                <w:szCs w:val="18"/>
              </w:rPr>
              <w:t>保基金安全。</w:t>
            </w:r>
          </w:p>
        </w:tc>
      </w:tr>
      <w:tr w:rsidR="002A41B6" w:rsidTr="002A41B6">
        <w:trPr>
          <w:trHeight w:val="572"/>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存在问题</w:t>
            </w:r>
          </w:p>
        </w:tc>
        <w:tc>
          <w:tcPr>
            <w:tcW w:w="4794" w:type="pct"/>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 xml:space="preserve">1. </w:t>
            </w:r>
            <w:r>
              <w:rPr>
                <w:rFonts w:eastAsia="微软雅黑"/>
                <w:color w:val="000000"/>
                <w:kern w:val="0"/>
                <w:sz w:val="18"/>
                <w:szCs w:val="18"/>
              </w:rPr>
              <w:t>宣传创新不足：宣传形式虽多样，但新媒体运用不够充分，部分线上宣传内容吸引力不强，还未形成全民参与</w:t>
            </w:r>
            <w:proofErr w:type="gramStart"/>
            <w:r>
              <w:rPr>
                <w:rFonts w:eastAsia="微软雅黑"/>
                <w:color w:val="000000"/>
                <w:kern w:val="0"/>
                <w:sz w:val="18"/>
                <w:szCs w:val="18"/>
              </w:rPr>
              <w:t>医</w:t>
            </w:r>
            <w:proofErr w:type="gramEnd"/>
            <w:r>
              <w:rPr>
                <w:rFonts w:eastAsia="微软雅黑"/>
                <w:color w:val="000000"/>
                <w:kern w:val="0"/>
                <w:sz w:val="18"/>
                <w:szCs w:val="18"/>
              </w:rPr>
              <w:t>保基金监督的形式。</w:t>
            </w:r>
            <w:r>
              <w:rPr>
                <w:rFonts w:eastAsia="微软雅黑"/>
                <w:color w:val="000000"/>
                <w:kern w:val="0"/>
                <w:sz w:val="18"/>
                <w:szCs w:val="18"/>
              </w:rPr>
              <w:br/>
              <w:t xml:space="preserve">2. </w:t>
            </w:r>
            <w:r>
              <w:rPr>
                <w:rFonts w:eastAsia="微软雅黑"/>
                <w:color w:val="000000"/>
                <w:kern w:val="0"/>
                <w:sz w:val="18"/>
                <w:szCs w:val="18"/>
              </w:rPr>
              <w:t>第三方协作深度不够：与第三方专业公司合作多停留在专项任务委托，在数据共享、技术融合、联合研发监管模型等深层次协作方面探索不足，未能充分挖掘第三方潜力。</w:t>
            </w:r>
          </w:p>
        </w:tc>
      </w:tr>
      <w:tr w:rsidR="002A41B6" w:rsidTr="002A41B6">
        <w:trPr>
          <w:trHeight w:val="1100"/>
          <w:jc w:val="center"/>
        </w:trPr>
        <w:tc>
          <w:tcPr>
            <w:tcW w:w="2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改进措施</w:t>
            </w:r>
          </w:p>
        </w:tc>
        <w:tc>
          <w:tcPr>
            <w:tcW w:w="4794" w:type="pct"/>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 xml:space="preserve">1. </w:t>
            </w:r>
            <w:r>
              <w:rPr>
                <w:rFonts w:eastAsia="微软雅黑"/>
                <w:color w:val="000000"/>
                <w:kern w:val="0"/>
                <w:sz w:val="18"/>
                <w:szCs w:val="18"/>
              </w:rPr>
              <w:t>强化宣传创新：加大新媒体投入，打造精品短视频、</w:t>
            </w:r>
            <w:proofErr w:type="gramStart"/>
            <w:r>
              <w:rPr>
                <w:rFonts w:eastAsia="微软雅黑"/>
                <w:color w:val="000000"/>
                <w:kern w:val="0"/>
                <w:sz w:val="18"/>
                <w:szCs w:val="18"/>
              </w:rPr>
              <w:t>动漫等</w:t>
            </w:r>
            <w:proofErr w:type="gramEnd"/>
            <w:r>
              <w:rPr>
                <w:rFonts w:eastAsia="微软雅黑"/>
                <w:color w:val="000000"/>
                <w:kern w:val="0"/>
                <w:sz w:val="18"/>
                <w:szCs w:val="18"/>
              </w:rPr>
              <w:t>宣传作品，利用社交媒体精准推送；举办线上参保知识竞赛、直播解读</w:t>
            </w:r>
            <w:proofErr w:type="gramStart"/>
            <w:r>
              <w:rPr>
                <w:rFonts w:eastAsia="微软雅黑"/>
                <w:color w:val="000000"/>
                <w:kern w:val="0"/>
                <w:sz w:val="18"/>
                <w:szCs w:val="18"/>
              </w:rPr>
              <w:t>医</w:t>
            </w:r>
            <w:proofErr w:type="gramEnd"/>
            <w:r>
              <w:rPr>
                <w:rFonts w:eastAsia="微软雅黑"/>
                <w:color w:val="000000"/>
                <w:kern w:val="0"/>
                <w:sz w:val="18"/>
                <w:szCs w:val="18"/>
              </w:rPr>
              <w:t>保政策等活动，增强互动性，提升全民打击欺诈骗保、维护基金安全意识。</w:t>
            </w:r>
            <w:r>
              <w:rPr>
                <w:rFonts w:eastAsia="微软雅黑"/>
                <w:color w:val="000000"/>
                <w:kern w:val="0"/>
                <w:sz w:val="18"/>
                <w:szCs w:val="18"/>
              </w:rPr>
              <w:br/>
              <w:t xml:space="preserve">2. </w:t>
            </w:r>
            <w:r>
              <w:rPr>
                <w:rFonts w:eastAsia="微软雅黑"/>
                <w:color w:val="000000"/>
                <w:kern w:val="0"/>
                <w:sz w:val="18"/>
                <w:szCs w:val="18"/>
              </w:rPr>
              <w:t>深化第三方协作：加强大数据分析在</w:t>
            </w:r>
            <w:proofErr w:type="gramStart"/>
            <w:r>
              <w:rPr>
                <w:rFonts w:eastAsia="微软雅黑"/>
                <w:color w:val="000000"/>
                <w:kern w:val="0"/>
                <w:sz w:val="18"/>
                <w:szCs w:val="18"/>
              </w:rPr>
              <w:t>医</w:t>
            </w:r>
            <w:proofErr w:type="gramEnd"/>
            <w:r>
              <w:rPr>
                <w:rFonts w:eastAsia="微软雅黑"/>
                <w:color w:val="000000"/>
                <w:kern w:val="0"/>
                <w:sz w:val="18"/>
                <w:szCs w:val="18"/>
              </w:rPr>
              <w:t>保基金监管工作中的运用，建立常态化沟通机制，与第三方共同组建联合研发团队，挖掘</w:t>
            </w:r>
            <w:proofErr w:type="gramStart"/>
            <w:r>
              <w:rPr>
                <w:rFonts w:eastAsia="微软雅黑"/>
                <w:color w:val="000000"/>
                <w:kern w:val="0"/>
                <w:sz w:val="18"/>
                <w:szCs w:val="18"/>
              </w:rPr>
              <w:t>医</w:t>
            </w:r>
            <w:proofErr w:type="gramEnd"/>
            <w:r>
              <w:rPr>
                <w:rFonts w:eastAsia="微软雅黑"/>
                <w:color w:val="000000"/>
                <w:kern w:val="0"/>
                <w:sz w:val="18"/>
                <w:szCs w:val="18"/>
              </w:rPr>
              <w:t>保大数据价值，开发智能监管算法，提前分析预警，精准定位高风险疑点数据，持续提升</w:t>
            </w:r>
            <w:proofErr w:type="gramStart"/>
            <w:r>
              <w:rPr>
                <w:rFonts w:eastAsia="微软雅黑"/>
                <w:color w:val="000000"/>
                <w:kern w:val="0"/>
                <w:sz w:val="18"/>
                <w:szCs w:val="18"/>
              </w:rPr>
              <w:t>医</w:t>
            </w:r>
            <w:proofErr w:type="gramEnd"/>
            <w:r>
              <w:rPr>
                <w:rFonts w:eastAsia="微软雅黑"/>
                <w:color w:val="000000"/>
                <w:kern w:val="0"/>
                <w:sz w:val="18"/>
                <w:szCs w:val="18"/>
              </w:rPr>
              <w:t>保基金监管智能化、科学化水平。</w:t>
            </w:r>
          </w:p>
        </w:tc>
      </w:tr>
      <w:tr w:rsidR="002A41B6" w:rsidTr="002A41B6">
        <w:trPr>
          <w:trHeight w:val="286"/>
          <w:jc w:val="center"/>
        </w:trPr>
        <w:tc>
          <w:tcPr>
            <w:tcW w:w="2277"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项目负责人：范孝强</w:t>
            </w:r>
          </w:p>
        </w:tc>
        <w:tc>
          <w:tcPr>
            <w:tcW w:w="2723"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财务负责人：</w:t>
            </w:r>
            <w:proofErr w:type="gramStart"/>
            <w:r>
              <w:rPr>
                <w:rFonts w:eastAsia="微软雅黑"/>
                <w:color w:val="000000"/>
                <w:kern w:val="0"/>
                <w:sz w:val="18"/>
                <w:szCs w:val="18"/>
              </w:rPr>
              <w:t>张峻源</w:t>
            </w:r>
            <w:proofErr w:type="gramEnd"/>
          </w:p>
        </w:tc>
      </w:tr>
    </w:tbl>
    <w:p w:rsidR="002A41B6" w:rsidRDefault="002A41B6" w:rsidP="002A41B6">
      <w:pPr>
        <w:tabs>
          <w:tab w:val="left" w:pos="417"/>
        </w:tabs>
        <w:spacing w:line="600" w:lineRule="exact"/>
        <w:jc w:val="left"/>
        <w:rPr>
          <w:rFonts w:eastAsia="黑体"/>
          <w:sz w:val="32"/>
          <w:szCs w:val="32"/>
        </w:rPr>
      </w:pPr>
      <w:r>
        <w:rPr>
          <w:rFonts w:eastAsia="黑体"/>
          <w:sz w:val="32"/>
          <w:szCs w:val="32"/>
        </w:rPr>
        <w:t>附件</w:t>
      </w:r>
      <w:r>
        <w:rPr>
          <w:rFonts w:eastAsia="黑体"/>
          <w:sz w:val="32"/>
          <w:szCs w:val="32"/>
        </w:rPr>
        <w:t>2</w:t>
      </w:r>
    </w:p>
    <w:tbl>
      <w:tblPr>
        <w:tblW w:w="5130" w:type="pct"/>
        <w:tblCellMar>
          <w:left w:w="0" w:type="dxa"/>
          <w:right w:w="0" w:type="dxa"/>
        </w:tblCellMar>
        <w:tblLook w:val="04A0"/>
      </w:tblPr>
      <w:tblGrid>
        <w:gridCol w:w="656"/>
        <w:gridCol w:w="1581"/>
        <w:gridCol w:w="1777"/>
        <w:gridCol w:w="2704"/>
        <w:gridCol w:w="543"/>
        <w:gridCol w:w="1671"/>
        <w:gridCol w:w="522"/>
        <w:gridCol w:w="1108"/>
        <w:gridCol w:w="497"/>
        <w:gridCol w:w="698"/>
        <w:gridCol w:w="2595"/>
      </w:tblGrid>
      <w:tr w:rsidR="002A41B6" w:rsidTr="002C6759">
        <w:trPr>
          <w:trHeight w:val="89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852CC7" w:rsidP="002C6759">
            <w:pPr>
              <w:widowControl/>
              <w:jc w:val="center"/>
              <w:textAlignment w:val="center"/>
              <w:rPr>
                <w:rFonts w:eastAsia="黑体"/>
                <w:b/>
                <w:color w:val="000000"/>
                <w:sz w:val="30"/>
                <w:szCs w:val="30"/>
              </w:rPr>
            </w:pPr>
            <w:r>
              <w:rPr>
                <w:rFonts w:eastAsia="黑体"/>
                <w:b/>
                <w:color w:val="000000"/>
                <w:kern w:val="0"/>
                <w:sz w:val="30"/>
                <w:szCs w:val="30"/>
              </w:rPr>
              <w:t>单位</w:t>
            </w:r>
            <w:r w:rsidR="002A41B6">
              <w:rPr>
                <w:rFonts w:eastAsia="黑体"/>
                <w:b/>
                <w:color w:val="000000"/>
                <w:kern w:val="0"/>
                <w:sz w:val="30"/>
                <w:szCs w:val="30"/>
              </w:rPr>
              <w:t>预算项目支出绩效自评表（</w:t>
            </w:r>
            <w:r w:rsidR="002A41B6">
              <w:rPr>
                <w:rFonts w:eastAsia="黑体"/>
                <w:b/>
                <w:color w:val="000000"/>
                <w:kern w:val="0"/>
                <w:sz w:val="30"/>
                <w:szCs w:val="30"/>
              </w:rPr>
              <w:t>2024</w:t>
            </w:r>
            <w:r w:rsidR="002A41B6">
              <w:rPr>
                <w:rFonts w:eastAsia="黑体"/>
                <w:b/>
                <w:color w:val="000000"/>
                <w:kern w:val="0"/>
                <w:sz w:val="30"/>
                <w:szCs w:val="30"/>
              </w:rPr>
              <w:t>年度）</w:t>
            </w:r>
          </w:p>
        </w:tc>
      </w:tr>
      <w:tr w:rsidR="002A41B6" w:rsidTr="002A41B6">
        <w:trPr>
          <w:trHeight w:val="527"/>
        </w:trPr>
        <w:tc>
          <w:tcPr>
            <w:tcW w:w="78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项目名称</w:t>
            </w:r>
          </w:p>
        </w:tc>
        <w:tc>
          <w:tcPr>
            <w:tcW w:w="4220" w:type="pct"/>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51040022T000007423557-2022</w:t>
            </w:r>
            <w:r>
              <w:rPr>
                <w:rFonts w:eastAsia="微软雅黑"/>
                <w:color w:val="000000"/>
                <w:kern w:val="0"/>
                <w:sz w:val="18"/>
                <w:szCs w:val="18"/>
              </w:rPr>
              <w:t>年医疗服务与保障能力提升中央财政补助资金</w:t>
            </w:r>
          </w:p>
        </w:tc>
      </w:tr>
      <w:tr w:rsidR="002A41B6" w:rsidTr="002A41B6">
        <w:trPr>
          <w:trHeight w:val="512"/>
        </w:trPr>
        <w:tc>
          <w:tcPr>
            <w:tcW w:w="78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主管</w:t>
            </w:r>
            <w:r w:rsidR="00852CC7">
              <w:rPr>
                <w:rFonts w:eastAsia="微软雅黑"/>
                <w:color w:val="000000"/>
                <w:kern w:val="0"/>
                <w:sz w:val="18"/>
                <w:szCs w:val="18"/>
              </w:rPr>
              <w:t>单位</w:t>
            </w:r>
          </w:p>
        </w:tc>
        <w:tc>
          <w:tcPr>
            <w:tcW w:w="2514"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攀枝花市医疗保障事务中心</w:t>
            </w:r>
          </w:p>
        </w:tc>
        <w:tc>
          <w:tcPr>
            <w:tcW w:w="386" w:type="pct"/>
            <w:tcBorders>
              <w:top w:val="nil"/>
              <w:left w:val="nil"/>
              <w:bottom w:val="nil"/>
              <w:right w:val="nil"/>
            </w:tcBorders>
            <w:shd w:val="clear" w:color="auto" w:fill="auto"/>
            <w:tcMar>
              <w:top w:w="15" w:type="dxa"/>
              <w:left w:w="15" w:type="dxa"/>
              <w:right w:w="15" w:type="dxa"/>
            </w:tcMar>
            <w:vAlign w:val="center"/>
          </w:tcPr>
          <w:p w:rsidR="002A41B6" w:rsidRDefault="002A41B6" w:rsidP="00026D1D">
            <w:pPr>
              <w:widowControl/>
              <w:jc w:val="center"/>
              <w:textAlignment w:val="center"/>
              <w:rPr>
                <w:rFonts w:eastAsia="微软雅黑"/>
                <w:color w:val="000000"/>
                <w:sz w:val="18"/>
                <w:szCs w:val="18"/>
              </w:rPr>
            </w:pPr>
            <w:r>
              <w:rPr>
                <w:rFonts w:eastAsia="微软雅黑"/>
                <w:color w:val="000000"/>
                <w:kern w:val="0"/>
                <w:sz w:val="18"/>
                <w:szCs w:val="18"/>
              </w:rPr>
              <w:t>实施单位</w:t>
            </w:r>
          </w:p>
        </w:tc>
        <w:tc>
          <w:tcPr>
            <w:tcW w:w="1320"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攀枝花市医疗保障事务中心</w:t>
            </w:r>
          </w:p>
        </w:tc>
      </w:tr>
      <w:tr w:rsidR="002A41B6" w:rsidTr="002A41B6">
        <w:trPr>
          <w:trHeight w:val="286"/>
        </w:trPr>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项目基本情况</w:t>
            </w:r>
          </w:p>
        </w:tc>
        <w:tc>
          <w:tcPr>
            <w:tcW w:w="55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1.</w:t>
            </w:r>
            <w:r>
              <w:rPr>
                <w:rFonts w:eastAsia="微软雅黑"/>
                <w:color w:val="000000"/>
                <w:kern w:val="0"/>
                <w:sz w:val="18"/>
                <w:szCs w:val="18"/>
              </w:rPr>
              <w:t>项目年度目标完成情况</w:t>
            </w:r>
          </w:p>
        </w:tc>
        <w:tc>
          <w:tcPr>
            <w:tcW w:w="2514"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项目年度目标</w:t>
            </w:r>
          </w:p>
        </w:tc>
        <w:tc>
          <w:tcPr>
            <w:tcW w:w="1706"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年度目标完成情况</w:t>
            </w:r>
          </w:p>
        </w:tc>
      </w:tr>
      <w:tr w:rsidR="002A41B6" w:rsidTr="002A41B6">
        <w:trPr>
          <w:trHeight w:val="1700"/>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rPr>
                <w:rFonts w:eastAsia="微软雅黑"/>
                <w:color w:val="000000"/>
                <w:sz w:val="18"/>
                <w:szCs w:val="18"/>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rPr>
                <w:rFonts w:eastAsia="微软雅黑"/>
                <w:color w:val="000000"/>
                <w:sz w:val="18"/>
                <w:szCs w:val="18"/>
              </w:rPr>
            </w:pPr>
          </w:p>
        </w:tc>
        <w:tc>
          <w:tcPr>
            <w:tcW w:w="2514"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加强定点医药机构基金监管，加大打击欺诈骗保工作力度，切实保障</w:t>
            </w:r>
            <w:proofErr w:type="gramStart"/>
            <w:r>
              <w:rPr>
                <w:rFonts w:eastAsia="微软雅黑"/>
                <w:color w:val="000000"/>
                <w:kern w:val="0"/>
                <w:sz w:val="18"/>
                <w:szCs w:val="18"/>
              </w:rPr>
              <w:t>医</w:t>
            </w:r>
            <w:proofErr w:type="gramEnd"/>
            <w:r>
              <w:rPr>
                <w:rFonts w:eastAsia="微软雅黑"/>
                <w:color w:val="000000"/>
                <w:kern w:val="0"/>
                <w:sz w:val="18"/>
                <w:szCs w:val="18"/>
              </w:rPr>
              <w:t>保基金合理有效使用。加快推进按疾病诊断相关组（</w:t>
            </w:r>
            <w:r>
              <w:rPr>
                <w:rFonts w:eastAsia="微软雅黑"/>
                <w:color w:val="000000"/>
                <w:kern w:val="0"/>
                <w:sz w:val="18"/>
                <w:szCs w:val="18"/>
              </w:rPr>
              <w:t>DRG</w:t>
            </w:r>
            <w:r>
              <w:rPr>
                <w:rFonts w:eastAsia="微软雅黑"/>
                <w:color w:val="000000"/>
                <w:kern w:val="0"/>
                <w:sz w:val="18"/>
                <w:szCs w:val="18"/>
              </w:rPr>
              <w:t>）付费试点工作和启动</w:t>
            </w:r>
            <w:proofErr w:type="gramStart"/>
            <w:r>
              <w:rPr>
                <w:rFonts w:eastAsia="微软雅黑"/>
                <w:color w:val="000000"/>
                <w:kern w:val="0"/>
                <w:sz w:val="18"/>
                <w:szCs w:val="18"/>
              </w:rPr>
              <w:t>医</w:t>
            </w:r>
            <w:proofErr w:type="gramEnd"/>
            <w:r>
              <w:rPr>
                <w:rFonts w:eastAsia="微软雅黑"/>
                <w:color w:val="000000"/>
                <w:kern w:val="0"/>
                <w:sz w:val="18"/>
                <w:szCs w:val="18"/>
              </w:rPr>
              <w:t>共体</w:t>
            </w:r>
            <w:proofErr w:type="gramStart"/>
            <w:r>
              <w:rPr>
                <w:rFonts w:eastAsia="微软雅黑"/>
                <w:color w:val="000000"/>
                <w:kern w:val="0"/>
                <w:sz w:val="18"/>
                <w:szCs w:val="18"/>
              </w:rPr>
              <w:t>医</w:t>
            </w:r>
            <w:proofErr w:type="gramEnd"/>
            <w:r>
              <w:rPr>
                <w:rFonts w:eastAsia="微软雅黑"/>
                <w:color w:val="000000"/>
                <w:kern w:val="0"/>
                <w:sz w:val="18"/>
                <w:szCs w:val="18"/>
              </w:rPr>
              <w:t>保改革工作。有效提升宣传引导、经办服务、人才队伍建设等医疗保障服务能力。加强</w:t>
            </w:r>
            <w:proofErr w:type="gramStart"/>
            <w:r>
              <w:rPr>
                <w:rFonts w:eastAsia="微软雅黑"/>
                <w:color w:val="000000"/>
                <w:kern w:val="0"/>
                <w:sz w:val="18"/>
                <w:szCs w:val="18"/>
              </w:rPr>
              <w:t>医</w:t>
            </w:r>
            <w:proofErr w:type="gramEnd"/>
            <w:r>
              <w:rPr>
                <w:rFonts w:eastAsia="微软雅黑"/>
                <w:color w:val="000000"/>
                <w:kern w:val="0"/>
                <w:sz w:val="18"/>
                <w:szCs w:val="18"/>
              </w:rPr>
              <w:t>保网络、信息安全、基础设施等信息化建设工作，进一步夯实技术基础，切实保障</w:t>
            </w:r>
            <w:proofErr w:type="gramStart"/>
            <w:r>
              <w:rPr>
                <w:rFonts w:eastAsia="微软雅黑"/>
                <w:color w:val="000000"/>
                <w:kern w:val="0"/>
                <w:sz w:val="18"/>
                <w:szCs w:val="18"/>
              </w:rPr>
              <w:t>医</w:t>
            </w:r>
            <w:proofErr w:type="gramEnd"/>
            <w:r>
              <w:rPr>
                <w:rFonts w:eastAsia="微软雅黑"/>
                <w:color w:val="000000"/>
                <w:kern w:val="0"/>
                <w:sz w:val="18"/>
                <w:szCs w:val="18"/>
              </w:rPr>
              <w:t>保信息系统高效、安全运行，提高数据采集质量和速度。</w:t>
            </w:r>
            <w:r>
              <w:rPr>
                <w:rFonts w:eastAsia="微软雅黑"/>
                <w:color w:val="000000"/>
                <w:kern w:val="0"/>
                <w:sz w:val="18"/>
                <w:szCs w:val="18"/>
              </w:rPr>
              <w:t xml:space="preserve">                                                                    </w:t>
            </w:r>
          </w:p>
        </w:tc>
        <w:tc>
          <w:tcPr>
            <w:tcW w:w="1706"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加强定点医药机构基金监管，加大打击欺诈骗保工作力度，切实保障</w:t>
            </w:r>
            <w:proofErr w:type="gramStart"/>
            <w:r>
              <w:rPr>
                <w:rFonts w:eastAsia="微软雅黑"/>
                <w:color w:val="000000"/>
                <w:kern w:val="0"/>
                <w:sz w:val="18"/>
                <w:szCs w:val="18"/>
              </w:rPr>
              <w:t>医</w:t>
            </w:r>
            <w:proofErr w:type="gramEnd"/>
            <w:r>
              <w:rPr>
                <w:rFonts w:eastAsia="微软雅黑"/>
                <w:color w:val="000000"/>
                <w:kern w:val="0"/>
                <w:sz w:val="18"/>
                <w:szCs w:val="18"/>
              </w:rPr>
              <w:t>保基金合理有效使用。加快推进按疾病诊断相关组（</w:t>
            </w:r>
            <w:r>
              <w:rPr>
                <w:rFonts w:eastAsia="微软雅黑"/>
                <w:color w:val="000000"/>
                <w:kern w:val="0"/>
                <w:sz w:val="18"/>
                <w:szCs w:val="18"/>
              </w:rPr>
              <w:t>DRG</w:t>
            </w:r>
            <w:r>
              <w:rPr>
                <w:rFonts w:eastAsia="微软雅黑"/>
                <w:color w:val="000000"/>
                <w:kern w:val="0"/>
                <w:sz w:val="18"/>
                <w:szCs w:val="18"/>
              </w:rPr>
              <w:t>）付费试点工作和启动</w:t>
            </w:r>
            <w:proofErr w:type="gramStart"/>
            <w:r>
              <w:rPr>
                <w:rFonts w:eastAsia="微软雅黑"/>
                <w:color w:val="000000"/>
                <w:kern w:val="0"/>
                <w:sz w:val="18"/>
                <w:szCs w:val="18"/>
              </w:rPr>
              <w:t>医</w:t>
            </w:r>
            <w:proofErr w:type="gramEnd"/>
            <w:r>
              <w:rPr>
                <w:rFonts w:eastAsia="微软雅黑"/>
                <w:color w:val="000000"/>
                <w:kern w:val="0"/>
                <w:sz w:val="18"/>
                <w:szCs w:val="18"/>
              </w:rPr>
              <w:t>共体</w:t>
            </w:r>
            <w:proofErr w:type="gramStart"/>
            <w:r>
              <w:rPr>
                <w:rFonts w:eastAsia="微软雅黑"/>
                <w:color w:val="000000"/>
                <w:kern w:val="0"/>
                <w:sz w:val="18"/>
                <w:szCs w:val="18"/>
              </w:rPr>
              <w:t>医</w:t>
            </w:r>
            <w:proofErr w:type="gramEnd"/>
            <w:r>
              <w:rPr>
                <w:rFonts w:eastAsia="微软雅黑"/>
                <w:color w:val="000000"/>
                <w:kern w:val="0"/>
                <w:sz w:val="18"/>
                <w:szCs w:val="18"/>
              </w:rPr>
              <w:t>保改革工作。有效提升宣传引导、经办服务、人才队伍建设等医疗保障服务能力。</w:t>
            </w:r>
          </w:p>
        </w:tc>
      </w:tr>
      <w:tr w:rsidR="002A41B6" w:rsidTr="002A41B6">
        <w:trPr>
          <w:trHeight w:val="693"/>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rPr>
                <w:rFonts w:eastAsia="微软雅黑"/>
                <w:color w:val="000000"/>
                <w:sz w:val="18"/>
                <w:szCs w:val="18"/>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2.</w:t>
            </w:r>
            <w:r>
              <w:rPr>
                <w:rFonts w:eastAsia="微软雅黑"/>
                <w:color w:val="000000"/>
                <w:kern w:val="0"/>
                <w:sz w:val="18"/>
                <w:szCs w:val="18"/>
              </w:rPr>
              <w:t>项目实施内容及过程概述</w:t>
            </w:r>
          </w:p>
        </w:tc>
        <w:tc>
          <w:tcPr>
            <w:tcW w:w="4220" w:type="pct"/>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rPr>
                <w:rFonts w:eastAsia="微软雅黑"/>
                <w:color w:val="000000"/>
                <w:sz w:val="18"/>
                <w:szCs w:val="18"/>
              </w:rPr>
            </w:pPr>
            <w:r>
              <w:rPr>
                <w:rFonts w:eastAsia="微软雅黑"/>
                <w:sz w:val="18"/>
                <w:szCs w:val="18"/>
              </w:rPr>
              <w:t>建立</w:t>
            </w:r>
            <w:proofErr w:type="gramStart"/>
            <w:r>
              <w:rPr>
                <w:rFonts w:eastAsia="微软雅黑"/>
                <w:sz w:val="18"/>
                <w:szCs w:val="18"/>
              </w:rPr>
              <w:t>医</w:t>
            </w:r>
            <w:proofErr w:type="gramEnd"/>
            <w:r>
              <w:rPr>
                <w:rFonts w:eastAsia="微软雅黑"/>
                <w:sz w:val="18"/>
                <w:szCs w:val="18"/>
              </w:rPr>
              <w:t>保基金预警及风险防控机制，按省</w:t>
            </w:r>
            <w:proofErr w:type="gramStart"/>
            <w:r>
              <w:rPr>
                <w:rFonts w:eastAsia="微软雅黑"/>
                <w:sz w:val="18"/>
                <w:szCs w:val="18"/>
              </w:rPr>
              <w:t>医</w:t>
            </w:r>
            <w:proofErr w:type="gramEnd"/>
            <w:r>
              <w:rPr>
                <w:rFonts w:eastAsia="微软雅黑"/>
                <w:sz w:val="18"/>
                <w:szCs w:val="18"/>
              </w:rPr>
              <w:t>保局要求，每个季度开展基金运行监测及风险预警，打击各类欺诈骗保行为。</w:t>
            </w:r>
          </w:p>
        </w:tc>
      </w:tr>
      <w:tr w:rsidR="002A41B6" w:rsidTr="002A41B6">
        <w:trPr>
          <w:trHeight w:val="441"/>
        </w:trPr>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预算执行情况（</w:t>
            </w:r>
            <w:r>
              <w:rPr>
                <w:rFonts w:eastAsia="微软雅黑"/>
                <w:color w:val="000000"/>
                <w:kern w:val="0"/>
                <w:sz w:val="18"/>
                <w:szCs w:val="18"/>
              </w:rPr>
              <w:t>10</w:t>
            </w:r>
            <w:r>
              <w:rPr>
                <w:rFonts w:eastAsia="微软雅黑"/>
                <w:color w:val="000000"/>
                <w:kern w:val="0"/>
                <w:sz w:val="18"/>
                <w:szCs w:val="18"/>
              </w:rPr>
              <w:t>分）</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年度预算数（万元）</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年初预算</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调整</w:t>
            </w:r>
            <w:proofErr w:type="gramStart"/>
            <w:r>
              <w:rPr>
                <w:rFonts w:eastAsia="微软雅黑"/>
                <w:color w:val="000000"/>
                <w:kern w:val="0"/>
                <w:sz w:val="18"/>
                <w:szCs w:val="18"/>
              </w:rPr>
              <w:t>后预算</w:t>
            </w:r>
            <w:proofErr w:type="gramEnd"/>
            <w:r>
              <w:rPr>
                <w:rFonts w:eastAsia="微软雅黑"/>
                <w:color w:val="000000"/>
                <w:kern w:val="0"/>
                <w:sz w:val="18"/>
                <w:szCs w:val="18"/>
              </w:rPr>
              <w:t>数</w:t>
            </w:r>
          </w:p>
        </w:tc>
        <w:tc>
          <w:tcPr>
            <w:tcW w:w="9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预算执行率</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权重</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原因</w:t>
            </w:r>
          </w:p>
        </w:tc>
      </w:tr>
      <w:tr w:rsidR="002A41B6" w:rsidTr="002A41B6">
        <w:trPr>
          <w:trHeight w:val="90"/>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总额</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9.16</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9.16</w:t>
            </w:r>
          </w:p>
        </w:tc>
        <w:tc>
          <w:tcPr>
            <w:tcW w:w="9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9.16</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100.00%</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391"/>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其中：财政资金</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9.16</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9.16</w:t>
            </w:r>
          </w:p>
        </w:tc>
        <w:tc>
          <w:tcPr>
            <w:tcW w:w="9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9.16</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100.00%</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9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407"/>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财政专户管理资金</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9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9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361"/>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单位资金</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9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9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452"/>
        </w:trPr>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绩效指标（</w:t>
            </w:r>
            <w:r>
              <w:rPr>
                <w:rFonts w:eastAsia="微软雅黑"/>
                <w:color w:val="000000"/>
                <w:kern w:val="0"/>
                <w:sz w:val="18"/>
                <w:szCs w:val="18"/>
              </w:rPr>
              <w:t>90</w:t>
            </w:r>
            <w:r>
              <w:rPr>
                <w:rFonts w:eastAsia="微软雅黑"/>
                <w:color w:val="000000"/>
                <w:kern w:val="0"/>
                <w:sz w:val="18"/>
                <w:szCs w:val="18"/>
              </w:rPr>
              <w:t>分）</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一级指标</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二级指标</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三级指标</w:t>
            </w:r>
          </w:p>
        </w:tc>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指标性质</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指标值</w:t>
            </w:r>
          </w:p>
        </w:tc>
        <w:tc>
          <w:tcPr>
            <w:tcW w:w="1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完成值</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权重</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未完成原因分析</w:t>
            </w:r>
          </w:p>
        </w:tc>
      </w:tr>
      <w:tr w:rsidR="002A41B6" w:rsidTr="002A41B6">
        <w:trPr>
          <w:trHeight w:val="452"/>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产出指标</w:t>
            </w:r>
          </w:p>
        </w:tc>
        <w:tc>
          <w:tcPr>
            <w:tcW w:w="6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数量指标</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召开</w:t>
            </w:r>
            <w:proofErr w:type="gramStart"/>
            <w:r>
              <w:rPr>
                <w:rFonts w:eastAsia="微软雅黑"/>
                <w:color w:val="000000"/>
                <w:kern w:val="0"/>
                <w:sz w:val="18"/>
                <w:szCs w:val="18"/>
              </w:rPr>
              <w:t>医</w:t>
            </w:r>
            <w:proofErr w:type="gramEnd"/>
            <w:r>
              <w:rPr>
                <w:rFonts w:eastAsia="微软雅黑"/>
                <w:color w:val="000000"/>
                <w:kern w:val="0"/>
                <w:sz w:val="18"/>
                <w:szCs w:val="18"/>
              </w:rPr>
              <w:t>保工作市级新闻发布会、政策吹风会</w:t>
            </w:r>
          </w:p>
        </w:tc>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w:t>
            </w:r>
          </w:p>
        </w:tc>
        <w:tc>
          <w:tcPr>
            <w:tcW w:w="1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次</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20</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20</w:t>
            </w:r>
          </w:p>
        </w:tc>
        <w:tc>
          <w:tcPr>
            <w:tcW w:w="9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452"/>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6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召开</w:t>
            </w:r>
            <w:proofErr w:type="gramStart"/>
            <w:r>
              <w:rPr>
                <w:rFonts w:eastAsia="微软雅黑"/>
                <w:color w:val="000000"/>
                <w:kern w:val="0"/>
                <w:sz w:val="18"/>
                <w:szCs w:val="18"/>
              </w:rPr>
              <w:t>医</w:t>
            </w:r>
            <w:proofErr w:type="gramEnd"/>
            <w:r>
              <w:rPr>
                <w:rFonts w:eastAsia="微软雅黑"/>
                <w:color w:val="000000"/>
                <w:kern w:val="0"/>
                <w:sz w:val="18"/>
                <w:szCs w:val="18"/>
              </w:rPr>
              <w:t>保工作政府信息公开工作会议或培训</w:t>
            </w:r>
          </w:p>
        </w:tc>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w:t>
            </w:r>
          </w:p>
        </w:tc>
        <w:tc>
          <w:tcPr>
            <w:tcW w:w="1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次</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339"/>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6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质量指标</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proofErr w:type="gramStart"/>
            <w:r>
              <w:rPr>
                <w:rFonts w:eastAsia="微软雅黑"/>
                <w:color w:val="000000"/>
                <w:kern w:val="0"/>
                <w:sz w:val="18"/>
                <w:szCs w:val="18"/>
              </w:rPr>
              <w:t>医</w:t>
            </w:r>
            <w:proofErr w:type="gramEnd"/>
            <w:r>
              <w:rPr>
                <w:rFonts w:eastAsia="微软雅黑"/>
                <w:color w:val="000000"/>
                <w:kern w:val="0"/>
                <w:sz w:val="18"/>
                <w:szCs w:val="18"/>
              </w:rPr>
              <w:t>保系统正常运行率</w:t>
            </w:r>
          </w:p>
        </w:tc>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90</w:t>
            </w:r>
          </w:p>
        </w:tc>
        <w:tc>
          <w:tcPr>
            <w:tcW w:w="1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90</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339"/>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6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proofErr w:type="gramStart"/>
            <w:r>
              <w:rPr>
                <w:rFonts w:eastAsia="微软雅黑"/>
                <w:color w:val="000000"/>
                <w:kern w:val="0"/>
                <w:sz w:val="18"/>
                <w:szCs w:val="18"/>
              </w:rPr>
              <w:t>医</w:t>
            </w:r>
            <w:proofErr w:type="gramEnd"/>
            <w:r>
              <w:rPr>
                <w:rFonts w:eastAsia="微软雅黑"/>
                <w:color w:val="000000"/>
                <w:kern w:val="0"/>
                <w:sz w:val="18"/>
                <w:szCs w:val="18"/>
              </w:rPr>
              <w:t>保信息系统验收合格率</w:t>
            </w:r>
          </w:p>
        </w:tc>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90</w:t>
            </w:r>
          </w:p>
        </w:tc>
        <w:tc>
          <w:tcPr>
            <w:tcW w:w="1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90</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339"/>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时效指标</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定点医药监管和年度考核</w:t>
            </w:r>
          </w:p>
        </w:tc>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2024</w:t>
            </w:r>
          </w:p>
        </w:tc>
        <w:tc>
          <w:tcPr>
            <w:tcW w:w="1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年</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2024</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339"/>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效益指标</w:t>
            </w:r>
          </w:p>
        </w:tc>
        <w:tc>
          <w:tcPr>
            <w:tcW w:w="6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社会效益指标</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proofErr w:type="gramStart"/>
            <w:r>
              <w:rPr>
                <w:rFonts w:eastAsia="微软雅黑"/>
                <w:color w:val="000000"/>
                <w:kern w:val="0"/>
                <w:sz w:val="18"/>
                <w:szCs w:val="18"/>
              </w:rPr>
              <w:t>医</w:t>
            </w:r>
            <w:proofErr w:type="gramEnd"/>
            <w:r>
              <w:rPr>
                <w:rFonts w:eastAsia="微软雅黑"/>
                <w:color w:val="000000"/>
                <w:kern w:val="0"/>
                <w:sz w:val="18"/>
                <w:szCs w:val="18"/>
              </w:rPr>
              <w:t>保经办服务能力</w:t>
            </w:r>
          </w:p>
        </w:tc>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90</w:t>
            </w:r>
          </w:p>
        </w:tc>
        <w:tc>
          <w:tcPr>
            <w:tcW w:w="1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90</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339"/>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6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proofErr w:type="gramStart"/>
            <w:r>
              <w:rPr>
                <w:rFonts w:eastAsia="微软雅黑"/>
                <w:color w:val="000000"/>
                <w:kern w:val="0"/>
                <w:sz w:val="18"/>
                <w:szCs w:val="18"/>
              </w:rPr>
              <w:t>医</w:t>
            </w:r>
            <w:proofErr w:type="gramEnd"/>
            <w:r>
              <w:rPr>
                <w:rFonts w:eastAsia="微软雅黑"/>
                <w:color w:val="000000"/>
                <w:kern w:val="0"/>
                <w:sz w:val="18"/>
                <w:szCs w:val="18"/>
              </w:rPr>
              <w:t>保重要政策知晓率</w:t>
            </w:r>
          </w:p>
        </w:tc>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90</w:t>
            </w:r>
          </w:p>
        </w:tc>
        <w:tc>
          <w:tcPr>
            <w:tcW w:w="1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90</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452"/>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满意度指标</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服务对象满意度指标</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参保人员对</w:t>
            </w:r>
            <w:proofErr w:type="gramStart"/>
            <w:r>
              <w:rPr>
                <w:rFonts w:eastAsia="微软雅黑"/>
                <w:color w:val="000000"/>
                <w:kern w:val="0"/>
                <w:sz w:val="18"/>
                <w:szCs w:val="18"/>
              </w:rPr>
              <w:t>医</w:t>
            </w:r>
            <w:proofErr w:type="gramEnd"/>
            <w:r>
              <w:rPr>
                <w:rFonts w:eastAsia="微软雅黑"/>
                <w:color w:val="000000"/>
                <w:kern w:val="0"/>
                <w:sz w:val="18"/>
                <w:szCs w:val="18"/>
              </w:rPr>
              <w:t>保服务的满意度</w:t>
            </w:r>
          </w:p>
        </w:tc>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85</w:t>
            </w:r>
          </w:p>
        </w:tc>
        <w:tc>
          <w:tcPr>
            <w:tcW w:w="1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85</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512"/>
        </w:trPr>
        <w:tc>
          <w:tcPr>
            <w:tcW w:w="3680" w:type="pct"/>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合计</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right"/>
              <w:textAlignment w:val="center"/>
              <w:rPr>
                <w:rFonts w:eastAsia="微软雅黑"/>
                <w:color w:val="000000"/>
                <w:sz w:val="18"/>
                <w:szCs w:val="18"/>
              </w:rPr>
            </w:pPr>
            <w:r>
              <w:rPr>
                <w:rFonts w:eastAsia="微软雅黑"/>
                <w:color w:val="000000"/>
                <w:kern w:val="0"/>
                <w:sz w:val="18"/>
                <w:szCs w:val="18"/>
              </w:rPr>
              <w:t>100</w:t>
            </w:r>
          </w:p>
        </w:tc>
        <w:tc>
          <w:tcPr>
            <w:tcW w:w="9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884"/>
        </w:trPr>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评价结论</w:t>
            </w:r>
          </w:p>
        </w:tc>
        <w:tc>
          <w:tcPr>
            <w:tcW w:w="4771" w:type="pct"/>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加强定点医药机构基金监管，加大打击欺诈骗保工作力度，切实保障</w:t>
            </w:r>
            <w:proofErr w:type="gramStart"/>
            <w:r>
              <w:rPr>
                <w:rFonts w:eastAsia="微软雅黑"/>
                <w:color w:val="000000"/>
                <w:kern w:val="0"/>
                <w:sz w:val="18"/>
                <w:szCs w:val="18"/>
              </w:rPr>
              <w:t>医</w:t>
            </w:r>
            <w:proofErr w:type="gramEnd"/>
            <w:r>
              <w:rPr>
                <w:rFonts w:eastAsia="微软雅黑"/>
                <w:color w:val="000000"/>
                <w:kern w:val="0"/>
                <w:sz w:val="18"/>
                <w:szCs w:val="18"/>
              </w:rPr>
              <w:t>保基金合理有效使用。加快推进按疾病诊断相关组（</w:t>
            </w:r>
            <w:r>
              <w:rPr>
                <w:rFonts w:eastAsia="微软雅黑"/>
                <w:color w:val="000000"/>
                <w:kern w:val="0"/>
                <w:sz w:val="18"/>
                <w:szCs w:val="18"/>
              </w:rPr>
              <w:t>DRG</w:t>
            </w:r>
            <w:r>
              <w:rPr>
                <w:rFonts w:eastAsia="微软雅黑"/>
                <w:color w:val="000000"/>
                <w:kern w:val="0"/>
                <w:sz w:val="18"/>
                <w:szCs w:val="18"/>
              </w:rPr>
              <w:t>）付费试点工作和启动</w:t>
            </w:r>
            <w:proofErr w:type="gramStart"/>
            <w:r>
              <w:rPr>
                <w:rFonts w:eastAsia="微软雅黑"/>
                <w:color w:val="000000"/>
                <w:kern w:val="0"/>
                <w:sz w:val="18"/>
                <w:szCs w:val="18"/>
              </w:rPr>
              <w:t>医</w:t>
            </w:r>
            <w:proofErr w:type="gramEnd"/>
            <w:r>
              <w:rPr>
                <w:rFonts w:eastAsia="微软雅黑"/>
                <w:color w:val="000000"/>
                <w:kern w:val="0"/>
                <w:sz w:val="18"/>
                <w:szCs w:val="18"/>
              </w:rPr>
              <w:t>共体</w:t>
            </w:r>
            <w:proofErr w:type="gramStart"/>
            <w:r>
              <w:rPr>
                <w:rFonts w:eastAsia="微软雅黑"/>
                <w:color w:val="000000"/>
                <w:kern w:val="0"/>
                <w:sz w:val="18"/>
                <w:szCs w:val="18"/>
              </w:rPr>
              <w:t>医</w:t>
            </w:r>
            <w:proofErr w:type="gramEnd"/>
            <w:r>
              <w:rPr>
                <w:rFonts w:eastAsia="微软雅黑"/>
                <w:color w:val="000000"/>
                <w:kern w:val="0"/>
                <w:sz w:val="18"/>
                <w:szCs w:val="18"/>
              </w:rPr>
              <w:t>保改革工作。有效提升宣传引导、经办服务、人才队伍建设等医疗保障服务能力。</w:t>
            </w:r>
          </w:p>
        </w:tc>
      </w:tr>
      <w:tr w:rsidR="002A41B6" w:rsidTr="002A41B6">
        <w:trPr>
          <w:trHeight w:val="572"/>
        </w:trPr>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存在问题</w:t>
            </w:r>
          </w:p>
        </w:tc>
        <w:tc>
          <w:tcPr>
            <w:tcW w:w="4771" w:type="pct"/>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968"/>
        </w:trPr>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改进措施</w:t>
            </w:r>
          </w:p>
        </w:tc>
        <w:tc>
          <w:tcPr>
            <w:tcW w:w="4771" w:type="pct"/>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一是加强与财政部门的沟通协调，</w:t>
            </w:r>
            <w:r>
              <w:rPr>
                <w:rFonts w:eastAsia="微软雅黑"/>
                <w:color w:val="000000"/>
                <w:kern w:val="0"/>
                <w:sz w:val="18"/>
                <w:szCs w:val="18"/>
              </w:rPr>
              <w:t>2025</w:t>
            </w:r>
            <w:r>
              <w:rPr>
                <w:rFonts w:eastAsia="微软雅黑"/>
                <w:color w:val="000000"/>
                <w:kern w:val="0"/>
                <w:sz w:val="18"/>
                <w:szCs w:val="18"/>
              </w:rPr>
              <w:t>年待该项目结余资金下达后及时进行拨付。二是待项目资金分配财政下达预算后，提前谋划资金安排，加大预算执行力度，提高资金使用效率。</w:t>
            </w:r>
          </w:p>
        </w:tc>
      </w:tr>
      <w:tr w:rsidR="002A41B6" w:rsidTr="002A41B6">
        <w:trPr>
          <w:trHeight w:val="682"/>
        </w:trPr>
        <w:tc>
          <w:tcPr>
            <w:tcW w:w="2530"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项目负责人：申</w:t>
            </w:r>
            <w:proofErr w:type="gramStart"/>
            <w:r>
              <w:rPr>
                <w:rFonts w:eastAsia="微软雅黑"/>
                <w:color w:val="000000"/>
                <w:kern w:val="0"/>
                <w:sz w:val="18"/>
                <w:szCs w:val="18"/>
              </w:rPr>
              <w:t>聂</w:t>
            </w:r>
            <w:proofErr w:type="gramEnd"/>
          </w:p>
        </w:tc>
        <w:tc>
          <w:tcPr>
            <w:tcW w:w="2470"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财务负责人：</w:t>
            </w:r>
            <w:proofErr w:type="gramStart"/>
            <w:r>
              <w:rPr>
                <w:rFonts w:eastAsia="微软雅黑"/>
                <w:color w:val="000000"/>
                <w:kern w:val="0"/>
                <w:sz w:val="18"/>
                <w:szCs w:val="18"/>
              </w:rPr>
              <w:t>张峻源</w:t>
            </w:r>
            <w:proofErr w:type="gramEnd"/>
          </w:p>
        </w:tc>
      </w:tr>
      <w:tr w:rsidR="002A41B6" w:rsidTr="002C6759">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852CC7" w:rsidP="002C6759">
            <w:pPr>
              <w:widowControl/>
              <w:jc w:val="center"/>
              <w:textAlignment w:val="center"/>
              <w:rPr>
                <w:rFonts w:eastAsia="黑体"/>
                <w:b/>
                <w:color w:val="000000"/>
                <w:sz w:val="30"/>
                <w:szCs w:val="30"/>
              </w:rPr>
            </w:pPr>
            <w:r>
              <w:rPr>
                <w:rFonts w:eastAsia="黑体"/>
                <w:b/>
                <w:color w:val="000000"/>
                <w:kern w:val="0"/>
                <w:sz w:val="30"/>
                <w:szCs w:val="30"/>
              </w:rPr>
              <w:t>单位</w:t>
            </w:r>
            <w:r w:rsidR="002A41B6">
              <w:rPr>
                <w:rFonts w:eastAsia="黑体"/>
                <w:b/>
                <w:color w:val="000000"/>
                <w:kern w:val="0"/>
                <w:sz w:val="30"/>
                <w:szCs w:val="30"/>
              </w:rPr>
              <w:t>预算项目支出绩效自评表（</w:t>
            </w:r>
            <w:r w:rsidR="002A41B6">
              <w:rPr>
                <w:rFonts w:eastAsia="黑体"/>
                <w:b/>
                <w:color w:val="000000"/>
                <w:kern w:val="0"/>
                <w:sz w:val="30"/>
                <w:szCs w:val="30"/>
              </w:rPr>
              <w:t>2024</w:t>
            </w:r>
            <w:r w:rsidR="002A41B6">
              <w:rPr>
                <w:rFonts w:eastAsia="黑体"/>
                <w:b/>
                <w:color w:val="000000"/>
                <w:kern w:val="0"/>
                <w:sz w:val="30"/>
                <w:szCs w:val="30"/>
              </w:rPr>
              <w:t>年度）</w:t>
            </w:r>
          </w:p>
        </w:tc>
      </w:tr>
      <w:tr w:rsidR="002A41B6" w:rsidTr="002A41B6">
        <w:trPr>
          <w:trHeight w:val="286"/>
        </w:trPr>
        <w:tc>
          <w:tcPr>
            <w:tcW w:w="78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项目名称</w:t>
            </w:r>
          </w:p>
        </w:tc>
        <w:tc>
          <w:tcPr>
            <w:tcW w:w="4220" w:type="pct"/>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51040024T000012057962-</w:t>
            </w:r>
            <w:r>
              <w:rPr>
                <w:rFonts w:eastAsia="微软雅黑"/>
                <w:color w:val="000000"/>
                <w:kern w:val="0"/>
                <w:sz w:val="18"/>
                <w:szCs w:val="18"/>
              </w:rPr>
              <w:t>医疗服务与保障能力提升中央财政补助资金</w:t>
            </w:r>
          </w:p>
        </w:tc>
      </w:tr>
      <w:tr w:rsidR="002A41B6" w:rsidTr="002A41B6">
        <w:trPr>
          <w:trHeight w:val="512"/>
        </w:trPr>
        <w:tc>
          <w:tcPr>
            <w:tcW w:w="78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主管</w:t>
            </w:r>
            <w:r w:rsidR="00852CC7">
              <w:rPr>
                <w:rFonts w:eastAsia="微软雅黑"/>
                <w:color w:val="000000"/>
                <w:kern w:val="0"/>
                <w:sz w:val="18"/>
                <w:szCs w:val="18"/>
              </w:rPr>
              <w:t>单位</w:t>
            </w:r>
          </w:p>
        </w:tc>
        <w:tc>
          <w:tcPr>
            <w:tcW w:w="2514"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攀枝花市医疗保障事务中心</w:t>
            </w:r>
          </w:p>
        </w:tc>
        <w:tc>
          <w:tcPr>
            <w:tcW w:w="386" w:type="pct"/>
            <w:tcBorders>
              <w:top w:val="nil"/>
              <w:left w:val="nil"/>
              <w:bottom w:val="nil"/>
              <w:right w:val="nil"/>
            </w:tcBorders>
            <w:shd w:val="clear" w:color="auto" w:fill="auto"/>
            <w:tcMar>
              <w:top w:w="15" w:type="dxa"/>
              <w:left w:w="15" w:type="dxa"/>
              <w:right w:w="15" w:type="dxa"/>
            </w:tcMar>
            <w:vAlign w:val="center"/>
          </w:tcPr>
          <w:p w:rsidR="002A41B6" w:rsidRDefault="002A41B6" w:rsidP="00026D1D">
            <w:pPr>
              <w:widowControl/>
              <w:jc w:val="center"/>
              <w:textAlignment w:val="center"/>
              <w:rPr>
                <w:rFonts w:eastAsia="微软雅黑"/>
                <w:color w:val="000000"/>
                <w:sz w:val="18"/>
                <w:szCs w:val="18"/>
              </w:rPr>
            </w:pPr>
            <w:r>
              <w:rPr>
                <w:rFonts w:eastAsia="微软雅黑"/>
                <w:color w:val="000000"/>
                <w:kern w:val="0"/>
                <w:sz w:val="18"/>
                <w:szCs w:val="18"/>
              </w:rPr>
              <w:t>实施单位</w:t>
            </w:r>
          </w:p>
        </w:tc>
        <w:tc>
          <w:tcPr>
            <w:tcW w:w="1320"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攀枝花市医疗保障事务中心</w:t>
            </w:r>
          </w:p>
        </w:tc>
      </w:tr>
      <w:tr w:rsidR="002A41B6" w:rsidTr="002A41B6">
        <w:trPr>
          <w:trHeight w:val="286"/>
        </w:trPr>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项目基本情况</w:t>
            </w:r>
          </w:p>
        </w:tc>
        <w:tc>
          <w:tcPr>
            <w:tcW w:w="55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1.</w:t>
            </w:r>
            <w:r>
              <w:rPr>
                <w:rFonts w:eastAsia="微软雅黑"/>
                <w:color w:val="000000"/>
                <w:kern w:val="0"/>
                <w:sz w:val="18"/>
                <w:szCs w:val="18"/>
              </w:rPr>
              <w:t>项目年度目标完成情况</w:t>
            </w:r>
          </w:p>
        </w:tc>
        <w:tc>
          <w:tcPr>
            <w:tcW w:w="2514"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项目年度目标</w:t>
            </w:r>
          </w:p>
        </w:tc>
        <w:tc>
          <w:tcPr>
            <w:tcW w:w="1706" w:type="pct"/>
            <w:gridSpan w:val="4"/>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年度目标完成情况</w:t>
            </w:r>
          </w:p>
        </w:tc>
      </w:tr>
      <w:tr w:rsidR="002A41B6" w:rsidTr="002A41B6">
        <w:trPr>
          <w:trHeight w:val="1580"/>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rPr>
                <w:rFonts w:eastAsia="微软雅黑"/>
                <w:color w:val="000000"/>
                <w:sz w:val="18"/>
                <w:szCs w:val="18"/>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rPr>
                <w:rFonts w:eastAsia="微软雅黑"/>
                <w:color w:val="000000"/>
                <w:sz w:val="18"/>
                <w:szCs w:val="18"/>
              </w:rPr>
            </w:pPr>
          </w:p>
        </w:tc>
        <w:tc>
          <w:tcPr>
            <w:tcW w:w="2514"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加强定点医药机构基金监管，加大打击欺诈骗保工作力度，切实保障</w:t>
            </w:r>
            <w:proofErr w:type="gramStart"/>
            <w:r>
              <w:rPr>
                <w:rFonts w:eastAsia="微软雅黑"/>
                <w:color w:val="000000"/>
                <w:kern w:val="0"/>
                <w:sz w:val="18"/>
                <w:szCs w:val="18"/>
              </w:rPr>
              <w:t>医</w:t>
            </w:r>
            <w:proofErr w:type="gramEnd"/>
            <w:r>
              <w:rPr>
                <w:rFonts w:eastAsia="微软雅黑"/>
                <w:color w:val="000000"/>
                <w:kern w:val="0"/>
                <w:sz w:val="18"/>
                <w:szCs w:val="18"/>
              </w:rPr>
              <w:t>保基金合理有效使用。</w:t>
            </w:r>
            <w:r>
              <w:rPr>
                <w:rFonts w:eastAsia="微软雅黑"/>
                <w:color w:val="000000"/>
                <w:kern w:val="0"/>
                <w:sz w:val="18"/>
                <w:szCs w:val="18"/>
              </w:rPr>
              <w:t>:</w:t>
            </w:r>
            <w:r>
              <w:rPr>
                <w:rFonts w:eastAsia="微软雅黑"/>
                <w:color w:val="000000"/>
                <w:kern w:val="0"/>
                <w:sz w:val="18"/>
                <w:szCs w:val="18"/>
              </w:rPr>
              <w:t>加快推进按疾病诊断相关组（</w:t>
            </w:r>
            <w:r>
              <w:rPr>
                <w:rFonts w:eastAsia="微软雅黑"/>
                <w:color w:val="000000"/>
                <w:kern w:val="0"/>
                <w:sz w:val="18"/>
                <w:szCs w:val="18"/>
              </w:rPr>
              <w:t>DRG</w:t>
            </w:r>
            <w:r>
              <w:rPr>
                <w:rFonts w:eastAsia="微软雅黑"/>
                <w:color w:val="000000"/>
                <w:kern w:val="0"/>
                <w:sz w:val="18"/>
                <w:szCs w:val="18"/>
              </w:rPr>
              <w:t>）付费试点工作和启动</w:t>
            </w:r>
            <w:proofErr w:type="gramStart"/>
            <w:r>
              <w:rPr>
                <w:rFonts w:eastAsia="微软雅黑"/>
                <w:color w:val="000000"/>
                <w:kern w:val="0"/>
                <w:sz w:val="18"/>
                <w:szCs w:val="18"/>
              </w:rPr>
              <w:t>医</w:t>
            </w:r>
            <w:proofErr w:type="gramEnd"/>
            <w:r>
              <w:rPr>
                <w:rFonts w:eastAsia="微软雅黑"/>
                <w:color w:val="000000"/>
                <w:kern w:val="0"/>
                <w:sz w:val="18"/>
                <w:szCs w:val="18"/>
              </w:rPr>
              <w:t>共体</w:t>
            </w:r>
            <w:proofErr w:type="gramStart"/>
            <w:r>
              <w:rPr>
                <w:rFonts w:eastAsia="微软雅黑"/>
                <w:color w:val="000000"/>
                <w:kern w:val="0"/>
                <w:sz w:val="18"/>
                <w:szCs w:val="18"/>
              </w:rPr>
              <w:t>医</w:t>
            </w:r>
            <w:proofErr w:type="gramEnd"/>
            <w:r>
              <w:rPr>
                <w:rFonts w:eastAsia="微软雅黑"/>
                <w:color w:val="000000"/>
                <w:kern w:val="0"/>
                <w:sz w:val="18"/>
                <w:szCs w:val="18"/>
              </w:rPr>
              <w:t>保改革工作。有效提升宣传引导、经办服务、人才队伍建设等医疗保障服务能力。加强</w:t>
            </w:r>
            <w:proofErr w:type="gramStart"/>
            <w:r>
              <w:rPr>
                <w:rFonts w:eastAsia="微软雅黑"/>
                <w:color w:val="000000"/>
                <w:kern w:val="0"/>
                <w:sz w:val="18"/>
                <w:szCs w:val="18"/>
              </w:rPr>
              <w:t>医</w:t>
            </w:r>
            <w:proofErr w:type="gramEnd"/>
            <w:r>
              <w:rPr>
                <w:rFonts w:eastAsia="微软雅黑"/>
                <w:color w:val="000000"/>
                <w:kern w:val="0"/>
                <w:sz w:val="18"/>
                <w:szCs w:val="18"/>
              </w:rPr>
              <w:t>保网络、信息安全、基础设施等信息化建设工作，进一步夯实技术基础，切实保障</w:t>
            </w:r>
            <w:proofErr w:type="gramStart"/>
            <w:r>
              <w:rPr>
                <w:rFonts w:eastAsia="微软雅黑"/>
                <w:color w:val="000000"/>
                <w:kern w:val="0"/>
                <w:sz w:val="18"/>
                <w:szCs w:val="18"/>
              </w:rPr>
              <w:t>医</w:t>
            </w:r>
            <w:proofErr w:type="gramEnd"/>
            <w:r>
              <w:rPr>
                <w:rFonts w:eastAsia="微软雅黑"/>
                <w:color w:val="000000"/>
                <w:kern w:val="0"/>
                <w:sz w:val="18"/>
                <w:szCs w:val="18"/>
              </w:rPr>
              <w:t>保信息系统高效、安全运行，提高数据采集质量和速度。</w:t>
            </w:r>
            <w:r>
              <w:rPr>
                <w:rFonts w:eastAsia="微软雅黑"/>
                <w:color w:val="000000"/>
                <w:kern w:val="0"/>
                <w:sz w:val="18"/>
                <w:szCs w:val="18"/>
              </w:rPr>
              <w:t xml:space="preserve">  </w:t>
            </w:r>
          </w:p>
        </w:tc>
        <w:tc>
          <w:tcPr>
            <w:tcW w:w="1706"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有效提升了我市医疗保障服务能力，切实发挥了中央转移资金使用效益，如期完成了</w:t>
            </w:r>
            <w:r>
              <w:rPr>
                <w:rFonts w:eastAsia="微软雅黑"/>
                <w:color w:val="000000"/>
                <w:kern w:val="0"/>
                <w:sz w:val="18"/>
                <w:szCs w:val="18"/>
              </w:rPr>
              <w:t>2024</w:t>
            </w:r>
            <w:r>
              <w:rPr>
                <w:rFonts w:eastAsia="微软雅黑"/>
                <w:color w:val="000000"/>
                <w:kern w:val="0"/>
                <w:sz w:val="18"/>
                <w:szCs w:val="18"/>
              </w:rPr>
              <w:t>年度总体绩效目标。</w:t>
            </w:r>
          </w:p>
        </w:tc>
      </w:tr>
      <w:tr w:rsidR="002A41B6" w:rsidTr="002A41B6">
        <w:trPr>
          <w:trHeight w:val="693"/>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rPr>
                <w:rFonts w:eastAsia="微软雅黑"/>
                <w:color w:val="000000"/>
                <w:sz w:val="18"/>
                <w:szCs w:val="18"/>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2.</w:t>
            </w:r>
            <w:r>
              <w:rPr>
                <w:rFonts w:eastAsia="微软雅黑"/>
                <w:color w:val="000000"/>
                <w:kern w:val="0"/>
                <w:sz w:val="18"/>
                <w:szCs w:val="18"/>
              </w:rPr>
              <w:t>项目实施内容及过程概述</w:t>
            </w:r>
          </w:p>
        </w:tc>
        <w:tc>
          <w:tcPr>
            <w:tcW w:w="4220" w:type="pct"/>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tabs>
                <w:tab w:val="left" w:pos="1091"/>
              </w:tabs>
              <w:rPr>
                <w:rFonts w:eastAsia="微软雅黑"/>
                <w:color w:val="000000"/>
                <w:sz w:val="18"/>
                <w:szCs w:val="18"/>
              </w:rPr>
            </w:pPr>
            <w:r>
              <w:rPr>
                <w:rFonts w:eastAsia="微软雅黑"/>
                <w:sz w:val="18"/>
                <w:szCs w:val="18"/>
              </w:rPr>
              <w:t>建立</w:t>
            </w:r>
            <w:proofErr w:type="gramStart"/>
            <w:r>
              <w:rPr>
                <w:rFonts w:eastAsia="微软雅黑"/>
                <w:sz w:val="18"/>
                <w:szCs w:val="18"/>
              </w:rPr>
              <w:t>医</w:t>
            </w:r>
            <w:proofErr w:type="gramEnd"/>
            <w:r>
              <w:rPr>
                <w:rFonts w:eastAsia="微软雅黑"/>
                <w:sz w:val="18"/>
                <w:szCs w:val="18"/>
              </w:rPr>
              <w:t>保基金预警及风险防控机制，按省</w:t>
            </w:r>
            <w:proofErr w:type="gramStart"/>
            <w:r>
              <w:rPr>
                <w:rFonts w:eastAsia="微软雅黑"/>
                <w:sz w:val="18"/>
                <w:szCs w:val="18"/>
              </w:rPr>
              <w:t>医</w:t>
            </w:r>
            <w:proofErr w:type="gramEnd"/>
            <w:r>
              <w:rPr>
                <w:rFonts w:eastAsia="微软雅黑"/>
                <w:sz w:val="18"/>
                <w:szCs w:val="18"/>
              </w:rPr>
              <w:t>保局要求，每个季度开展基金运行监测及风险预警，打击各类欺诈骗保行为。</w:t>
            </w:r>
          </w:p>
        </w:tc>
      </w:tr>
      <w:tr w:rsidR="002A41B6" w:rsidTr="002A41B6">
        <w:trPr>
          <w:trHeight w:val="361"/>
        </w:trPr>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预算执行情况（</w:t>
            </w:r>
            <w:r>
              <w:rPr>
                <w:rFonts w:eastAsia="微软雅黑"/>
                <w:color w:val="000000"/>
                <w:kern w:val="0"/>
                <w:sz w:val="18"/>
                <w:szCs w:val="18"/>
              </w:rPr>
              <w:t>10</w:t>
            </w:r>
            <w:r>
              <w:rPr>
                <w:rFonts w:eastAsia="微软雅黑"/>
                <w:color w:val="000000"/>
                <w:kern w:val="0"/>
                <w:sz w:val="18"/>
                <w:szCs w:val="18"/>
              </w:rPr>
              <w:t>分）</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年度预算数（万元）</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年初预算</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调整</w:t>
            </w:r>
            <w:proofErr w:type="gramStart"/>
            <w:r>
              <w:rPr>
                <w:rFonts w:eastAsia="微软雅黑"/>
                <w:color w:val="000000"/>
                <w:kern w:val="0"/>
                <w:sz w:val="18"/>
                <w:szCs w:val="18"/>
              </w:rPr>
              <w:t>后预算</w:t>
            </w:r>
            <w:proofErr w:type="gramEnd"/>
            <w:r>
              <w:rPr>
                <w:rFonts w:eastAsia="微软雅黑"/>
                <w:color w:val="000000"/>
                <w:kern w:val="0"/>
                <w:sz w:val="18"/>
                <w:szCs w:val="18"/>
              </w:rPr>
              <w:t>数</w:t>
            </w:r>
          </w:p>
        </w:tc>
        <w:tc>
          <w:tcPr>
            <w:tcW w:w="9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预算执行数</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预算执行率</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权重</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原因</w:t>
            </w:r>
          </w:p>
        </w:tc>
      </w:tr>
      <w:tr w:rsidR="002A41B6" w:rsidTr="002A41B6">
        <w:trPr>
          <w:trHeight w:val="346"/>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总额</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136.00</w:t>
            </w:r>
          </w:p>
        </w:tc>
        <w:tc>
          <w:tcPr>
            <w:tcW w:w="9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134.72</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99.06%</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sz w:val="18"/>
                <w:szCs w:val="18"/>
              </w:rPr>
              <w:t>9.12</w:t>
            </w:r>
          </w:p>
        </w:tc>
        <w:tc>
          <w:tcPr>
            <w:tcW w:w="9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391"/>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其中：财政资金</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136.00</w:t>
            </w:r>
          </w:p>
        </w:tc>
        <w:tc>
          <w:tcPr>
            <w:tcW w:w="9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134.72</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99.06%</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rPr>
                <w:rFonts w:eastAsia="微软雅黑"/>
                <w:color w:val="000000"/>
                <w:sz w:val="18"/>
                <w:szCs w:val="18"/>
              </w:rPr>
            </w:pPr>
          </w:p>
        </w:tc>
      </w:tr>
      <w:tr w:rsidR="002A41B6" w:rsidTr="002A41B6">
        <w:trPr>
          <w:trHeight w:val="407"/>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财政专户管理资金</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9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rPr>
                <w:rFonts w:eastAsia="微软雅黑"/>
                <w:color w:val="000000"/>
                <w:sz w:val="18"/>
                <w:szCs w:val="18"/>
              </w:rPr>
            </w:pPr>
          </w:p>
        </w:tc>
      </w:tr>
      <w:tr w:rsidR="002A41B6" w:rsidTr="002A41B6">
        <w:trPr>
          <w:trHeight w:val="361"/>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单位资金</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9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rPr>
                <w:rFonts w:eastAsia="微软雅黑"/>
                <w:color w:val="000000"/>
                <w:sz w:val="18"/>
                <w:szCs w:val="18"/>
              </w:rPr>
            </w:pPr>
          </w:p>
        </w:tc>
      </w:tr>
      <w:tr w:rsidR="002A41B6" w:rsidTr="002A41B6">
        <w:trPr>
          <w:trHeight w:val="339"/>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其他资金</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i/>
                <w:color w:val="000000"/>
                <w:sz w:val="18"/>
                <w:szCs w:val="18"/>
              </w:rPr>
            </w:pP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i/>
                <w:color w:val="000000"/>
                <w:sz w:val="18"/>
                <w:szCs w:val="18"/>
              </w:rPr>
            </w:pPr>
          </w:p>
        </w:tc>
        <w:tc>
          <w:tcPr>
            <w:tcW w:w="9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i/>
                <w:color w:val="000000"/>
                <w:sz w:val="18"/>
                <w:szCs w:val="18"/>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i/>
                <w:color w:val="000000"/>
                <w:sz w:val="18"/>
                <w:szCs w:val="18"/>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9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rPr>
                <w:rFonts w:eastAsia="微软雅黑"/>
                <w:color w:val="000000"/>
                <w:sz w:val="18"/>
                <w:szCs w:val="18"/>
              </w:rPr>
            </w:pPr>
          </w:p>
        </w:tc>
      </w:tr>
      <w:tr w:rsidR="002A41B6" w:rsidTr="002A41B6">
        <w:trPr>
          <w:trHeight w:val="452"/>
        </w:trPr>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绩效指标（</w:t>
            </w:r>
            <w:r>
              <w:rPr>
                <w:rFonts w:eastAsia="微软雅黑"/>
                <w:color w:val="000000"/>
                <w:kern w:val="0"/>
                <w:sz w:val="18"/>
                <w:szCs w:val="18"/>
              </w:rPr>
              <w:t>90</w:t>
            </w:r>
            <w:r>
              <w:rPr>
                <w:rFonts w:eastAsia="微软雅黑"/>
                <w:color w:val="000000"/>
                <w:kern w:val="0"/>
                <w:sz w:val="18"/>
                <w:szCs w:val="18"/>
              </w:rPr>
              <w:t>分）</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一级指标</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二级指标</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三级指标</w:t>
            </w:r>
          </w:p>
        </w:tc>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指标性质</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指标值</w:t>
            </w:r>
          </w:p>
        </w:tc>
        <w:tc>
          <w:tcPr>
            <w:tcW w:w="1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度量单位</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完成值</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权重</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得分</w:t>
            </w:r>
          </w:p>
        </w:tc>
        <w:tc>
          <w:tcPr>
            <w:tcW w:w="9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未完成原因分析</w:t>
            </w:r>
          </w:p>
        </w:tc>
      </w:tr>
      <w:tr w:rsidR="002A41B6" w:rsidTr="002A41B6">
        <w:trPr>
          <w:trHeight w:val="452"/>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产出指标</w:t>
            </w:r>
          </w:p>
        </w:tc>
        <w:tc>
          <w:tcPr>
            <w:tcW w:w="6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数量指标</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召开</w:t>
            </w:r>
            <w:proofErr w:type="gramStart"/>
            <w:r>
              <w:rPr>
                <w:rFonts w:eastAsia="微软雅黑"/>
                <w:color w:val="000000"/>
                <w:kern w:val="0"/>
                <w:sz w:val="18"/>
                <w:szCs w:val="18"/>
              </w:rPr>
              <w:t>医</w:t>
            </w:r>
            <w:proofErr w:type="gramEnd"/>
            <w:r>
              <w:rPr>
                <w:rFonts w:eastAsia="微软雅黑"/>
                <w:color w:val="000000"/>
                <w:kern w:val="0"/>
                <w:sz w:val="18"/>
                <w:szCs w:val="18"/>
              </w:rPr>
              <w:t>保工作市级新闻发布会、政策吹风会</w:t>
            </w:r>
          </w:p>
        </w:tc>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w:t>
            </w:r>
          </w:p>
        </w:tc>
        <w:tc>
          <w:tcPr>
            <w:tcW w:w="1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次</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04"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339"/>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6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proofErr w:type="gramStart"/>
            <w:r>
              <w:rPr>
                <w:rFonts w:eastAsia="微软雅黑"/>
                <w:color w:val="000000"/>
                <w:kern w:val="0"/>
                <w:sz w:val="18"/>
                <w:szCs w:val="18"/>
              </w:rPr>
              <w:t>医</w:t>
            </w:r>
            <w:proofErr w:type="gramEnd"/>
            <w:r>
              <w:rPr>
                <w:rFonts w:eastAsia="微软雅黑"/>
                <w:color w:val="000000"/>
                <w:kern w:val="0"/>
                <w:sz w:val="18"/>
                <w:szCs w:val="18"/>
              </w:rPr>
              <w:t>保信息系统验收合格率</w:t>
            </w:r>
          </w:p>
        </w:tc>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100</w:t>
            </w:r>
          </w:p>
        </w:tc>
        <w:tc>
          <w:tcPr>
            <w:tcW w:w="1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100</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243" w:type="pc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04"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339"/>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6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建设</w:t>
            </w:r>
            <w:proofErr w:type="gramStart"/>
            <w:r>
              <w:rPr>
                <w:rFonts w:eastAsia="微软雅黑"/>
                <w:color w:val="000000"/>
                <w:kern w:val="0"/>
                <w:sz w:val="18"/>
                <w:szCs w:val="18"/>
              </w:rPr>
              <w:t>医</w:t>
            </w:r>
            <w:proofErr w:type="gramEnd"/>
            <w:r>
              <w:rPr>
                <w:rFonts w:eastAsia="微软雅黑"/>
                <w:color w:val="000000"/>
                <w:kern w:val="0"/>
                <w:sz w:val="18"/>
                <w:szCs w:val="18"/>
              </w:rPr>
              <w:t>保信息系统</w:t>
            </w:r>
          </w:p>
        </w:tc>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w:t>
            </w:r>
          </w:p>
        </w:tc>
        <w:tc>
          <w:tcPr>
            <w:tcW w:w="1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套</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04"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452"/>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6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召开</w:t>
            </w:r>
            <w:proofErr w:type="gramStart"/>
            <w:r>
              <w:rPr>
                <w:rFonts w:eastAsia="微软雅黑"/>
                <w:color w:val="000000"/>
                <w:kern w:val="0"/>
                <w:sz w:val="18"/>
                <w:szCs w:val="18"/>
              </w:rPr>
              <w:t>医</w:t>
            </w:r>
            <w:proofErr w:type="gramEnd"/>
            <w:r>
              <w:rPr>
                <w:rFonts w:eastAsia="微软雅黑"/>
                <w:color w:val="000000"/>
                <w:kern w:val="0"/>
                <w:sz w:val="18"/>
                <w:szCs w:val="18"/>
              </w:rPr>
              <w:t>保工作政府信息公开工作会议或培训</w:t>
            </w:r>
          </w:p>
        </w:tc>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2</w:t>
            </w:r>
          </w:p>
        </w:tc>
        <w:tc>
          <w:tcPr>
            <w:tcW w:w="1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次</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2</w:t>
            </w:r>
          </w:p>
        </w:tc>
        <w:tc>
          <w:tcPr>
            <w:tcW w:w="173" w:type="pc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243" w:type="pc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04"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339"/>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质量指标</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proofErr w:type="gramStart"/>
            <w:r>
              <w:rPr>
                <w:rFonts w:eastAsia="微软雅黑"/>
                <w:color w:val="000000"/>
                <w:kern w:val="0"/>
                <w:sz w:val="18"/>
                <w:szCs w:val="18"/>
              </w:rPr>
              <w:t>医</w:t>
            </w:r>
            <w:proofErr w:type="gramEnd"/>
            <w:r>
              <w:rPr>
                <w:rFonts w:eastAsia="微软雅黑"/>
                <w:color w:val="000000"/>
                <w:kern w:val="0"/>
                <w:sz w:val="18"/>
                <w:szCs w:val="18"/>
              </w:rPr>
              <w:t>保系统正常运行率</w:t>
            </w:r>
          </w:p>
        </w:tc>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90</w:t>
            </w:r>
          </w:p>
        </w:tc>
        <w:tc>
          <w:tcPr>
            <w:tcW w:w="1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90</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243"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04"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339"/>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时效指标</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定点医药监管和年度考核</w:t>
            </w:r>
          </w:p>
        </w:tc>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2024</w:t>
            </w:r>
          </w:p>
        </w:tc>
        <w:tc>
          <w:tcPr>
            <w:tcW w:w="1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年</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2024</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04"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339"/>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效益指标</w:t>
            </w:r>
          </w:p>
        </w:tc>
        <w:tc>
          <w:tcPr>
            <w:tcW w:w="6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社会效益指标</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proofErr w:type="gramStart"/>
            <w:r>
              <w:rPr>
                <w:rFonts w:eastAsia="微软雅黑"/>
                <w:color w:val="000000"/>
                <w:kern w:val="0"/>
                <w:sz w:val="18"/>
                <w:szCs w:val="18"/>
              </w:rPr>
              <w:t>医</w:t>
            </w:r>
            <w:proofErr w:type="gramEnd"/>
            <w:r>
              <w:rPr>
                <w:rFonts w:eastAsia="微软雅黑"/>
                <w:color w:val="000000"/>
                <w:kern w:val="0"/>
                <w:sz w:val="18"/>
                <w:szCs w:val="18"/>
              </w:rPr>
              <w:t>保经办服务能力</w:t>
            </w:r>
          </w:p>
        </w:tc>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90</w:t>
            </w:r>
          </w:p>
        </w:tc>
        <w:tc>
          <w:tcPr>
            <w:tcW w:w="1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90</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04"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339"/>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6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proofErr w:type="gramStart"/>
            <w:r>
              <w:rPr>
                <w:rFonts w:eastAsia="微软雅黑"/>
                <w:color w:val="000000"/>
                <w:kern w:val="0"/>
                <w:sz w:val="18"/>
                <w:szCs w:val="18"/>
              </w:rPr>
              <w:t>医</w:t>
            </w:r>
            <w:proofErr w:type="gramEnd"/>
            <w:r>
              <w:rPr>
                <w:rFonts w:eastAsia="微软雅黑"/>
                <w:color w:val="000000"/>
                <w:kern w:val="0"/>
                <w:sz w:val="18"/>
                <w:szCs w:val="18"/>
              </w:rPr>
              <w:t>保重要政策知晓率</w:t>
            </w:r>
          </w:p>
        </w:tc>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90</w:t>
            </w:r>
          </w:p>
        </w:tc>
        <w:tc>
          <w:tcPr>
            <w:tcW w:w="1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90</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04"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452"/>
        </w:trPr>
        <w:tc>
          <w:tcPr>
            <w:tcW w:w="2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满意度指标</w:t>
            </w:r>
          </w:p>
        </w:tc>
        <w:tc>
          <w:tcPr>
            <w:tcW w:w="61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服务对象满意度指标</w:t>
            </w:r>
          </w:p>
        </w:tc>
        <w:tc>
          <w:tcPr>
            <w:tcW w:w="9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参保人员对</w:t>
            </w:r>
            <w:proofErr w:type="gramStart"/>
            <w:r>
              <w:rPr>
                <w:rFonts w:eastAsia="微软雅黑"/>
                <w:color w:val="000000"/>
                <w:kern w:val="0"/>
                <w:sz w:val="18"/>
                <w:szCs w:val="18"/>
              </w:rPr>
              <w:t>医</w:t>
            </w:r>
            <w:proofErr w:type="gramEnd"/>
            <w:r>
              <w:rPr>
                <w:rFonts w:eastAsia="微软雅黑"/>
                <w:color w:val="000000"/>
                <w:kern w:val="0"/>
                <w:sz w:val="18"/>
                <w:szCs w:val="18"/>
              </w:rPr>
              <w:t>保服务的满意度</w:t>
            </w:r>
          </w:p>
        </w:tc>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80</w:t>
            </w:r>
          </w:p>
        </w:tc>
        <w:tc>
          <w:tcPr>
            <w:tcW w:w="1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38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80</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24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sz w:val="18"/>
                <w:szCs w:val="18"/>
              </w:rPr>
              <w:t>10</w:t>
            </w:r>
          </w:p>
        </w:tc>
        <w:tc>
          <w:tcPr>
            <w:tcW w:w="904"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286"/>
        </w:trPr>
        <w:tc>
          <w:tcPr>
            <w:tcW w:w="3680" w:type="pct"/>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合计</w:t>
            </w:r>
          </w:p>
        </w:tc>
        <w:tc>
          <w:tcPr>
            <w:tcW w:w="173"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100</w:t>
            </w:r>
          </w:p>
        </w:tc>
        <w:tc>
          <w:tcPr>
            <w:tcW w:w="243"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41B6" w:rsidRDefault="002A41B6" w:rsidP="002C6759">
            <w:pPr>
              <w:widowControl/>
              <w:jc w:val="right"/>
              <w:textAlignment w:val="center"/>
              <w:rPr>
                <w:rFonts w:eastAsia="微软雅黑"/>
                <w:color w:val="000000"/>
                <w:sz w:val="18"/>
                <w:szCs w:val="18"/>
              </w:rPr>
            </w:pPr>
            <w:r>
              <w:rPr>
                <w:rFonts w:eastAsia="微软雅黑"/>
                <w:color w:val="000000"/>
                <w:kern w:val="0"/>
                <w:sz w:val="18"/>
                <w:szCs w:val="18"/>
              </w:rPr>
              <w:t>99.12</w:t>
            </w:r>
          </w:p>
        </w:tc>
        <w:tc>
          <w:tcPr>
            <w:tcW w:w="904"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603"/>
        </w:trPr>
        <w:tc>
          <w:tcPr>
            <w:tcW w:w="229" w:type="pc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评价结论</w:t>
            </w:r>
          </w:p>
        </w:tc>
        <w:tc>
          <w:tcPr>
            <w:tcW w:w="4771" w:type="pct"/>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有效提升了我市医疗保障服务能力，切实发挥了中央转移资金使用效益，如期完成了</w:t>
            </w:r>
            <w:r>
              <w:rPr>
                <w:rFonts w:eastAsia="微软雅黑"/>
                <w:color w:val="000000"/>
                <w:kern w:val="0"/>
                <w:sz w:val="18"/>
                <w:szCs w:val="18"/>
              </w:rPr>
              <w:t>2024</w:t>
            </w:r>
            <w:r>
              <w:rPr>
                <w:rFonts w:eastAsia="微软雅黑"/>
                <w:color w:val="000000"/>
                <w:kern w:val="0"/>
                <w:sz w:val="18"/>
                <w:szCs w:val="18"/>
              </w:rPr>
              <w:t>年度总体绩效目标。</w:t>
            </w:r>
          </w:p>
        </w:tc>
      </w:tr>
      <w:tr w:rsidR="002A41B6" w:rsidTr="002A41B6">
        <w:trPr>
          <w:trHeight w:val="572"/>
        </w:trPr>
        <w:tc>
          <w:tcPr>
            <w:tcW w:w="229" w:type="pc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存在问题</w:t>
            </w:r>
          </w:p>
        </w:tc>
        <w:tc>
          <w:tcPr>
            <w:tcW w:w="4771" w:type="pct"/>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2024</w:t>
            </w:r>
            <w:r>
              <w:rPr>
                <w:rFonts w:eastAsia="微软雅黑"/>
                <w:color w:val="000000"/>
                <w:kern w:val="0"/>
                <w:sz w:val="18"/>
                <w:szCs w:val="18"/>
              </w:rPr>
              <w:t>年该项目预算资金综合执行率为</w:t>
            </w:r>
            <w:r>
              <w:rPr>
                <w:rFonts w:eastAsia="微软雅黑"/>
                <w:color w:val="000000"/>
                <w:kern w:val="0"/>
                <w:sz w:val="18"/>
                <w:szCs w:val="18"/>
              </w:rPr>
              <w:t>99.12%</w:t>
            </w:r>
            <w:r>
              <w:rPr>
                <w:rFonts w:eastAsia="微软雅黑"/>
                <w:color w:val="000000"/>
                <w:kern w:val="0"/>
                <w:sz w:val="18"/>
                <w:szCs w:val="18"/>
              </w:rPr>
              <w:t>。执行进度未达到</w:t>
            </w:r>
            <w:r>
              <w:rPr>
                <w:rFonts w:eastAsia="微软雅黑"/>
                <w:color w:val="000000"/>
                <w:kern w:val="0"/>
                <w:sz w:val="18"/>
                <w:szCs w:val="18"/>
              </w:rPr>
              <w:t>100%</w:t>
            </w:r>
            <w:r>
              <w:rPr>
                <w:rFonts w:eastAsia="微软雅黑"/>
                <w:color w:val="000000"/>
                <w:kern w:val="0"/>
                <w:sz w:val="18"/>
                <w:szCs w:val="18"/>
              </w:rPr>
              <w:t>。</w:t>
            </w:r>
          </w:p>
        </w:tc>
      </w:tr>
      <w:tr w:rsidR="002A41B6" w:rsidTr="002A41B6">
        <w:trPr>
          <w:trHeight w:val="633"/>
        </w:trPr>
        <w:tc>
          <w:tcPr>
            <w:tcW w:w="22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改进措施</w:t>
            </w:r>
          </w:p>
        </w:tc>
        <w:tc>
          <w:tcPr>
            <w:tcW w:w="4771" w:type="pct"/>
            <w:gridSpan w:val="10"/>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一是加强与财政部门的沟通协调，</w:t>
            </w:r>
            <w:r>
              <w:rPr>
                <w:rFonts w:eastAsia="微软雅黑"/>
                <w:color w:val="000000"/>
                <w:kern w:val="0"/>
                <w:sz w:val="18"/>
                <w:szCs w:val="18"/>
              </w:rPr>
              <w:t>2025</w:t>
            </w:r>
            <w:r>
              <w:rPr>
                <w:rFonts w:eastAsia="微软雅黑"/>
                <w:color w:val="000000"/>
                <w:kern w:val="0"/>
                <w:sz w:val="18"/>
                <w:szCs w:val="18"/>
              </w:rPr>
              <w:t>年待该项目结余资金下达后及时进行拨付。二是待项目资金分配财政下达预算后，提前谋划资金安排，加大预算执行力度，提高资金使用效率。</w:t>
            </w:r>
          </w:p>
        </w:tc>
      </w:tr>
      <w:tr w:rsidR="002A41B6" w:rsidTr="002A41B6">
        <w:trPr>
          <w:trHeight w:val="286"/>
        </w:trPr>
        <w:tc>
          <w:tcPr>
            <w:tcW w:w="2530"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项目负责人：申</w:t>
            </w:r>
            <w:proofErr w:type="gramStart"/>
            <w:r>
              <w:rPr>
                <w:rFonts w:eastAsia="微软雅黑"/>
                <w:color w:val="000000"/>
                <w:kern w:val="0"/>
                <w:sz w:val="18"/>
                <w:szCs w:val="18"/>
              </w:rPr>
              <w:t>聂</w:t>
            </w:r>
            <w:proofErr w:type="gramEnd"/>
          </w:p>
        </w:tc>
        <w:tc>
          <w:tcPr>
            <w:tcW w:w="2470"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财务负责人：</w:t>
            </w:r>
            <w:proofErr w:type="gramStart"/>
            <w:r>
              <w:rPr>
                <w:rFonts w:eastAsia="微软雅黑"/>
                <w:color w:val="000000"/>
                <w:kern w:val="0"/>
                <w:sz w:val="18"/>
                <w:szCs w:val="18"/>
              </w:rPr>
              <w:t>张峻源</w:t>
            </w:r>
            <w:proofErr w:type="gramEnd"/>
          </w:p>
        </w:tc>
      </w:tr>
    </w:tbl>
    <w:p w:rsidR="002A41B6" w:rsidRDefault="002A41B6" w:rsidP="002A41B6">
      <w:pPr>
        <w:tabs>
          <w:tab w:val="left" w:pos="2406"/>
        </w:tabs>
        <w:spacing w:line="572" w:lineRule="exact"/>
        <w:jc w:val="left"/>
        <w:outlineLvl w:val="0"/>
        <w:rPr>
          <w:rFonts w:eastAsia="黑体"/>
          <w:sz w:val="32"/>
          <w:szCs w:val="32"/>
        </w:rPr>
      </w:pPr>
    </w:p>
    <w:p w:rsidR="002A41B6" w:rsidRDefault="002A41B6" w:rsidP="002A41B6">
      <w:pPr>
        <w:tabs>
          <w:tab w:val="left" w:pos="2406"/>
        </w:tabs>
        <w:spacing w:line="572" w:lineRule="exact"/>
        <w:jc w:val="left"/>
        <w:outlineLvl w:val="0"/>
        <w:rPr>
          <w:rFonts w:eastAsia="黑体"/>
          <w:sz w:val="32"/>
          <w:szCs w:val="32"/>
        </w:rPr>
      </w:pPr>
    </w:p>
    <w:p w:rsidR="002A41B6" w:rsidRDefault="002A41B6" w:rsidP="002A41B6">
      <w:pPr>
        <w:tabs>
          <w:tab w:val="left" w:pos="2406"/>
        </w:tabs>
        <w:spacing w:line="572" w:lineRule="exact"/>
        <w:jc w:val="left"/>
        <w:outlineLvl w:val="0"/>
        <w:rPr>
          <w:rFonts w:eastAsia="黑体"/>
          <w:sz w:val="32"/>
          <w:szCs w:val="32"/>
        </w:rPr>
      </w:pPr>
    </w:p>
    <w:p w:rsidR="002A41B6" w:rsidRDefault="002A41B6" w:rsidP="002A41B6">
      <w:pPr>
        <w:tabs>
          <w:tab w:val="left" w:pos="2406"/>
        </w:tabs>
        <w:spacing w:line="572" w:lineRule="exact"/>
        <w:jc w:val="left"/>
        <w:outlineLvl w:val="0"/>
        <w:rPr>
          <w:rFonts w:eastAsia="黑体"/>
          <w:sz w:val="32"/>
          <w:szCs w:val="32"/>
        </w:rPr>
      </w:pPr>
    </w:p>
    <w:p w:rsidR="002A41B6" w:rsidRDefault="002A41B6" w:rsidP="002A41B6">
      <w:pPr>
        <w:tabs>
          <w:tab w:val="left" w:pos="2406"/>
        </w:tabs>
        <w:spacing w:line="572" w:lineRule="exact"/>
        <w:jc w:val="left"/>
        <w:outlineLvl w:val="0"/>
        <w:rPr>
          <w:rFonts w:eastAsia="黑体"/>
          <w:sz w:val="32"/>
          <w:szCs w:val="32"/>
        </w:rPr>
      </w:pPr>
      <w:r>
        <w:rPr>
          <w:rFonts w:eastAsia="黑体"/>
          <w:sz w:val="32"/>
          <w:szCs w:val="32"/>
        </w:rPr>
        <w:t>附件</w:t>
      </w:r>
      <w:r>
        <w:rPr>
          <w:rFonts w:eastAsia="黑体"/>
          <w:sz w:val="32"/>
          <w:szCs w:val="32"/>
        </w:rPr>
        <w:t>3</w:t>
      </w:r>
    </w:p>
    <w:tbl>
      <w:tblPr>
        <w:tblW w:w="5000" w:type="pct"/>
        <w:tblLayout w:type="fixed"/>
        <w:tblLook w:val="04A0"/>
      </w:tblPr>
      <w:tblGrid>
        <w:gridCol w:w="1526"/>
        <w:gridCol w:w="536"/>
        <w:gridCol w:w="1590"/>
        <w:gridCol w:w="340"/>
        <w:gridCol w:w="1077"/>
        <w:gridCol w:w="465"/>
        <w:gridCol w:w="1996"/>
        <w:gridCol w:w="408"/>
        <w:gridCol w:w="108"/>
        <w:gridCol w:w="1335"/>
        <w:gridCol w:w="82"/>
        <w:gridCol w:w="329"/>
        <w:gridCol w:w="238"/>
        <w:gridCol w:w="879"/>
        <w:gridCol w:w="258"/>
        <w:gridCol w:w="317"/>
        <w:gridCol w:w="575"/>
        <w:gridCol w:w="1089"/>
        <w:gridCol w:w="1026"/>
      </w:tblGrid>
      <w:tr w:rsidR="002A41B6" w:rsidTr="00026D1D">
        <w:trPr>
          <w:trHeight w:val="696"/>
        </w:trPr>
        <w:tc>
          <w:tcPr>
            <w:tcW w:w="5000" w:type="pct"/>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2A41B6" w:rsidRDefault="00852CC7" w:rsidP="002C6759">
            <w:pPr>
              <w:widowControl/>
              <w:jc w:val="center"/>
              <w:rPr>
                <w:rFonts w:eastAsia="黑体"/>
                <w:b/>
                <w:bCs/>
                <w:color w:val="000000"/>
                <w:kern w:val="0"/>
                <w:sz w:val="30"/>
                <w:szCs w:val="30"/>
              </w:rPr>
            </w:pPr>
            <w:r>
              <w:rPr>
                <w:rFonts w:eastAsia="黑体"/>
                <w:b/>
                <w:bCs/>
                <w:color w:val="000000"/>
                <w:kern w:val="0"/>
                <w:sz w:val="30"/>
                <w:szCs w:val="30"/>
              </w:rPr>
              <w:t>单位</w:t>
            </w:r>
            <w:r w:rsidR="002A41B6">
              <w:rPr>
                <w:rFonts w:eastAsia="黑体"/>
                <w:b/>
                <w:bCs/>
                <w:color w:val="000000"/>
                <w:kern w:val="0"/>
                <w:sz w:val="30"/>
                <w:szCs w:val="30"/>
              </w:rPr>
              <w:t>预算项目支出绩效自评表（</w:t>
            </w:r>
            <w:r w:rsidR="002A41B6">
              <w:rPr>
                <w:rFonts w:eastAsia="黑体"/>
                <w:b/>
                <w:bCs/>
                <w:color w:val="000000"/>
                <w:kern w:val="0"/>
                <w:sz w:val="30"/>
                <w:szCs w:val="30"/>
              </w:rPr>
              <w:t>2024</w:t>
            </w:r>
            <w:r w:rsidR="002A41B6">
              <w:rPr>
                <w:rFonts w:eastAsia="黑体"/>
                <w:b/>
                <w:bCs/>
                <w:color w:val="000000"/>
                <w:kern w:val="0"/>
                <w:sz w:val="30"/>
                <w:szCs w:val="30"/>
              </w:rPr>
              <w:t>年度）</w:t>
            </w:r>
          </w:p>
        </w:tc>
      </w:tr>
      <w:tr w:rsidR="002A41B6" w:rsidTr="00026D1D">
        <w:trPr>
          <w:trHeight w:val="454"/>
        </w:trPr>
        <w:tc>
          <w:tcPr>
            <w:tcW w:w="12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41B6" w:rsidRDefault="002A41B6" w:rsidP="002C6759">
            <w:pPr>
              <w:widowControl/>
              <w:jc w:val="left"/>
              <w:rPr>
                <w:rFonts w:eastAsia="微软雅黑"/>
                <w:color w:val="000000"/>
                <w:kern w:val="0"/>
                <w:sz w:val="18"/>
                <w:szCs w:val="18"/>
              </w:rPr>
            </w:pPr>
            <w:r>
              <w:rPr>
                <w:rFonts w:eastAsia="微软雅黑"/>
                <w:color w:val="000000"/>
                <w:kern w:val="0"/>
                <w:sz w:val="18"/>
                <w:szCs w:val="18"/>
              </w:rPr>
              <w:t>项目名称</w:t>
            </w:r>
          </w:p>
        </w:tc>
        <w:tc>
          <w:tcPr>
            <w:tcW w:w="3712" w:type="pct"/>
            <w:gridSpan w:val="16"/>
            <w:tcBorders>
              <w:top w:val="single" w:sz="4" w:space="0" w:color="000000"/>
              <w:left w:val="nil"/>
              <w:bottom w:val="single" w:sz="4" w:space="0" w:color="000000"/>
              <w:right w:val="single" w:sz="4" w:space="0" w:color="000000"/>
            </w:tcBorders>
            <w:shd w:val="clear" w:color="auto" w:fill="auto"/>
            <w:vAlign w:val="center"/>
          </w:tcPr>
          <w:p w:rsidR="002A41B6" w:rsidRDefault="002A41B6" w:rsidP="002C6759">
            <w:pPr>
              <w:widowControl/>
              <w:jc w:val="left"/>
              <w:rPr>
                <w:rFonts w:eastAsia="微软雅黑"/>
                <w:kern w:val="0"/>
                <w:sz w:val="18"/>
                <w:szCs w:val="18"/>
              </w:rPr>
            </w:pPr>
            <w:r>
              <w:rPr>
                <w:rFonts w:eastAsia="微软雅黑"/>
                <w:kern w:val="0"/>
                <w:sz w:val="18"/>
                <w:szCs w:val="18"/>
              </w:rPr>
              <w:t>51040025T000013187694-DRG</w:t>
            </w:r>
            <w:r>
              <w:rPr>
                <w:rFonts w:eastAsia="微软雅黑"/>
                <w:kern w:val="0"/>
                <w:sz w:val="18"/>
                <w:szCs w:val="18"/>
              </w:rPr>
              <w:t>支付方式改革专业化服务采购项目</w:t>
            </w:r>
          </w:p>
        </w:tc>
      </w:tr>
      <w:tr w:rsidR="002A41B6" w:rsidTr="00026D1D">
        <w:trPr>
          <w:trHeight w:val="304"/>
        </w:trPr>
        <w:tc>
          <w:tcPr>
            <w:tcW w:w="12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41B6" w:rsidRDefault="002A41B6" w:rsidP="002C6759">
            <w:pPr>
              <w:widowControl/>
              <w:jc w:val="left"/>
              <w:rPr>
                <w:rFonts w:eastAsia="微软雅黑"/>
                <w:color w:val="000000"/>
                <w:kern w:val="0"/>
                <w:sz w:val="18"/>
                <w:szCs w:val="18"/>
              </w:rPr>
            </w:pPr>
            <w:r>
              <w:rPr>
                <w:rFonts w:eastAsia="微软雅黑"/>
                <w:color w:val="000000"/>
                <w:kern w:val="0"/>
                <w:sz w:val="18"/>
                <w:szCs w:val="18"/>
              </w:rPr>
              <w:t>主管</w:t>
            </w:r>
            <w:r w:rsidR="00852CC7">
              <w:rPr>
                <w:rFonts w:eastAsia="微软雅黑"/>
                <w:color w:val="000000"/>
                <w:kern w:val="0"/>
                <w:sz w:val="18"/>
                <w:szCs w:val="18"/>
              </w:rPr>
              <w:t>单位</w:t>
            </w:r>
          </w:p>
        </w:tc>
        <w:tc>
          <w:tcPr>
            <w:tcW w:w="2166" w:type="pct"/>
            <w:gridSpan w:val="9"/>
            <w:tcBorders>
              <w:top w:val="single" w:sz="4" w:space="0" w:color="000000"/>
              <w:left w:val="nil"/>
              <w:bottom w:val="single" w:sz="4" w:space="0" w:color="000000"/>
              <w:right w:val="single" w:sz="4" w:space="0" w:color="000000"/>
            </w:tcBorders>
            <w:shd w:val="clear" w:color="auto" w:fill="auto"/>
            <w:vAlign w:val="center"/>
          </w:tcPr>
          <w:p w:rsidR="002A41B6" w:rsidRDefault="002A41B6" w:rsidP="002C6759">
            <w:pPr>
              <w:widowControl/>
              <w:jc w:val="left"/>
              <w:rPr>
                <w:rFonts w:eastAsia="微软雅黑"/>
                <w:color w:val="000000"/>
                <w:kern w:val="0"/>
                <w:sz w:val="18"/>
                <w:szCs w:val="18"/>
              </w:rPr>
            </w:pPr>
            <w:r>
              <w:rPr>
                <w:rFonts w:eastAsia="微软雅黑"/>
                <w:color w:val="000000"/>
                <w:kern w:val="0"/>
                <w:sz w:val="18"/>
                <w:szCs w:val="18"/>
              </w:rPr>
              <w:t>攀枝花市医疗保障事务中心</w:t>
            </w:r>
          </w:p>
        </w:tc>
        <w:tc>
          <w:tcPr>
            <w:tcW w:w="394" w:type="pct"/>
            <w:gridSpan w:val="2"/>
            <w:tcBorders>
              <w:top w:val="nil"/>
              <w:left w:val="nil"/>
              <w:bottom w:val="nil"/>
              <w:right w:val="nil"/>
            </w:tcBorders>
            <w:shd w:val="clear" w:color="auto" w:fill="auto"/>
            <w:vAlign w:val="center"/>
          </w:tcPr>
          <w:p w:rsidR="002A41B6" w:rsidRDefault="002A41B6" w:rsidP="002C6759">
            <w:pPr>
              <w:widowControl/>
              <w:jc w:val="left"/>
              <w:rPr>
                <w:rFonts w:eastAsia="微软雅黑"/>
                <w:color w:val="000000"/>
                <w:kern w:val="0"/>
                <w:sz w:val="18"/>
                <w:szCs w:val="18"/>
              </w:rPr>
            </w:pPr>
            <w:r>
              <w:rPr>
                <w:rFonts w:eastAsia="微软雅黑"/>
                <w:color w:val="000000"/>
                <w:kern w:val="0"/>
                <w:sz w:val="18"/>
                <w:szCs w:val="18"/>
              </w:rPr>
              <w:t>实施单位</w:t>
            </w:r>
            <w:r>
              <w:rPr>
                <w:rFonts w:eastAsia="微软雅黑"/>
                <w:color w:val="000000"/>
                <w:kern w:val="0"/>
                <w:sz w:val="18"/>
                <w:szCs w:val="18"/>
              </w:rPr>
              <w:t xml:space="preserve"> </w:t>
            </w:r>
          </w:p>
        </w:tc>
        <w:tc>
          <w:tcPr>
            <w:tcW w:w="115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攀枝花市医疗保障事务中心</w:t>
            </w:r>
          </w:p>
        </w:tc>
      </w:tr>
      <w:tr w:rsidR="002A41B6" w:rsidTr="00026D1D">
        <w:trPr>
          <w:trHeight w:val="285"/>
        </w:trPr>
        <w:tc>
          <w:tcPr>
            <w:tcW w:w="538" w:type="pct"/>
            <w:vMerge w:val="restart"/>
            <w:tcBorders>
              <w:top w:val="nil"/>
              <w:left w:val="single" w:sz="4" w:space="0" w:color="000000"/>
              <w:bottom w:val="single" w:sz="4" w:space="0" w:color="000000"/>
              <w:right w:val="single" w:sz="4" w:space="0" w:color="000000"/>
            </w:tcBorders>
            <w:shd w:val="clear" w:color="auto" w:fill="auto"/>
            <w:vAlign w:val="center"/>
          </w:tcPr>
          <w:p w:rsidR="002A41B6" w:rsidRDefault="002A41B6" w:rsidP="002C6759">
            <w:pPr>
              <w:widowControl/>
              <w:jc w:val="left"/>
              <w:rPr>
                <w:rFonts w:eastAsia="微软雅黑"/>
                <w:color w:val="000000"/>
                <w:kern w:val="0"/>
                <w:sz w:val="18"/>
                <w:szCs w:val="18"/>
              </w:rPr>
            </w:pPr>
            <w:r>
              <w:rPr>
                <w:rFonts w:eastAsia="微软雅黑"/>
                <w:color w:val="000000"/>
                <w:kern w:val="0"/>
                <w:sz w:val="18"/>
                <w:szCs w:val="18"/>
              </w:rPr>
              <w:t>项目基本情况</w:t>
            </w:r>
          </w:p>
        </w:tc>
        <w:tc>
          <w:tcPr>
            <w:tcW w:w="750" w:type="pct"/>
            <w:gridSpan w:val="2"/>
            <w:vMerge w:val="restart"/>
            <w:tcBorders>
              <w:top w:val="nil"/>
              <w:left w:val="single" w:sz="4" w:space="0" w:color="000000"/>
              <w:bottom w:val="single" w:sz="4" w:space="0" w:color="000000"/>
              <w:right w:val="single" w:sz="4" w:space="0" w:color="000000"/>
            </w:tcBorders>
            <w:shd w:val="clear" w:color="auto" w:fill="auto"/>
            <w:vAlign w:val="center"/>
          </w:tcPr>
          <w:p w:rsidR="002A41B6" w:rsidRDefault="002A41B6" w:rsidP="002C6759">
            <w:pPr>
              <w:widowControl/>
              <w:jc w:val="left"/>
              <w:rPr>
                <w:rFonts w:eastAsia="微软雅黑"/>
                <w:color w:val="000000"/>
                <w:kern w:val="0"/>
                <w:sz w:val="18"/>
                <w:szCs w:val="18"/>
              </w:rPr>
            </w:pPr>
            <w:r>
              <w:rPr>
                <w:rFonts w:eastAsia="微软雅黑"/>
                <w:color w:val="000000"/>
                <w:kern w:val="0"/>
                <w:sz w:val="18"/>
                <w:szCs w:val="18"/>
              </w:rPr>
              <w:t>1.</w:t>
            </w:r>
            <w:r>
              <w:rPr>
                <w:rFonts w:eastAsia="微软雅黑"/>
                <w:color w:val="000000"/>
                <w:kern w:val="0"/>
                <w:sz w:val="18"/>
                <w:szCs w:val="18"/>
              </w:rPr>
              <w:t>项目年度目标完成情况</w:t>
            </w:r>
          </w:p>
        </w:tc>
        <w:tc>
          <w:tcPr>
            <w:tcW w:w="2166" w:type="pct"/>
            <w:gridSpan w:val="9"/>
            <w:tcBorders>
              <w:top w:val="single" w:sz="4" w:space="0" w:color="000000"/>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项目年度目标</w:t>
            </w:r>
          </w:p>
        </w:tc>
        <w:tc>
          <w:tcPr>
            <w:tcW w:w="1546" w:type="pct"/>
            <w:gridSpan w:val="7"/>
            <w:tcBorders>
              <w:top w:val="single" w:sz="4" w:space="0" w:color="000000"/>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年度目标完成情况</w:t>
            </w:r>
          </w:p>
        </w:tc>
      </w:tr>
      <w:tr w:rsidR="002A41B6" w:rsidTr="00026D1D">
        <w:trPr>
          <w:trHeight w:val="1763"/>
        </w:trPr>
        <w:tc>
          <w:tcPr>
            <w:tcW w:w="538" w:type="pct"/>
            <w:vMerge/>
            <w:tcBorders>
              <w:top w:val="nil"/>
              <w:left w:val="single" w:sz="4" w:space="0" w:color="000000"/>
              <w:bottom w:val="single" w:sz="4" w:space="0" w:color="000000"/>
              <w:right w:val="single" w:sz="4" w:space="0" w:color="000000"/>
            </w:tcBorders>
            <w:vAlign w:val="center"/>
          </w:tcPr>
          <w:p w:rsidR="002A41B6" w:rsidRDefault="002A41B6" w:rsidP="002C6759">
            <w:pPr>
              <w:widowControl/>
              <w:jc w:val="left"/>
              <w:rPr>
                <w:rFonts w:eastAsia="微软雅黑"/>
                <w:color w:val="000000"/>
                <w:kern w:val="0"/>
                <w:sz w:val="18"/>
                <w:szCs w:val="18"/>
              </w:rPr>
            </w:pPr>
          </w:p>
        </w:tc>
        <w:tc>
          <w:tcPr>
            <w:tcW w:w="750" w:type="pct"/>
            <w:gridSpan w:val="2"/>
            <w:vMerge/>
            <w:tcBorders>
              <w:top w:val="nil"/>
              <w:left w:val="single" w:sz="4" w:space="0" w:color="000000"/>
              <w:bottom w:val="single" w:sz="4" w:space="0" w:color="000000"/>
              <w:right w:val="single" w:sz="4" w:space="0" w:color="000000"/>
            </w:tcBorders>
            <w:vAlign w:val="center"/>
          </w:tcPr>
          <w:p w:rsidR="002A41B6" w:rsidRDefault="002A41B6" w:rsidP="002C6759">
            <w:pPr>
              <w:widowControl/>
              <w:jc w:val="left"/>
              <w:rPr>
                <w:rFonts w:eastAsia="微软雅黑"/>
                <w:color w:val="000000"/>
                <w:kern w:val="0"/>
                <w:sz w:val="18"/>
                <w:szCs w:val="18"/>
              </w:rPr>
            </w:pPr>
          </w:p>
        </w:tc>
        <w:tc>
          <w:tcPr>
            <w:tcW w:w="2166" w:type="pct"/>
            <w:gridSpan w:val="9"/>
            <w:tcBorders>
              <w:top w:val="single" w:sz="4" w:space="0" w:color="000000"/>
              <w:left w:val="nil"/>
              <w:bottom w:val="single" w:sz="4" w:space="0" w:color="000000"/>
              <w:right w:val="single" w:sz="4" w:space="0" w:color="000000"/>
            </w:tcBorders>
            <w:shd w:val="clear" w:color="000000" w:fill="FFFFFF"/>
            <w:vAlign w:val="center"/>
          </w:tcPr>
          <w:p w:rsidR="002A41B6" w:rsidRDefault="002A41B6" w:rsidP="002C6759">
            <w:pPr>
              <w:widowControl/>
              <w:jc w:val="left"/>
              <w:rPr>
                <w:rFonts w:eastAsia="微软雅黑"/>
                <w:kern w:val="0"/>
                <w:sz w:val="18"/>
                <w:szCs w:val="18"/>
              </w:rPr>
            </w:pPr>
            <w:r>
              <w:rPr>
                <w:rFonts w:eastAsia="微软雅黑"/>
                <w:kern w:val="0"/>
                <w:sz w:val="18"/>
                <w:szCs w:val="18"/>
              </w:rPr>
              <w:t>按照四川省医疗保障局</w:t>
            </w:r>
            <w:r>
              <w:rPr>
                <w:rFonts w:eastAsia="微软雅黑"/>
                <w:kern w:val="0"/>
                <w:sz w:val="18"/>
                <w:szCs w:val="18"/>
              </w:rPr>
              <w:t>DRG</w:t>
            </w:r>
            <w:r>
              <w:rPr>
                <w:rFonts w:eastAsia="微软雅黑"/>
                <w:kern w:val="0"/>
                <w:sz w:val="18"/>
                <w:szCs w:val="18"/>
              </w:rPr>
              <w:t>疾病诊断相关分组系统的统一部署，协助</w:t>
            </w:r>
            <w:proofErr w:type="gramStart"/>
            <w:r>
              <w:rPr>
                <w:rFonts w:eastAsia="微软雅黑"/>
                <w:kern w:val="0"/>
                <w:sz w:val="18"/>
                <w:szCs w:val="18"/>
              </w:rPr>
              <w:t>医</w:t>
            </w:r>
            <w:proofErr w:type="gramEnd"/>
            <w:r>
              <w:rPr>
                <w:rFonts w:eastAsia="微软雅黑"/>
                <w:kern w:val="0"/>
                <w:sz w:val="18"/>
                <w:szCs w:val="18"/>
              </w:rPr>
              <w:t>保部门完成省局统一</w:t>
            </w:r>
            <w:r>
              <w:rPr>
                <w:rFonts w:eastAsia="微软雅黑"/>
                <w:kern w:val="0"/>
                <w:sz w:val="18"/>
                <w:szCs w:val="18"/>
              </w:rPr>
              <w:t>DRG</w:t>
            </w:r>
            <w:r>
              <w:rPr>
                <w:rFonts w:eastAsia="微软雅黑"/>
                <w:kern w:val="0"/>
                <w:sz w:val="18"/>
                <w:szCs w:val="18"/>
              </w:rPr>
              <w:t>应用系统的切换，包括攀枝花市对接</w:t>
            </w:r>
            <w:r>
              <w:rPr>
                <w:rFonts w:eastAsia="微软雅黑"/>
                <w:kern w:val="0"/>
                <w:sz w:val="18"/>
                <w:szCs w:val="18"/>
              </w:rPr>
              <w:t>CHS-DRG</w:t>
            </w:r>
            <w:r>
              <w:rPr>
                <w:rFonts w:eastAsia="微软雅黑"/>
                <w:kern w:val="0"/>
                <w:sz w:val="18"/>
                <w:szCs w:val="18"/>
              </w:rPr>
              <w:t>分组方案、支付数据测算、系统给参数配置等，满足在经办业务能够在省局平台中实现。配合</w:t>
            </w:r>
            <w:proofErr w:type="gramStart"/>
            <w:r>
              <w:rPr>
                <w:rFonts w:eastAsia="微软雅黑"/>
                <w:kern w:val="0"/>
                <w:sz w:val="18"/>
                <w:szCs w:val="18"/>
              </w:rPr>
              <w:t>医</w:t>
            </w:r>
            <w:proofErr w:type="gramEnd"/>
            <w:r>
              <w:rPr>
                <w:rFonts w:eastAsia="微软雅黑"/>
                <w:kern w:val="0"/>
                <w:sz w:val="18"/>
                <w:szCs w:val="18"/>
              </w:rPr>
              <w:t>保部门进行审核结算、月度预结算、年度清算、</w:t>
            </w:r>
            <w:proofErr w:type="gramStart"/>
            <w:r>
              <w:rPr>
                <w:rFonts w:eastAsia="微软雅黑"/>
                <w:kern w:val="0"/>
                <w:sz w:val="18"/>
                <w:szCs w:val="18"/>
              </w:rPr>
              <w:t>特病单议</w:t>
            </w:r>
            <w:proofErr w:type="gramEnd"/>
            <w:r>
              <w:rPr>
                <w:rFonts w:eastAsia="微软雅黑"/>
                <w:kern w:val="0"/>
                <w:sz w:val="18"/>
                <w:szCs w:val="18"/>
              </w:rPr>
              <w:t>评审、病案抽查、基准点数调整、日常业务咨询答疑、开展业务指导培训服务、结算清单质控分析、日常数据维护等工作。</w:t>
            </w:r>
          </w:p>
        </w:tc>
        <w:tc>
          <w:tcPr>
            <w:tcW w:w="1546" w:type="pct"/>
            <w:gridSpan w:val="7"/>
            <w:tcBorders>
              <w:top w:val="single" w:sz="4" w:space="0" w:color="000000"/>
              <w:left w:val="nil"/>
              <w:bottom w:val="single" w:sz="4" w:space="0" w:color="000000"/>
              <w:right w:val="single" w:sz="4" w:space="0" w:color="000000"/>
            </w:tcBorders>
            <w:shd w:val="clear" w:color="000000" w:fill="FFFFFF"/>
            <w:vAlign w:val="center"/>
          </w:tcPr>
          <w:p w:rsidR="002A41B6" w:rsidRDefault="002A41B6" w:rsidP="002C6759">
            <w:pPr>
              <w:widowControl/>
              <w:jc w:val="left"/>
              <w:rPr>
                <w:rFonts w:eastAsia="微软雅黑"/>
                <w:kern w:val="0"/>
                <w:sz w:val="18"/>
                <w:szCs w:val="18"/>
              </w:rPr>
            </w:pPr>
            <w:r>
              <w:rPr>
                <w:rFonts w:eastAsia="微软雅黑"/>
                <w:kern w:val="0"/>
                <w:sz w:val="18"/>
                <w:szCs w:val="18"/>
              </w:rPr>
              <w:t>持续推进我市</w:t>
            </w:r>
            <w:r>
              <w:rPr>
                <w:rFonts w:eastAsia="微软雅黑"/>
                <w:kern w:val="0"/>
                <w:sz w:val="18"/>
                <w:szCs w:val="18"/>
              </w:rPr>
              <w:t>DRG</w:t>
            </w:r>
            <w:r>
              <w:rPr>
                <w:rFonts w:eastAsia="微软雅黑"/>
                <w:kern w:val="0"/>
                <w:sz w:val="18"/>
                <w:szCs w:val="18"/>
              </w:rPr>
              <w:t>支付方式改革三年行动暨</w:t>
            </w:r>
            <w:r>
              <w:rPr>
                <w:rFonts w:eastAsia="微软雅黑"/>
                <w:kern w:val="0"/>
                <w:sz w:val="18"/>
                <w:szCs w:val="18"/>
              </w:rPr>
              <w:t>DRG</w:t>
            </w:r>
            <w:r>
              <w:rPr>
                <w:rFonts w:eastAsia="微软雅黑"/>
                <w:kern w:val="0"/>
                <w:sz w:val="18"/>
                <w:szCs w:val="18"/>
              </w:rPr>
              <w:t>付费国家示范点建设要求，围绕</w:t>
            </w:r>
            <w:r>
              <w:rPr>
                <w:rFonts w:eastAsia="微软雅黑"/>
                <w:kern w:val="0"/>
                <w:sz w:val="18"/>
                <w:szCs w:val="18"/>
              </w:rPr>
              <w:t>“</w:t>
            </w:r>
            <w:r>
              <w:rPr>
                <w:rFonts w:eastAsia="微软雅黑"/>
                <w:kern w:val="0"/>
                <w:sz w:val="18"/>
                <w:szCs w:val="18"/>
              </w:rPr>
              <w:t>强基础、固扩面、优机制、推协同</w:t>
            </w:r>
            <w:r>
              <w:rPr>
                <w:rFonts w:eastAsia="微软雅黑"/>
                <w:kern w:val="0"/>
                <w:sz w:val="18"/>
                <w:szCs w:val="18"/>
              </w:rPr>
              <w:t>”</w:t>
            </w:r>
            <w:r>
              <w:rPr>
                <w:rFonts w:eastAsia="微软雅黑"/>
                <w:kern w:val="0"/>
                <w:sz w:val="18"/>
                <w:szCs w:val="18"/>
              </w:rPr>
              <w:t>，发挥示范带动作用，全面建成上下联动、内外协同、标准规范、管用高效的</w:t>
            </w:r>
            <w:proofErr w:type="gramStart"/>
            <w:r>
              <w:rPr>
                <w:rFonts w:eastAsia="微软雅黑"/>
                <w:kern w:val="0"/>
                <w:sz w:val="18"/>
                <w:szCs w:val="18"/>
              </w:rPr>
              <w:t>医</w:t>
            </w:r>
            <w:proofErr w:type="gramEnd"/>
            <w:r>
              <w:rPr>
                <w:rFonts w:eastAsia="微软雅黑"/>
                <w:kern w:val="0"/>
                <w:sz w:val="18"/>
                <w:szCs w:val="18"/>
              </w:rPr>
              <w:t>保支付新机制，努力形成可复制、可借鉴的改革示范经验，促进医疗保障和医药服务高质量协同发展。</w:t>
            </w:r>
          </w:p>
        </w:tc>
      </w:tr>
      <w:tr w:rsidR="002A41B6" w:rsidTr="00026D1D">
        <w:trPr>
          <w:trHeight w:val="728"/>
        </w:trPr>
        <w:tc>
          <w:tcPr>
            <w:tcW w:w="538" w:type="pct"/>
            <w:vMerge/>
            <w:tcBorders>
              <w:top w:val="nil"/>
              <w:left w:val="single" w:sz="4" w:space="0" w:color="000000"/>
              <w:bottom w:val="single" w:sz="4" w:space="0" w:color="000000"/>
              <w:right w:val="single" w:sz="4" w:space="0" w:color="000000"/>
            </w:tcBorders>
            <w:vAlign w:val="center"/>
          </w:tcPr>
          <w:p w:rsidR="002A41B6" w:rsidRDefault="002A41B6" w:rsidP="002C6759">
            <w:pPr>
              <w:widowControl/>
              <w:jc w:val="left"/>
              <w:rPr>
                <w:rFonts w:eastAsia="微软雅黑"/>
                <w:color w:val="000000"/>
                <w:kern w:val="0"/>
                <w:sz w:val="18"/>
                <w:szCs w:val="18"/>
              </w:rPr>
            </w:pPr>
          </w:p>
        </w:tc>
        <w:tc>
          <w:tcPr>
            <w:tcW w:w="75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left"/>
              <w:rPr>
                <w:rFonts w:eastAsia="微软雅黑"/>
                <w:color w:val="000000"/>
                <w:kern w:val="0"/>
                <w:sz w:val="18"/>
                <w:szCs w:val="18"/>
              </w:rPr>
            </w:pPr>
            <w:r>
              <w:rPr>
                <w:rFonts w:eastAsia="微软雅黑"/>
                <w:color w:val="000000"/>
                <w:kern w:val="0"/>
                <w:sz w:val="18"/>
                <w:szCs w:val="18"/>
              </w:rPr>
              <w:t>2.</w:t>
            </w:r>
            <w:r>
              <w:rPr>
                <w:rFonts w:eastAsia="微软雅黑"/>
                <w:color w:val="000000"/>
                <w:kern w:val="0"/>
                <w:sz w:val="18"/>
                <w:szCs w:val="18"/>
              </w:rPr>
              <w:t>项目实施内容及过程概述</w:t>
            </w:r>
          </w:p>
        </w:tc>
        <w:tc>
          <w:tcPr>
            <w:tcW w:w="3712" w:type="pct"/>
            <w:gridSpan w:val="16"/>
            <w:tcBorders>
              <w:top w:val="single" w:sz="4" w:space="0" w:color="000000"/>
              <w:left w:val="nil"/>
              <w:bottom w:val="single" w:sz="4" w:space="0" w:color="000000"/>
              <w:right w:val="single" w:sz="4" w:space="0" w:color="000000"/>
            </w:tcBorders>
            <w:shd w:val="clear" w:color="000000" w:fill="FFFFFF"/>
            <w:vAlign w:val="center"/>
          </w:tcPr>
          <w:p w:rsidR="002A41B6" w:rsidRDefault="002A41B6" w:rsidP="00026D1D">
            <w:pPr>
              <w:widowControl/>
              <w:jc w:val="left"/>
              <w:rPr>
                <w:rFonts w:eastAsia="微软雅黑"/>
                <w:kern w:val="0"/>
                <w:sz w:val="18"/>
                <w:szCs w:val="18"/>
              </w:rPr>
            </w:pPr>
            <w:r>
              <w:rPr>
                <w:rFonts w:eastAsia="微软雅黑"/>
                <w:kern w:val="0"/>
                <w:sz w:val="18"/>
                <w:szCs w:val="18"/>
              </w:rPr>
              <w:t>借助第三方机构专业实施队伍和专家体系力量，在做好前期工作的基础上，新增对接全省统一的</w:t>
            </w:r>
            <w:r>
              <w:rPr>
                <w:rFonts w:eastAsia="微软雅黑"/>
                <w:kern w:val="0"/>
                <w:sz w:val="18"/>
                <w:szCs w:val="18"/>
              </w:rPr>
              <w:t>DRG</w:t>
            </w:r>
            <w:r>
              <w:rPr>
                <w:rFonts w:eastAsia="微软雅黑"/>
                <w:kern w:val="0"/>
                <w:sz w:val="18"/>
                <w:szCs w:val="18"/>
              </w:rPr>
              <w:t>付费系统的切换，以及切换后功能参数、模块规则的配置，及系统适配和维护等工作。</w:t>
            </w:r>
          </w:p>
        </w:tc>
      </w:tr>
      <w:tr w:rsidR="002A41B6" w:rsidTr="00026D1D">
        <w:trPr>
          <w:trHeight w:val="360"/>
        </w:trPr>
        <w:tc>
          <w:tcPr>
            <w:tcW w:w="538" w:type="pct"/>
            <w:vMerge w:val="restart"/>
            <w:tcBorders>
              <w:top w:val="nil"/>
              <w:left w:val="single" w:sz="4" w:space="0" w:color="000000"/>
              <w:bottom w:val="single" w:sz="4" w:space="0" w:color="000000"/>
              <w:right w:val="single" w:sz="4" w:space="0" w:color="000000"/>
            </w:tcBorders>
            <w:shd w:val="clear" w:color="auto" w:fill="auto"/>
            <w:noWrap/>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预算执行情况（</w:t>
            </w:r>
            <w:r>
              <w:rPr>
                <w:rFonts w:eastAsia="微软雅黑"/>
                <w:color w:val="000000"/>
                <w:kern w:val="0"/>
                <w:sz w:val="18"/>
                <w:szCs w:val="18"/>
              </w:rPr>
              <w:t>10</w:t>
            </w:r>
            <w:r>
              <w:rPr>
                <w:rFonts w:eastAsia="微软雅黑"/>
                <w:color w:val="000000"/>
                <w:kern w:val="0"/>
                <w:sz w:val="18"/>
                <w:szCs w:val="18"/>
              </w:rPr>
              <w:t>分）</w:t>
            </w:r>
          </w:p>
        </w:tc>
        <w:tc>
          <w:tcPr>
            <w:tcW w:w="750" w:type="pct"/>
            <w:gridSpan w:val="2"/>
            <w:tcBorders>
              <w:top w:val="nil"/>
              <w:left w:val="nil"/>
              <w:bottom w:val="single" w:sz="4" w:space="0" w:color="000000"/>
              <w:right w:val="single" w:sz="4" w:space="0" w:color="000000"/>
            </w:tcBorders>
            <w:shd w:val="clear" w:color="auto" w:fill="auto"/>
            <w:noWrap/>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年度预算数（万元）</w:t>
            </w:r>
          </w:p>
        </w:tc>
        <w:tc>
          <w:tcPr>
            <w:tcW w:w="500" w:type="pct"/>
            <w:gridSpan w:val="2"/>
            <w:tcBorders>
              <w:top w:val="nil"/>
              <w:left w:val="nil"/>
              <w:bottom w:val="single" w:sz="4" w:space="0" w:color="000000"/>
              <w:right w:val="single" w:sz="4" w:space="0" w:color="000000"/>
            </w:tcBorders>
            <w:shd w:val="clear" w:color="auto" w:fill="auto"/>
            <w:noWrap/>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年初预算</w:t>
            </w:r>
          </w:p>
        </w:tc>
        <w:tc>
          <w:tcPr>
            <w:tcW w:w="868" w:type="pct"/>
            <w:gridSpan w:val="2"/>
            <w:tcBorders>
              <w:top w:val="nil"/>
              <w:left w:val="nil"/>
              <w:bottom w:val="single" w:sz="4" w:space="0" w:color="000000"/>
              <w:right w:val="single" w:sz="4" w:space="0" w:color="000000"/>
            </w:tcBorders>
            <w:shd w:val="clear" w:color="auto" w:fill="auto"/>
            <w:noWrap/>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调整</w:t>
            </w:r>
            <w:proofErr w:type="gramStart"/>
            <w:r>
              <w:rPr>
                <w:rFonts w:eastAsia="微软雅黑"/>
                <w:color w:val="000000"/>
                <w:kern w:val="0"/>
                <w:sz w:val="18"/>
                <w:szCs w:val="18"/>
              </w:rPr>
              <w:t>后预算</w:t>
            </w:r>
            <w:proofErr w:type="gramEnd"/>
            <w:r>
              <w:rPr>
                <w:rFonts w:eastAsia="微软雅黑"/>
                <w:color w:val="000000"/>
                <w:kern w:val="0"/>
                <w:sz w:val="18"/>
                <w:szCs w:val="18"/>
              </w:rPr>
              <w:t>数</w:t>
            </w:r>
          </w:p>
        </w:tc>
        <w:tc>
          <w:tcPr>
            <w:tcW w:w="882" w:type="pct"/>
            <w:gridSpan w:val="6"/>
            <w:tcBorders>
              <w:top w:val="single" w:sz="4" w:space="0" w:color="000000"/>
              <w:left w:val="nil"/>
              <w:bottom w:val="single" w:sz="4" w:space="0" w:color="000000"/>
              <w:right w:val="single" w:sz="4" w:space="0" w:color="000000"/>
            </w:tcBorders>
            <w:shd w:val="clear" w:color="auto" w:fill="auto"/>
            <w:noWrap/>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预算执行数</w:t>
            </w:r>
          </w:p>
        </w:tc>
        <w:tc>
          <w:tcPr>
            <w:tcW w:w="401" w:type="pct"/>
            <w:gridSpan w:val="2"/>
            <w:tcBorders>
              <w:top w:val="nil"/>
              <w:left w:val="nil"/>
              <w:bottom w:val="single" w:sz="4" w:space="0" w:color="000000"/>
              <w:right w:val="single" w:sz="4" w:space="0" w:color="000000"/>
            </w:tcBorders>
            <w:shd w:val="clear" w:color="auto" w:fill="auto"/>
            <w:noWrap/>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预算执行率</w:t>
            </w:r>
          </w:p>
        </w:tc>
        <w:tc>
          <w:tcPr>
            <w:tcW w:w="315" w:type="pct"/>
            <w:gridSpan w:val="2"/>
            <w:tcBorders>
              <w:top w:val="nil"/>
              <w:left w:val="nil"/>
              <w:bottom w:val="single" w:sz="4" w:space="0" w:color="000000"/>
              <w:right w:val="single" w:sz="4" w:space="0" w:color="000000"/>
            </w:tcBorders>
            <w:shd w:val="clear" w:color="auto" w:fill="auto"/>
            <w:noWrap/>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权重</w:t>
            </w:r>
          </w:p>
        </w:tc>
        <w:tc>
          <w:tcPr>
            <w:tcW w:w="384" w:type="pct"/>
            <w:tcBorders>
              <w:top w:val="nil"/>
              <w:left w:val="nil"/>
              <w:bottom w:val="single" w:sz="4" w:space="0" w:color="000000"/>
              <w:right w:val="single" w:sz="4" w:space="0" w:color="000000"/>
            </w:tcBorders>
            <w:shd w:val="clear" w:color="auto" w:fill="auto"/>
            <w:noWrap/>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得分</w:t>
            </w:r>
          </w:p>
        </w:tc>
        <w:tc>
          <w:tcPr>
            <w:tcW w:w="362" w:type="pct"/>
            <w:tcBorders>
              <w:top w:val="nil"/>
              <w:left w:val="nil"/>
              <w:bottom w:val="single" w:sz="4" w:space="0" w:color="000000"/>
              <w:right w:val="single" w:sz="4" w:space="0" w:color="000000"/>
            </w:tcBorders>
            <w:shd w:val="clear" w:color="auto" w:fill="auto"/>
            <w:noWrap/>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原因</w:t>
            </w:r>
          </w:p>
        </w:tc>
      </w:tr>
      <w:tr w:rsidR="002A41B6" w:rsidTr="00026D1D">
        <w:trPr>
          <w:trHeight w:val="345"/>
        </w:trPr>
        <w:tc>
          <w:tcPr>
            <w:tcW w:w="538" w:type="pct"/>
            <w:vMerge/>
            <w:tcBorders>
              <w:top w:val="nil"/>
              <w:left w:val="single" w:sz="4" w:space="0" w:color="000000"/>
              <w:bottom w:val="single" w:sz="4" w:space="0" w:color="000000"/>
              <w:right w:val="single" w:sz="4" w:space="0" w:color="000000"/>
            </w:tcBorders>
            <w:vAlign w:val="center"/>
          </w:tcPr>
          <w:p w:rsidR="002A41B6" w:rsidRDefault="002A41B6" w:rsidP="002C6759">
            <w:pPr>
              <w:widowControl/>
              <w:jc w:val="left"/>
              <w:rPr>
                <w:rFonts w:eastAsia="微软雅黑"/>
                <w:color w:val="000000"/>
                <w:kern w:val="0"/>
                <w:sz w:val="18"/>
                <w:szCs w:val="18"/>
              </w:rPr>
            </w:pPr>
          </w:p>
        </w:tc>
        <w:tc>
          <w:tcPr>
            <w:tcW w:w="75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总额</w:t>
            </w:r>
          </w:p>
        </w:tc>
        <w:tc>
          <w:tcPr>
            <w:tcW w:w="5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0.00</w:t>
            </w:r>
          </w:p>
        </w:tc>
        <w:tc>
          <w:tcPr>
            <w:tcW w:w="868"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17.99</w:t>
            </w:r>
          </w:p>
        </w:tc>
        <w:tc>
          <w:tcPr>
            <w:tcW w:w="882" w:type="pct"/>
            <w:gridSpan w:val="6"/>
            <w:tcBorders>
              <w:top w:val="single" w:sz="4" w:space="0" w:color="000000"/>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17.99</w:t>
            </w:r>
          </w:p>
        </w:tc>
        <w:tc>
          <w:tcPr>
            <w:tcW w:w="401"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100.00%</w:t>
            </w:r>
          </w:p>
        </w:tc>
        <w:tc>
          <w:tcPr>
            <w:tcW w:w="315"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10</w:t>
            </w:r>
          </w:p>
        </w:tc>
        <w:tc>
          <w:tcPr>
            <w:tcW w:w="384" w:type="pct"/>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 xml:space="preserve">　</w:t>
            </w:r>
          </w:p>
        </w:tc>
        <w:tc>
          <w:tcPr>
            <w:tcW w:w="362" w:type="pct"/>
            <w:vMerge w:val="restart"/>
            <w:tcBorders>
              <w:top w:val="nil"/>
              <w:left w:val="single" w:sz="4" w:space="0" w:color="000000"/>
              <w:bottom w:val="single" w:sz="4" w:space="0" w:color="000000"/>
              <w:right w:val="single" w:sz="4" w:space="0" w:color="000000"/>
            </w:tcBorders>
            <w:shd w:val="clear" w:color="auto" w:fill="auto"/>
            <w:vAlign w:val="center"/>
          </w:tcPr>
          <w:p w:rsidR="002A41B6" w:rsidRDefault="002A41B6" w:rsidP="002C6759">
            <w:pPr>
              <w:widowControl/>
              <w:jc w:val="left"/>
              <w:rPr>
                <w:rFonts w:eastAsia="微软雅黑"/>
                <w:color w:val="000000"/>
                <w:kern w:val="0"/>
                <w:sz w:val="18"/>
                <w:szCs w:val="18"/>
              </w:rPr>
            </w:pPr>
            <w:r>
              <w:rPr>
                <w:rFonts w:eastAsia="微软雅黑"/>
                <w:color w:val="000000"/>
                <w:kern w:val="0"/>
                <w:sz w:val="18"/>
                <w:szCs w:val="18"/>
              </w:rPr>
              <w:t>无</w:t>
            </w:r>
          </w:p>
        </w:tc>
      </w:tr>
      <w:tr w:rsidR="002A41B6" w:rsidTr="00026D1D">
        <w:trPr>
          <w:trHeight w:val="270"/>
        </w:trPr>
        <w:tc>
          <w:tcPr>
            <w:tcW w:w="538" w:type="pct"/>
            <w:vMerge/>
            <w:tcBorders>
              <w:top w:val="nil"/>
              <w:left w:val="single" w:sz="4" w:space="0" w:color="000000"/>
              <w:bottom w:val="single" w:sz="4" w:space="0" w:color="000000"/>
              <w:right w:val="single" w:sz="4" w:space="0" w:color="000000"/>
            </w:tcBorders>
            <w:vAlign w:val="center"/>
          </w:tcPr>
          <w:p w:rsidR="002A41B6" w:rsidRDefault="002A41B6" w:rsidP="002C6759">
            <w:pPr>
              <w:widowControl/>
              <w:jc w:val="left"/>
              <w:rPr>
                <w:rFonts w:eastAsia="微软雅黑"/>
                <w:color w:val="000000"/>
                <w:kern w:val="0"/>
                <w:sz w:val="18"/>
                <w:szCs w:val="18"/>
              </w:rPr>
            </w:pPr>
          </w:p>
        </w:tc>
        <w:tc>
          <w:tcPr>
            <w:tcW w:w="75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其中：财政资金</w:t>
            </w:r>
          </w:p>
        </w:tc>
        <w:tc>
          <w:tcPr>
            <w:tcW w:w="5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0.00</w:t>
            </w:r>
          </w:p>
        </w:tc>
        <w:tc>
          <w:tcPr>
            <w:tcW w:w="868"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17.99</w:t>
            </w:r>
          </w:p>
        </w:tc>
        <w:tc>
          <w:tcPr>
            <w:tcW w:w="882" w:type="pct"/>
            <w:gridSpan w:val="6"/>
            <w:tcBorders>
              <w:top w:val="single" w:sz="4" w:space="0" w:color="000000"/>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17.99</w:t>
            </w:r>
          </w:p>
        </w:tc>
        <w:tc>
          <w:tcPr>
            <w:tcW w:w="401"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100.00%</w:t>
            </w:r>
          </w:p>
        </w:tc>
        <w:tc>
          <w:tcPr>
            <w:tcW w:w="315"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w:t>
            </w:r>
          </w:p>
        </w:tc>
        <w:tc>
          <w:tcPr>
            <w:tcW w:w="384" w:type="pct"/>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w:t>
            </w:r>
          </w:p>
        </w:tc>
        <w:tc>
          <w:tcPr>
            <w:tcW w:w="362" w:type="pct"/>
            <w:vMerge/>
            <w:tcBorders>
              <w:top w:val="nil"/>
              <w:left w:val="single" w:sz="4" w:space="0" w:color="000000"/>
              <w:bottom w:val="single" w:sz="4" w:space="0" w:color="000000"/>
              <w:right w:val="single" w:sz="4" w:space="0" w:color="000000"/>
            </w:tcBorders>
            <w:vAlign w:val="center"/>
          </w:tcPr>
          <w:p w:rsidR="002A41B6" w:rsidRDefault="002A41B6" w:rsidP="002C6759">
            <w:pPr>
              <w:widowControl/>
              <w:jc w:val="left"/>
              <w:rPr>
                <w:rFonts w:eastAsia="微软雅黑"/>
                <w:color w:val="000000"/>
                <w:kern w:val="0"/>
                <w:sz w:val="18"/>
                <w:szCs w:val="18"/>
              </w:rPr>
            </w:pPr>
          </w:p>
        </w:tc>
      </w:tr>
      <w:tr w:rsidR="002A41B6" w:rsidTr="00026D1D">
        <w:trPr>
          <w:trHeight w:val="409"/>
        </w:trPr>
        <w:tc>
          <w:tcPr>
            <w:tcW w:w="538" w:type="pct"/>
            <w:vMerge/>
            <w:tcBorders>
              <w:top w:val="nil"/>
              <w:left w:val="single" w:sz="4" w:space="0" w:color="000000"/>
              <w:bottom w:val="single" w:sz="4" w:space="0" w:color="000000"/>
              <w:right w:val="single" w:sz="4" w:space="0" w:color="000000"/>
            </w:tcBorders>
            <w:vAlign w:val="center"/>
          </w:tcPr>
          <w:p w:rsidR="002A41B6" w:rsidRDefault="002A41B6" w:rsidP="002C6759">
            <w:pPr>
              <w:widowControl/>
              <w:jc w:val="left"/>
              <w:rPr>
                <w:rFonts w:eastAsia="微软雅黑"/>
                <w:color w:val="000000"/>
                <w:kern w:val="0"/>
                <w:sz w:val="18"/>
                <w:szCs w:val="18"/>
              </w:rPr>
            </w:pPr>
          </w:p>
        </w:tc>
        <w:tc>
          <w:tcPr>
            <w:tcW w:w="75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财政专户管理资金</w:t>
            </w:r>
          </w:p>
        </w:tc>
        <w:tc>
          <w:tcPr>
            <w:tcW w:w="5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0.00</w:t>
            </w:r>
          </w:p>
        </w:tc>
        <w:tc>
          <w:tcPr>
            <w:tcW w:w="868"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0.00</w:t>
            </w:r>
          </w:p>
        </w:tc>
        <w:tc>
          <w:tcPr>
            <w:tcW w:w="882" w:type="pct"/>
            <w:gridSpan w:val="6"/>
            <w:tcBorders>
              <w:top w:val="single" w:sz="4" w:space="0" w:color="000000"/>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0.00</w:t>
            </w:r>
          </w:p>
        </w:tc>
        <w:tc>
          <w:tcPr>
            <w:tcW w:w="401"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0.00%</w:t>
            </w:r>
          </w:p>
        </w:tc>
        <w:tc>
          <w:tcPr>
            <w:tcW w:w="315"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w:t>
            </w:r>
          </w:p>
        </w:tc>
        <w:tc>
          <w:tcPr>
            <w:tcW w:w="384" w:type="pct"/>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w:t>
            </w:r>
          </w:p>
        </w:tc>
        <w:tc>
          <w:tcPr>
            <w:tcW w:w="362" w:type="pct"/>
            <w:vMerge/>
            <w:tcBorders>
              <w:top w:val="nil"/>
              <w:left w:val="single" w:sz="4" w:space="0" w:color="000000"/>
              <w:bottom w:val="single" w:sz="4" w:space="0" w:color="000000"/>
              <w:right w:val="single" w:sz="4" w:space="0" w:color="000000"/>
            </w:tcBorders>
            <w:vAlign w:val="center"/>
          </w:tcPr>
          <w:p w:rsidR="002A41B6" w:rsidRDefault="002A41B6" w:rsidP="002C6759">
            <w:pPr>
              <w:widowControl/>
              <w:jc w:val="left"/>
              <w:rPr>
                <w:rFonts w:eastAsia="微软雅黑"/>
                <w:color w:val="000000"/>
                <w:kern w:val="0"/>
                <w:sz w:val="18"/>
                <w:szCs w:val="18"/>
              </w:rPr>
            </w:pPr>
          </w:p>
        </w:tc>
      </w:tr>
      <w:tr w:rsidR="002A41B6" w:rsidTr="00026D1D">
        <w:trPr>
          <w:trHeight w:val="360"/>
        </w:trPr>
        <w:tc>
          <w:tcPr>
            <w:tcW w:w="538" w:type="pct"/>
            <w:vMerge/>
            <w:tcBorders>
              <w:top w:val="nil"/>
              <w:left w:val="single" w:sz="4" w:space="0" w:color="000000"/>
              <w:bottom w:val="single" w:sz="4" w:space="0" w:color="000000"/>
              <w:right w:val="single" w:sz="4" w:space="0" w:color="000000"/>
            </w:tcBorders>
            <w:vAlign w:val="center"/>
          </w:tcPr>
          <w:p w:rsidR="002A41B6" w:rsidRDefault="002A41B6" w:rsidP="002C6759">
            <w:pPr>
              <w:widowControl/>
              <w:jc w:val="left"/>
              <w:rPr>
                <w:rFonts w:eastAsia="微软雅黑"/>
                <w:color w:val="000000"/>
                <w:kern w:val="0"/>
                <w:sz w:val="18"/>
                <w:szCs w:val="18"/>
              </w:rPr>
            </w:pPr>
          </w:p>
        </w:tc>
        <w:tc>
          <w:tcPr>
            <w:tcW w:w="75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单位资金</w:t>
            </w:r>
          </w:p>
        </w:tc>
        <w:tc>
          <w:tcPr>
            <w:tcW w:w="5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0.00</w:t>
            </w:r>
          </w:p>
        </w:tc>
        <w:tc>
          <w:tcPr>
            <w:tcW w:w="868"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0.00</w:t>
            </w:r>
          </w:p>
        </w:tc>
        <w:tc>
          <w:tcPr>
            <w:tcW w:w="882" w:type="pct"/>
            <w:gridSpan w:val="6"/>
            <w:tcBorders>
              <w:top w:val="single" w:sz="4" w:space="0" w:color="000000"/>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0.00</w:t>
            </w:r>
          </w:p>
        </w:tc>
        <w:tc>
          <w:tcPr>
            <w:tcW w:w="401"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0.00%</w:t>
            </w:r>
          </w:p>
        </w:tc>
        <w:tc>
          <w:tcPr>
            <w:tcW w:w="315"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w:t>
            </w:r>
          </w:p>
        </w:tc>
        <w:tc>
          <w:tcPr>
            <w:tcW w:w="384" w:type="pct"/>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w:t>
            </w:r>
          </w:p>
        </w:tc>
        <w:tc>
          <w:tcPr>
            <w:tcW w:w="362" w:type="pct"/>
            <w:vMerge/>
            <w:tcBorders>
              <w:top w:val="nil"/>
              <w:left w:val="single" w:sz="4" w:space="0" w:color="000000"/>
              <w:bottom w:val="single" w:sz="4" w:space="0" w:color="000000"/>
              <w:right w:val="single" w:sz="4" w:space="0" w:color="000000"/>
            </w:tcBorders>
            <w:vAlign w:val="center"/>
          </w:tcPr>
          <w:p w:rsidR="002A41B6" w:rsidRDefault="002A41B6" w:rsidP="002C6759">
            <w:pPr>
              <w:widowControl/>
              <w:jc w:val="left"/>
              <w:rPr>
                <w:rFonts w:eastAsia="微软雅黑"/>
                <w:color w:val="000000"/>
                <w:kern w:val="0"/>
                <w:sz w:val="18"/>
                <w:szCs w:val="18"/>
              </w:rPr>
            </w:pPr>
          </w:p>
        </w:tc>
      </w:tr>
      <w:tr w:rsidR="002A41B6" w:rsidTr="00026D1D">
        <w:trPr>
          <w:trHeight w:val="338"/>
        </w:trPr>
        <w:tc>
          <w:tcPr>
            <w:tcW w:w="538" w:type="pct"/>
            <w:vMerge/>
            <w:tcBorders>
              <w:top w:val="nil"/>
              <w:left w:val="single" w:sz="4" w:space="0" w:color="000000"/>
              <w:bottom w:val="single" w:sz="4" w:space="0" w:color="000000"/>
              <w:right w:val="single" w:sz="4" w:space="0" w:color="000000"/>
            </w:tcBorders>
            <w:vAlign w:val="center"/>
          </w:tcPr>
          <w:p w:rsidR="002A41B6" w:rsidRDefault="002A41B6" w:rsidP="002C6759">
            <w:pPr>
              <w:widowControl/>
              <w:jc w:val="left"/>
              <w:rPr>
                <w:rFonts w:eastAsia="微软雅黑"/>
                <w:color w:val="000000"/>
                <w:kern w:val="0"/>
                <w:sz w:val="18"/>
                <w:szCs w:val="18"/>
              </w:rPr>
            </w:pPr>
          </w:p>
        </w:tc>
        <w:tc>
          <w:tcPr>
            <w:tcW w:w="75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其他资金</w:t>
            </w:r>
          </w:p>
        </w:tc>
        <w:tc>
          <w:tcPr>
            <w:tcW w:w="5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i/>
                <w:iCs/>
                <w:color w:val="000000"/>
                <w:kern w:val="0"/>
                <w:sz w:val="18"/>
                <w:szCs w:val="18"/>
              </w:rPr>
            </w:pPr>
            <w:r>
              <w:rPr>
                <w:rFonts w:eastAsia="微软雅黑"/>
                <w:i/>
                <w:iCs/>
                <w:color w:val="000000"/>
                <w:kern w:val="0"/>
                <w:sz w:val="18"/>
                <w:szCs w:val="18"/>
              </w:rPr>
              <w:t xml:space="preserve">　</w:t>
            </w:r>
          </w:p>
        </w:tc>
        <w:tc>
          <w:tcPr>
            <w:tcW w:w="868"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i/>
                <w:iCs/>
                <w:color w:val="000000"/>
                <w:kern w:val="0"/>
                <w:sz w:val="18"/>
                <w:szCs w:val="18"/>
              </w:rPr>
            </w:pPr>
            <w:r>
              <w:rPr>
                <w:rFonts w:eastAsia="微软雅黑"/>
                <w:i/>
                <w:iCs/>
                <w:color w:val="000000"/>
                <w:kern w:val="0"/>
                <w:sz w:val="18"/>
                <w:szCs w:val="18"/>
              </w:rPr>
              <w:t xml:space="preserve">　</w:t>
            </w:r>
          </w:p>
        </w:tc>
        <w:tc>
          <w:tcPr>
            <w:tcW w:w="882" w:type="pct"/>
            <w:gridSpan w:val="6"/>
            <w:tcBorders>
              <w:top w:val="single" w:sz="4" w:space="0" w:color="000000"/>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i/>
                <w:iCs/>
                <w:color w:val="000000"/>
                <w:kern w:val="0"/>
                <w:sz w:val="18"/>
                <w:szCs w:val="18"/>
              </w:rPr>
            </w:pPr>
            <w:r>
              <w:rPr>
                <w:rFonts w:eastAsia="微软雅黑"/>
                <w:i/>
                <w:iCs/>
                <w:color w:val="000000"/>
                <w:kern w:val="0"/>
                <w:sz w:val="18"/>
                <w:szCs w:val="18"/>
              </w:rPr>
              <w:t xml:space="preserve">　</w:t>
            </w:r>
          </w:p>
        </w:tc>
        <w:tc>
          <w:tcPr>
            <w:tcW w:w="401"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i/>
                <w:iCs/>
                <w:color w:val="000000"/>
                <w:kern w:val="0"/>
                <w:sz w:val="18"/>
                <w:szCs w:val="18"/>
              </w:rPr>
            </w:pPr>
            <w:r>
              <w:rPr>
                <w:rFonts w:eastAsia="微软雅黑"/>
                <w:i/>
                <w:iCs/>
                <w:color w:val="000000"/>
                <w:kern w:val="0"/>
                <w:sz w:val="18"/>
                <w:szCs w:val="18"/>
              </w:rPr>
              <w:t xml:space="preserve">　</w:t>
            </w:r>
          </w:p>
        </w:tc>
        <w:tc>
          <w:tcPr>
            <w:tcW w:w="315"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w:t>
            </w:r>
          </w:p>
        </w:tc>
        <w:tc>
          <w:tcPr>
            <w:tcW w:w="384" w:type="pct"/>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w:t>
            </w:r>
          </w:p>
        </w:tc>
        <w:tc>
          <w:tcPr>
            <w:tcW w:w="362" w:type="pct"/>
            <w:vMerge/>
            <w:tcBorders>
              <w:top w:val="nil"/>
              <w:left w:val="single" w:sz="4" w:space="0" w:color="000000"/>
              <w:bottom w:val="single" w:sz="4" w:space="0" w:color="000000"/>
              <w:right w:val="single" w:sz="4" w:space="0" w:color="000000"/>
            </w:tcBorders>
            <w:vAlign w:val="center"/>
          </w:tcPr>
          <w:p w:rsidR="002A41B6" w:rsidRDefault="002A41B6" w:rsidP="002C6759">
            <w:pPr>
              <w:widowControl/>
              <w:jc w:val="left"/>
              <w:rPr>
                <w:rFonts w:eastAsia="微软雅黑"/>
                <w:color w:val="000000"/>
                <w:kern w:val="0"/>
                <w:sz w:val="18"/>
                <w:szCs w:val="18"/>
              </w:rPr>
            </w:pPr>
          </w:p>
        </w:tc>
      </w:tr>
      <w:tr w:rsidR="002A41B6" w:rsidTr="00026D1D">
        <w:trPr>
          <w:trHeight w:val="454"/>
        </w:trPr>
        <w:tc>
          <w:tcPr>
            <w:tcW w:w="538" w:type="pct"/>
            <w:vMerge w:val="restart"/>
            <w:tcBorders>
              <w:top w:val="nil"/>
              <w:left w:val="single" w:sz="4" w:space="0" w:color="000000"/>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绩效指标（</w:t>
            </w:r>
            <w:r>
              <w:rPr>
                <w:rFonts w:eastAsia="微软雅黑"/>
                <w:color w:val="000000"/>
                <w:kern w:val="0"/>
                <w:sz w:val="18"/>
                <w:szCs w:val="18"/>
              </w:rPr>
              <w:t>90</w:t>
            </w:r>
            <w:r>
              <w:rPr>
                <w:rFonts w:eastAsia="微软雅黑"/>
                <w:color w:val="000000"/>
                <w:kern w:val="0"/>
                <w:sz w:val="18"/>
                <w:szCs w:val="18"/>
              </w:rPr>
              <w:t>分）</w:t>
            </w:r>
          </w:p>
        </w:tc>
        <w:tc>
          <w:tcPr>
            <w:tcW w:w="75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一级指标</w:t>
            </w:r>
          </w:p>
        </w:tc>
        <w:tc>
          <w:tcPr>
            <w:tcW w:w="5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二级指标</w:t>
            </w:r>
          </w:p>
        </w:tc>
        <w:tc>
          <w:tcPr>
            <w:tcW w:w="868"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三级指标</w:t>
            </w:r>
          </w:p>
        </w:tc>
        <w:tc>
          <w:tcPr>
            <w:tcW w:w="182"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指标性质</w:t>
            </w:r>
          </w:p>
        </w:tc>
        <w:tc>
          <w:tcPr>
            <w:tcW w:w="5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指标值</w:t>
            </w:r>
          </w:p>
        </w:tc>
        <w:tc>
          <w:tcPr>
            <w:tcW w:w="2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度量单位</w:t>
            </w:r>
          </w:p>
        </w:tc>
        <w:tc>
          <w:tcPr>
            <w:tcW w:w="401"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完成值</w:t>
            </w:r>
          </w:p>
        </w:tc>
        <w:tc>
          <w:tcPr>
            <w:tcW w:w="315"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权重</w:t>
            </w:r>
          </w:p>
        </w:tc>
        <w:tc>
          <w:tcPr>
            <w:tcW w:w="384" w:type="pct"/>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得分</w:t>
            </w:r>
          </w:p>
        </w:tc>
        <w:tc>
          <w:tcPr>
            <w:tcW w:w="362" w:type="pct"/>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未完成原因分析</w:t>
            </w:r>
          </w:p>
        </w:tc>
      </w:tr>
      <w:tr w:rsidR="002A41B6" w:rsidTr="00026D1D">
        <w:trPr>
          <w:trHeight w:val="338"/>
        </w:trPr>
        <w:tc>
          <w:tcPr>
            <w:tcW w:w="538" w:type="pct"/>
            <w:vMerge/>
            <w:tcBorders>
              <w:top w:val="nil"/>
              <w:left w:val="single" w:sz="4" w:space="0" w:color="000000"/>
              <w:bottom w:val="single" w:sz="4" w:space="0" w:color="000000"/>
              <w:right w:val="single" w:sz="4" w:space="0" w:color="000000"/>
            </w:tcBorders>
            <w:vAlign w:val="center"/>
          </w:tcPr>
          <w:p w:rsidR="002A41B6" w:rsidRDefault="002A41B6" w:rsidP="002C6759">
            <w:pPr>
              <w:widowControl/>
              <w:jc w:val="left"/>
              <w:rPr>
                <w:rFonts w:eastAsia="微软雅黑"/>
                <w:color w:val="000000"/>
                <w:kern w:val="0"/>
                <w:sz w:val="18"/>
                <w:szCs w:val="18"/>
              </w:rPr>
            </w:pPr>
          </w:p>
        </w:tc>
        <w:tc>
          <w:tcPr>
            <w:tcW w:w="750" w:type="pct"/>
            <w:gridSpan w:val="2"/>
            <w:vMerge w:val="restart"/>
            <w:tcBorders>
              <w:top w:val="nil"/>
              <w:left w:val="single" w:sz="4" w:space="0" w:color="000000"/>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产出指标</w:t>
            </w:r>
          </w:p>
        </w:tc>
        <w:tc>
          <w:tcPr>
            <w:tcW w:w="5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数量指标</w:t>
            </w:r>
          </w:p>
        </w:tc>
        <w:tc>
          <w:tcPr>
            <w:tcW w:w="868"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全市医疗机构全面覆盖</w:t>
            </w:r>
          </w:p>
        </w:tc>
        <w:tc>
          <w:tcPr>
            <w:tcW w:w="182"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w:t>
            </w:r>
          </w:p>
        </w:tc>
        <w:tc>
          <w:tcPr>
            <w:tcW w:w="5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100</w:t>
            </w:r>
          </w:p>
        </w:tc>
        <w:tc>
          <w:tcPr>
            <w:tcW w:w="2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w:t>
            </w:r>
          </w:p>
        </w:tc>
        <w:tc>
          <w:tcPr>
            <w:tcW w:w="401"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100</w:t>
            </w:r>
          </w:p>
        </w:tc>
        <w:tc>
          <w:tcPr>
            <w:tcW w:w="315"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15</w:t>
            </w:r>
          </w:p>
        </w:tc>
        <w:tc>
          <w:tcPr>
            <w:tcW w:w="384" w:type="pct"/>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15</w:t>
            </w:r>
          </w:p>
        </w:tc>
        <w:tc>
          <w:tcPr>
            <w:tcW w:w="362" w:type="pct"/>
            <w:tcBorders>
              <w:top w:val="nil"/>
              <w:left w:val="nil"/>
              <w:bottom w:val="single" w:sz="4" w:space="0" w:color="000000"/>
              <w:right w:val="single" w:sz="4" w:space="0" w:color="auto"/>
            </w:tcBorders>
            <w:shd w:val="clear" w:color="auto" w:fill="auto"/>
            <w:noWrap/>
            <w:vAlign w:val="center"/>
          </w:tcPr>
          <w:p w:rsidR="002A41B6" w:rsidRDefault="002A41B6" w:rsidP="002C6759">
            <w:pPr>
              <w:widowControl/>
              <w:jc w:val="left"/>
              <w:rPr>
                <w:rFonts w:eastAsia="微软雅黑"/>
                <w:color w:val="000000"/>
                <w:kern w:val="0"/>
                <w:sz w:val="18"/>
                <w:szCs w:val="18"/>
              </w:rPr>
            </w:pPr>
            <w:r>
              <w:rPr>
                <w:rFonts w:eastAsia="微软雅黑"/>
                <w:color w:val="000000"/>
                <w:kern w:val="0"/>
                <w:sz w:val="18"/>
                <w:szCs w:val="18"/>
              </w:rPr>
              <w:t>无</w:t>
            </w:r>
          </w:p>
        </w:tc>
      </w:tr>
      <w:tr w:rsidR="002A41B6" w:rsidTr="00026D1D">
        <w:trPr>
          <w:trHeight w:val="338"/>
        </w:trPr>
        <w:tc>
          <w:tcPr>
            <w:tcW w:w="538" w:type="pct"/>
            <w:vMerge/>
            <w:tcBorders>
              <w:top w:val="nil"/>
              <w:left w:val="single" w:sz="4" w:space="0" w:color="000000"/>
              <w:bottom w:val="single" w:sz="4" w:space="0" w:color="000000"/>
              <w:right w:val="single" w:sz="4" w:space="0" w:color="000000"/>
            </w:tcBorders>
            <w:vAlign w:val="center"/>
          </w:tcPr>
          <w:p w:rsidR="002A41B6" w:rsidRDefault="002A41B6" w:rsidP="002C6759">
            <w:pPr>
              <w:widowControl/>
              <w:jc w:val="left"/>
              <w:rPr>
                <w:rFonts w:eastAsia="微软雅黑"/>
                <w:color w:val="000000"/>
                <w:kern w:val="0"/>
                <w:sz w:val="18"/>
                <w:szCs w:val="18"/>
              </w:rPr>
            </w:pPr>
          </w:p>
        </w:tc>
        <w:tc>
          <w:tcPr>
            <w:tcW w:w="750" w:type="pct"/>
            <w:gridSpan w:val="2"/>
            <w:vMerge/>
            <w:tcBorders>
              <w:top w:val="nil"/>
              <w:left w:val="single" w:sz="4" w:space="0" w:color="000000"/>
              <w:bottom w:val="single" w:sz="4" w:space="0" w:color="000000"/>
              <w:right w:val="single" w:sz="4" w:space="0" w:color="000000"/>
            </w:tcBorders>
            <w:vAlign w:val="center"/>
          </w:tcPr>
          <w:p w:rsidR="002A41B6" w:rsidRDefault="002A41B6" w:rsidP="002C6759">
            <w:pPr>
              <w:widowControl/>
              <w:jc w:val="left"/>
              <w:rPr>
                <w:rFonts w:eastAsia="微软雅黑"/>
                <w:color w:val="000000"/>
                <w:kern w:val="0"/>
                <w:sz w:val="18"/>
                <w:szCs w:val="18"/>
              </w:rPr>
            </w:pPr>
          </w:p>
        </w:tc>
        <w:tc>
          <w:tcPr>
            <w:tcW w:w="5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质量指标</w:t>
            </w:r>
          </w:p>
        </w:tc>
        <w:tc>
          <w:tcPr>
            <w:tcW w:w="868"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实现</w:t>
            </w:r>
            <w:proofErr w:type="gramStart"/>
            <w:r>
              <w:rPr>
                <w:rFonts w:eastAsia="微软雅黑"/>
                <w:color w:val="000000"/>
                <w:kern w:val="0"/>
                <w:sz w:val="18"/>
                <w:szCs w:val="18"/>
              </w:rPr>
              <w:t>医</w:t>
            </w:r>
            <w:proofErr w:type="gramEnd"/>
            <w:r>
              <w:rPr>
                <w:rFonts w:eastAsia="微软雅黑"/>
                <w:color w:val="000000"/>
                <w:kern w:val="0"/>
                <w:sz w:val="18"/>
                <w:szCs w:val="18"/>
              </w:rPr>
              <w:t>保基金实际付费</w:t>
            </w:r>
          </w:p>
        </w:tc>
        <w:tc>
          <w:tcPr>
            <w:tcW w:w="182"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w:t>
            </w:r>
          </w:p>
        </w:tc>
        <w:tc>
          <w:tcPr>
            <w:tcW w:w="5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12</w:t>
            </w:r>
          </w:p>
        </w:tc>
        <w:tc>
          <w:tcPr>
            <w:tcW w:w="2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月</w:t>
            </w:r>
          </w:p>
        </w:tc>
        <w:tc>
          <w:tcPr>
            <w:tcW w:w="401"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12</w:t>
            </w:r>
          </w:p>
        </w:tc>
        <w:tc>
          <w:tcPr>
            <w:tcW w:w="315"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15</w:t>
            </w:r>
          </w:p>
        </w:tc>
        <w:tc>
          <w:tcPr>
            <w:tcW w:w="384" w:type="pct"/>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15</w:t>
            </w:r>
          </w:p>
        </w:tc>
        <w:tc>
          <w:tcPr>
            <w:tcW w:w="362" w:type="pct"/>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left"/>
              <w:rPr>
                <w:rFonts w:eastAsia="微软雅黑"/>
                <w:color w:val="000000"/>
                <w:kern w:val="0"/>
                <w:sz w:val="18"/>
                <w:szCs w:val="18"/>
              </w:rPr>
            </w:pPr>
            <w:r>
              <w:rPr>
                <w:rFonts w:eastAsia="微软雅黑"/>
                <w:color w:val="000000"/>
                <w:kern w:val="0"/>
                <w:sz w:val="18"/>
                <w:szCs w:val="18"/>
              </w:rPr>
              <w:t>无</w:t>
            </w:r>
          </w:p>
        </w:tc>
      </w:tr>
      <w:tr w:rsidR="002A41B6" w:rsidTr="00026D1D">
        <w:trPr>
          <w:trHeight w:val="338"/>
        </w:trPr>
        <w:tc>
          <w:tcPr>
            <w:tcW w:w="538" w:type="pct"/>
            <w:vMerge/>
            <w:tcBorders>
              <w:top w:val="nil"/>
              <w:left w:val="single" w:sz="4" w:space="0" w:color="000000"/>
              <w:bottom w:val="single" w:sz="4" w:space="0" w:color="000000"/>
              <w:right w:val="single" w:sz="4" w:space="0" w:color="000000"/>
            </w:tcBorders>
            <w:vAlign w:val="center"/>
          </w:tcPr>
          <w:p w:rsidR="002A41B6" w:rsidRDefault="002A41B6" w:rsidP="002C6759">
            <w:pPr>
              <w:widowControl/>
              <w:jc w:val="left"/>
              <w:rPr>
                <w:rFonts w:eastAsia="微软雅黑"/>
                <w:color w:val="000000"/>
                <w:kern w:val="0"/>
                <w:sz w:val="18"/>
                <w:szCs w:val="18"/>
              </w:rPr>
            </w:pPr>
          </w:p>
        </w:tc>
        <w:tc>
          <w:tcPr>
            <w:tcW w:w="750" w:type="pct"/>
            <w:gridSpan w:val="2"/>
            <w:vMerge/>
            <w:tcBorders>
              <w:top w:val="nil"/>
              <w:left w:val="single" w:sz="4" w:space="0" w:color="000000"/>
              <w:bottom w:val="single" w:sz="4" w:space="0" w:color="000000"/>
              <w:right w:val="single" w:sz="4" w:space="0" w:color="000000"/>
            </w:tcBorders>
            <w:vAlign w:val="center"/>
          </w:tcPr>
          <w:p w:rsidR="002A41B6" w:rsidRDefault="002A41B6" w:rsidP="002C6759">
            <w:pPr>
              <w:widowControl/>
              <w:jc w:val="left"/>
              <w:rPr>
                <w:rFonts w:eastAsia="微软雅黑"/>
                <w:color w:val="000000"/>
                <w:kern w:val="0"/>
                <w:sz w:val="18"/>
                <w:szCs w:val="18"/>
              </w:rPr>
            </w:pPr>
          </w:p>
        </w:tc>
        <w:tc>
          <w:tcPr>
            <w:tcW w:w="5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时效指标</w:t>
            </w:r>
          </w:p>
        </w:tc>
        <w:tc>
          <w:tcPr>
            <w:tcW w:w="868"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全年</w:t>
            </w:r>
            <w:proofErr w:type="gramStart"/>
            <w:r>
              <w:rPr>
                <w:rFonts w:eastAsia="微软雅黑"/>
                <w:color w:val="000000"/>
                <w:kern w:val="0"/>
                <w:sz w:val="18"/>
                <w:szCs w:val="18"/>
              </w:rPr>
              <w:t>医</w:t>
            </w:r>
            <w:proofErr w:type="gramEnd"/>
            <w:r>
              <w:rPr>
                <w:rFonts w:eastAsia="微软雅黑"/>
                <w:color w:val="000000"/>
                <w:kern w:val="0"/>
                <w:sz w:val="18"/>
                <w:szCs w:val="18"/>
              </w:rPr>
              <w:t>保基金付费</w:t>
            </w:r>
          </w:p>
        </w:tc>
        <w:tc>
          <w:tcPr>
            <w:tcW w:w="182"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w:t>
            </w:r>
          </w:p>
        </w:tc>
        <w:tc>
          <w:tcPr>
            <w:tcW w:w="5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w:t>
            </w:r>
          </w:p>
        </w:tc>
        <w:tc>
          <w:tcPr>
            <w:tcW w:w="2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年</w:t>
            </w:r>
          </w:p>
        </w:tc>
        <w:tc>
          <w:tcPr>
            <w:tcW w:w="401"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w:t>
            </w:r>
          </w:p>
        </w:tc>
        <w:tc>
          <w:tcPr>
            <w:tcW w:w="315"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10</w:t>
            </w:r>
          </w:p>
        </w:tc>
        <w:tc>
          <w:tcPr>
            <w:tcW w:w="384" w:type="pct"/>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10</w:t>
            </w:r>
          </w:p>
        </w:tc>
        <w:tc>
          <w:tcPr>
            <w:tcW w:w="362" w:type="pct"/>
            <w:tcBorders>
              <w:top w:val="nil"/>
              <w:left w:val="nil"/>
              <w:bottom w:val="single" w:sz="4" w:space="0" w:color="000000"/>
              <w:right w:val="single" w:sz="4" w:space="0" w:color="auto"/>
            </w:tcBorders>
            <w:shd w:val="clear" w:color="auto" w:fill="auto"/>
            <w:noWrap/>
            <w:vAlign w:val="center"/>
          </w:tcPr>
          <w:p w:rsidR="002A41B6" w:rsidRDefault="002A41B6" w:rsidP="002C6759">
            <w:pPr>
              <w:widowControl/>
              <w:jc w:val="left"/>
              <w:rPr>
                <w:rFonts w:eastAsia="微软雅黑"/>
                <w:color w:val="000000"/>
                <w:kern w:val="0"/>
                <w:sz w:val="18"/>
                <w:szCs w:val="18"/>
              </w:rPr>
            </w:pPr>
            <w:r>
              <w:rPr>
                <w:rFonts w:eastAsia="微软雅黑"/>
                <w:color w:val="000000"/>
                <w:kern w:val="0"/>
                <w:sz w:val="18"/>
                <w:szCs w:val="18"/>
              </w:rPr>
              <w:t>无</w:t>
            </w:r>
          </w:p>
        </w:tc>
      </w:tr>
      <w:tr w:rsidR="002A41B6" w:rsidTr="00026D1D">
        <w:trPr>
          <w:trHeight w:val="454"/>
        </w:trPr>
        <w:tc>
          <w:tcPr>
            <w:tcW w:w="538" w:type="pct"/>
            <w:vMerge/>
            <w:tcBorders>
              <w:top w:val="nil"/>
              <w:left w:val="single" w:sz="4" w:space="0" w:color="000000"/>
              <w:bottom w:val="single" w:sz="4" w:space="0" w:color="000000"/>
              <w:right w:val="single" w:sz="4" w:space="0" w:color="000000"/>
            </w:tcBorders>
            <w:vAlign w:val="center"/>
          </w:tcPr>
          <w:p w:rsidR="002A41B6" w:rsidRDefault="002A41B6" w:rsidP="002C6759">
            <w:pPr>
              <w:widowControl/>
              <w:jc w:val="left"/>
              <w:rPr>
                <w:rFonts w:eastAsia="微软雅黑"/>
                <w:color w:val="000000"/>
                <w:kern w:val="0"/>
                <w:sz w:val="18"/>
                <w:szCs w:val="18"/>
              </w:rPr>
            </w:pPr>
          </w:p>
        </w:tc>
        <w:tc>
          <w:tcPr>
            <w:tcW w:w="750" w:type="pct"/>
            <w:gridSpan w:val="2"/>
            <w:vMerge w:val="restart"/>
            <w:tcBorders>
              <w:top w:val="nil"/>
              <w:left w:val="single" w:sz="4" w:space="0" w:color="000000"/>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效益指标</w:t>
            </w:r>
          </w:p>
        </w:tc>
        <w:tc>
          <w:tcPr>
            <w:tcW w:w="5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经济效益指标</w:t>
            </w:r>
          </w:p>
        </w:tc>
        <w:tc>
          <w:tcPr>
            <w:tcW w:w="868"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全市医疗机构能够及时解决改革中出现的问题</w:t>
            </w:r>
          </w:p>
        </w:tc>
        <w:tc>
          <w:tcPr>
            <w:tcW w:w="182"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定性</w:t>
            </w:r>
          </w:p>
        </w:tc>
        <w:tc>
          <w:tcPr>
            <w:tcW w:w="5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合理使用，个人负担减轻</w:t>
            </w:r>
          </w:p>
        </w:tc>
        <w:tc>
          <w:tcPr>
            <w:tcW w:w="2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 xml:space="preserve">　</w:t>
            </w:r>
          </w:p>
        </w:tc>
        <w:tc>
          <w:tcPr>
            <w:tcW w:w="401"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合理使用</w:t>
            </w:r>
          </w:p>
        </w:tc>
        <w:tc>
          <w:tcPr>
            <w:tcW w:w="315"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10</w:t>
            </w:r>
          </w:p>
        </w:tc>
        <w:tc>
          <w:tcPr>
            <w:tcW w:w="384" w:type="pct"/>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10</w:t>
            </w:r>
          </w:p>
        </w:tc>
        <w:tc>
          <w:tcPr>
            <w:tcW w:w="362" w:type="pct"/>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left"/>
              <w:rPr>
                <w:rFonts w:eastAsia="微软雅黑"/>
                <w:color w:val="000000"/>
                <w:kern w:val="0"/>
                <w:sz w:val="18"/>
                <w:szCs w:val="18"/>
              </w:rPr>
            </w:pPr>
            <w:r>
              <w:rPr>
                <w:rFonts w:eastAsia="微软雅黑"/>
                <w:color w:val="000000"/>
                <w:kern w:val="0"/>
                <w:sz w:val="18"/>
                <w:szCs w:val="18"/>
              </w:rPr>
              <w:t>无</w:t>
            </w:r>
          </w:p>
        </w:tc>
      </w:tr>
      <w:tr w:rsidR="002A41B6" w:rsidTr="00026D1D">
        <w:trPr>
          <w:trHeight w:val="679"/>
        </w:trPr>
        <w:tc>
          <w:tcPr>
            <w:tcW w:w="538" w:type="pct"/>
            <w:vMerge/>
            <w:tcBorders>
              <w:top w:val="nil"/>
              <w:left w:val="single" w:sz="4" w:space="0" w:color="000000"/>
              <w:bottom w:val="single" w:sz="4" w:space="0" w:color="000000"/>
              <w:right w:val="single" w:sz="4" w:space="0" w:color="000000"/>
            </w:tcBorders>
            <w:vAlign w:val="center"/>
          </w:tcPr>
          <w:p w:rsidR="002A41B6" w:rsidRDefault="002A41B6" w:rsidP="002C6759">
            <w:pPr>
              <w:widowControl/>
              <w:jc w:val="left"/>
              <w:rPr>
                <w:rFonts w:eastAsia="微软雅黑"/>
                <w:color w:val="000000"/>
                <w:kern w:val="0"/>
                <w:sz w:val="18"/>
                <w:szCs w:val="18"/>
              </w:rPr>
            </w:pPr>
          </w:p>
        </w:tc>
        <w:tc>
          <w:tcPr>
            <w:tcW w:w="750" w:type="pct"/>
            <w:gridSpan w:val="2"/>
            <w:vMerge/>
            <w:tcBorders>
              <w:top w:val="nil"/>
              <w:left w:val="single" w:sz="4" w:space="0" w:color="000000"/>
              <w:bottom w:val="single" w:sz="4" w:space="0" w:color="000000"/>
              <w:right w:val="single" w:sz="4" w:space="0" w:color="000000"/>
            </w:tcBorders>
            <w:vAlign w:val="center"/>
          </w:tcPr>
          <w:p w:rsidR="002A41B6" w:rsidRDefault="002A41B6" w:rsidP="002C6759">
            <w:pPr>
              <w:widowControl/>
              <w:jc w:val="left"/>
              <w:rPr>
                <w:rFonts w:eastAsia="微软雅黑"/>
                <w:color w:val="000000"/>
                <w:kern w:val="0"/>
                <w:sz w:val="18"/>
                <w:szCs w:val="18"/>
              </w:rPr>
            </w:pPr>
          </w:p>
        </w:tc>
        <w:tc>
          <w:tcPr>
            <w:tcW w:w="5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社会效益指标</w:t>
            </w:r>
          </w:p>
        </w:tc>
        <w:tc>
          <w:tcPr>
            <w:tcW w:w="868"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优化付费体系和服务系统，有效解决改革出现的问题</w:t>
            </w:r>
          </w:p>
        </w:tc>
        <w:tc>
          <w:tcPr>
            <w:tcW w:w="182"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定性</w:t>
            </w:r>
          </w:p>
        </w:tc>
        <w:tc>
          <w:tcPr>
            <w:tcW w:w="5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规范定点医疗机构行为</w:t>
            </w:r>
          </w:p>
        </w:tc>
        <w:tc>
          <w:tcPr>
            <w:tcW w:w="2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 xml:space="preserve">　</w:t>
            </w:r>
          </w:p>
        </w:tc>
        <w:tc>
          <w:tcPr>
            <w:tcW w:w="401"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规范定点医疗机构行为</w:t>
            </w:r>
          </w:p>
        </w:tc>
        <w:tc>
          <w:tcPr>
            <w:tcW w:w="315"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10</w:t>
            </w:r>
          </w:p>
        </w:tc>
        <w:tc>
          <w:tcPr>
            <w:tcW w:w="384" w:type="pct"/>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10</w:t>
            </w:r>
          </w:p>
        </w:tc>
        <w:tc>
          <w:tcPr>
            <w:tcW w:w="362" w:type="pct"/>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left"/>
              <w:rPr>
                <w:rFonts w:eastAsia="微软雅黑"/>
                <w:color w:val="000000"/>
                <w:kern w:val="0"/>
                <w:sz w:val="18"/>
                <w:szCs w:val="18"/>
              </w:rPr>
            </w:pPr>
            <w:r>
              <w:rPr>
                <w:rFonts w:eastAsia="微软雅黑"/>
                <w:color w:val="000000"/>
                <w:kern w:val="0"/>
                <w:sz w:val="18"/>
                <w:szCs w:val="18"/>
              </w:rPr>
              <w:t>无</w:t>
            </w:r>
          </w:p>
        </w:tc>
      </w:tr>
      <w:tr w:rsidR="002A41B6" w:rsidTr="00026D1D">
        <w:trPr>
          <w:trHeight w:val="1129"/>
        </w:trPr>
        <w:tc>
          <w:tcPr>
            <w:tcW w:w="538" w:type="pct"/>
            <w:vMerge/>
            <w:tcBorders>
              <w:top w:val="nil"/>
              <w:left w:val="single" w:sz="4" w:space="0" w:color="000000"/>
              <w:bottom w:val="single" w:sz="4" w:space="0" w:color="000000"/>
              <w:right w:val="single" w:sz="4" w:space="0" w:color="000000"/>
            </w:tcBorders>
            <w:vAlign w:val="center"/>
          </w:tcPr>
          <w:p w:rsidR="002A41B6" w:rsidRDefault="002A41B6" w:rsidP="002C6759">
            <w:pPr>
              <w:widowControl/>
              <w:jc w:val="left"/>
              <w:rPr>
                <w:rFonts w:eastAsia="微软雅黑"/>
                <w:color w:val="000000"/>
                <w:kern w:val="0"/>
                <w:sz w:val="18"/>
                <w:szCs w:val="18"/>
              </w:rPr>
            </w:pPr>
          </w:p>
        </w:tc>
        <w:tc>
          <w:tcPr>
            <w:tcW w:w="750" w:type="pct"/>
            <w:gridSpan w:val="2"/>
            <w:vMerge/>
            <w:tcBorders>
              <w:top w:val="nil"/>
              <w:left w:val="single" w:sz="4" w:space="0" w:color="000000"/>
              <w:bottom w:val="single" w:sz="4" w:space="0" w:color="000000"/>
              <w:right w:val="single" w:sz="4" w:space="0" w:color="000000"/>
            </w:tcBorders>
            <w:vAlign w:val="center"/>
          </w:tcPr>
          <w:p w:rsidR="002A41B6" w:rsidRDefault="002A41B6" w:rsidP="002C6759">
            <w:pPr>
              <w:widowControl/>
              <w:jc w:val="left"/>
              <w:rPr>
                <w:rFonts w:eastAsia="微软雅黑"/>
                <w:color w:val="000000"/>
                <w:kern w:val="0"/>
                <w:sz w:val="18"/>
                <w:szCs w:val="18"/>
              </w:rPr>
            </w:pPr>
          </w:p>
        </w:tc>
        <w:tc>
          <w:tcPr>
            <w:tcW w:w="5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可持续影响指标</w:t>
            </w:r>
          </w:p>
        </w:tc>
        <w:tc>
          <w:tcPr>
            <w:tcW w:w="868"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实现患者</w:t>
            </w:r>
            <w:proofErr w:type="gramStart"/>
            <w:r>
              <w:rPr>
                <w:rFonts w:eastAsia="微软雅黑"/>
                <w:color w:val="000000"/>
                <w:kern w:val="0"/>
                <w:sz w:val="18"/>
                <w:szCs w:val="18"/>
              </w:rPr>
              <w:t>治病少</w:t>
            </w:r>
            <w:proofErr w:type="gramEnd"/>
            <w:r>
              <w:rPr>
                <w:rFonts w:eastAsia="微软雅黑"/>
                <w:color w:val="000000"/>
                <w:kern w:val="0"/>
                <w:sz w:val="18"/>
                <w:szCs w:val="18"/>
              </w:rPr>
              <w:t>花钱、</w:t>
            </w:r>
            <w:proofErr w:type="gramStart"/>
            <w:r>
              <w:rPr>
                <w:rFonts w:eastAsia="微软雅黑"/>
                <w:color w:val="000000"/>
                <w:kern w:val="0"/>
                <w:sz w:val="18"/>
                <w:szCs w:val="18"/>
              </w:rPr>
              <w:t>医</w:t>
            </w:r>
            <w:proofErr w:type="gramEnd"/>
            <w:r>
              <w:rPr>
                <w:rFonts w:eastAsia="微软雅黑"/>
                <w:color w:val="000000"/>
                <w:kern w:val="0"/>
                <w:sz w:val="18"/>
                <w:szCs w:val="18"/>
              </w:rPr>
              <w:t>保基金有结余、医院医疗服务快速提升</w:t>
            </w:r>
            <w:r>
              <w:rPr>
                <w:rFonts w:eastAsia="微软雅黑"/>
                <w:color w:val="000000"/>
                <w:kern w:val="0"/>
                <w:sz w:val="18"/>
                <w:szCs w:val="18"/>
              </w:rPr>
              <w:t>“</w:t>
            </w:r>
            <w:r>
              <w:rPr>
                <w:rFonts w:eastAsia="微软雅黑"/>
                <w:color w:val="000000"/>
                <w:kern w:val="0"/>
                <w:sz w:val="18"/>
                <w:szCs w:val="18"/>
              </w:rPr>
              <w:t>多方共赢</w:t>
            </w:r>
            <w:r>
              <w:rPr>
                <w:rFonts w:eastAsia="微软雅黑"/>
                <w:color w:val="000000"/>
                <w:kern w:val="0"/>
                <w:sz w:val="18"/>
                <w:szCs w:val="18"/>
              </w:rPr>
              <w:t>”</w:t>
            </w:r>
            <w:r>
              <w:rPr>
                <w:rFonts w:eastAsia="微软雅黑"/>
                <w:color w:val="000000"/>
                <w:kern w:val="0"/>
                <w:sz w:val="18"/>
                <w:szCs w:val="18"/>
              </w:rPr>
              <w:t>，为全国</w:t>
            </w:r>
            <w:r>
              <w:rPr>
                <w:rFonts w:eastAsia="微软雅黑"/>
                <w:color w:val="000000"/>
                <w:kern w:val="0"/>
                <w:sz w:val="18"/>
                <w:szCs w:val="18"/>
              </w:rPr>
              <w:t>DRG</w:t>
            </w:r>
            <w:r>
              <w:rPr>
                <w:rFonts w:eastAsia="微软雅黑"/>
                <w:color w:val="000000"/>
                <w:kern w:val="0"/>
                <w:sz w:val="18"/>
                <w:szCs w:val="18"/>
              </w:rPr>
              <w:t>付费改革提供了</w:t>
            </w:r>
            <w:r>
              <w:rPr>
                <w:rFonts w:eastAsia="微软雅黑"/>
                <w:color w:val="000000"/>
                <w:kern w:val="0"/>
                <w:sz w:val="18"/>
                <w:szCs w:val="18"/>
              </w:rPr>
              <w:t>“</w:t>
            </w:r>
            <w:r>
              <w:rPr>
                <w:rFonts w:eastAsia="微软雅黑"/>
                <w:color w:val="000000"/>
                <w:kern w:val="0"/>
                <w:sz w:val="18"/>
                <w:szCs w:val="18"/>
              </w:rPr>
              <w:t>攀枝花方案</w:t>
            </w:r>
            <w:r>
              <w:rPr>
                <w:rFonts w:eastAsia="微软雅黑"/>
                <w:color w:val="000000"/>
                <w:kern w:val="0"/>
                <w:sz w:val="18"/>
                <w:szCs w:val="18"/>
              </w:rPr>
              <w:t>”</w:t>
            </w:r>
            <w:r>
              <w:rPr>
                <w:rFonts w:eastAsia="微软雅黑"/>
                <w:color w:val="000000"/>
                <w:kern w:val="0"/>
                <w:sz w:val="18"/>
                <w:szCs w:val="18"/>
              </w:rPr>
              <w:t>。</w:t>
            </w:r>
          </w:p>
        </w:tc>
        <w:tc>
          <w:tcPr>
            <w:tcW w:w="182"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定性</w:t>
            </w:r>
          </w:p>
        </w:tc>
        <w:tc>
          <w:tcPr>
            <w:tcW w:w="5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proofErr w:type="gramStart"/>
            <w:r>
              <w:rPr>
                <w:rFonts w:eastAsia="微软雅黑"/>
                <w:color w:val="000000"/>
                <w:kern w:val="0"/>
                <w:sz w:val="18"/>
                <w:szCs w:val="18"/>
              </w:rPr>
              <w:t>医</w:t>
            </w:r>
            <w:proofErr w:type="gramEnd"/>
            <w:r>
              <w:rPr>
                <w:rFonts w:eastAsia="微软雅黑"/>
                <w:color w:val="000000"/>
                <w:kern w:val="0"/>
                <w:sz w:val="18"/>
                <w:szCs w:val="18"/>
              </w:rPr>
              <w:t>保、医疗、医疗协同发展</w:t>
            </w:r>
          </w:p>
        </w:tc>
        <w:tc>
          <w:tcPr>
            <w:tcW w:w="2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 xml:space="preserve">　</w:t>
            </w:r>
          </w:p>
        </w:tc>
        <w:tc>
          <w:tcPr>
            <w:tcW w:w="401"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proofErr w:type="gramStart"/>
            <w:r>
              <w:rPr>
                <w:rFonts w:eastAsia="微软雅黑"/>
                <w:color w:val="000000"/>
                <w:kern w:val="0"/>
                <w:sz w:val="18"/>
                <w:szCs w:val="18"/>
              </w:rPr>
              <w:t>医</w:t>
            </w:r>
            <w:proofErr w:type="gramEnd"/>
            <w:r>
              <w:rPr>
                <w:rFonts w:eastAsia="微软雅黑"/>
                <w:color w:val="000000"/>
                <w:kern w:val="0"/>
                <w:sz w:val="18"/>
                <w:szCs w:val="18"/>
              </w:rPr>
              <w:t>保、医疗、医疗协同发展</w:t>
            </w:r>
          </w:p>
        </w:tc>
        <w:tc>
          <w:tcPr>
            <w:tcW w:w="315"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5</w:t>
            </w:r>
          </w:p>
        </w:tc>
        <w:tc>
          <w:tcPr>
            <w:tcW w:w="384" w:type="pct"/>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5</w:t>
            </w:r>
          </w:p>
        </w:tc>
        <w:tc>
          <w:tcPr>
            <w:tcW w:w="362" w:type="pct"/>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left"/>
              <w:rPr>
                <w:rFonts w:eastAsia="微软雅黑"/>
                <w:color w:val="000000"/>
                <w:kern w:val="0"/>
                <w:sz w:val="18"/>
                <w:szCs w:val="18"/>
              </w:rPr>
            </w:pPr>
            <w:r>
              <w:rPr>
                <w:rFonts w:eastAsia="微软雅黑"/>
                <w:color w:val="000000"/>
                <w:kern w:val="0"/>
                <w:sz w:val="18"/>
                <w:szCs w:val="18"/>
              </w:rPr>
              <w:t>无</w:t>
            </w:r>
          </w:p>
        </w:tc>
      </w:tr>
      <w:tr w:rsidR="002A41B6" w:rsidTr="00026D1D">
        <w:trPr>
          <w:trHeight w:val="454"/>
        </w:trPr>
        <w:tc>
          <w:tcPr>
            <w:tcW w:w="538" w:type="pct"/>
            <w:vMerge/>
            <w:tcBorders>
              <w:top w:val="nil"/>
              <w:left w:val="single" w:sz="4" w:space="0" w:color="000000"/>
              <w:bottom w:val="single" w:sz="4" w:space="0" w:color="000000"/>
              <w:right w:val="single" w:sz="4" w:space="0" w:color="000000"/>
            </w:tcBorders>
            <w:vAlign w:val="center"/>
          </w:tcPr>
          <w:p w:rsidR="002A41B6" w:rsidRDefault="002A41B6" w:rsidP="002C6759">
            <w:pPr>
              <w:widowControl/>
              <w:jc w:val="left"/>
              <w:rPr>
                <w:rFonts w:eastAsia="微软雅黑"/>
                <w:color w:val="000000"/>
                <w:kern w:val="0"/>
                <w:sz w:val="18"/>
                <w:szCs w:val="18"/>
              </w:rPr>
            </w:pPr>
          </w:p>
        </w:tc>
        <w:tc>
          <w:tcPr>
            <w:tcW w:w="75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满意度指标</w:t>
            </w:r>
          </w:p>
        </w:tc>
        <w:tc>
          <w:tcPr>
            <w:tcW w:w="5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服务对象满意度指标</w:t>
            </w:r>
          </w:p>
        </w:tc>
        <w:tc>
          <w:tcPr>
            <w:tcW w:w="868"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群众满意度</w:t>
            </w:r>
          </w:p>
        </w:tc>
        <w:tc>
          <w:tcPr>
            <w:tcW w:w="182"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w:t>
            </w:r>
          </w:p>
        </w:tc>
        <w:tc>
          <w:tcPr>
            <w:tcW w:w="5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75</w:t>
            </w:r>
          </w:p>
        </w:tc>
        <w:tc>
          <w:tcPr>
            <w:tcW w:w="2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w:t>
            </w:r>
          </w:p>
        </w:tc>
        <w:tc>
          <w:tcPr>
            <w:tcW w:w="401"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75</w:t>
            </w:r>
          </w:p>
        </w:tc>
        <w:tc>
          <w:tcPr>
            <w:tcW w:w="315"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5</w:t>
            </w:r>
          </w:p>
        </w:tc>
        <w:tc>
          <w:tcPr>
            <w:tcW w:w="384" w:type="pct"/>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5</w:t>
            </w:r>
          </w:p>
        </w:tc>
        <w:tc>
          <w:tcPr>
            <w:tcW w:w="362" w:type="pct"/>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left"/>
              <w:rPr>
                <w:rFonts w:eastAsia="微软雅黑"/>
                <w:color w:val="000000"/>
                <w:kern w:val="0"/>
                <w:sz w:val="18"/>
                <w:szCs w:val="18"/>
              </w:rPr>
            </w:pPr>
            <w:r>
              <w:rPr>
                <w:rFonts w:eastAsia="微软雅黑"/>
                <w:color w:val="000000"/>
                <w:kern w:val="0"/>
                <w:sz w:val="18"/>
                <w:szCs w:val="18"/>
              </w:rPr>
              <w:t>无</w:t>
            </w:r>
          </w:p>
        </w:tc>
      </w:tr>
      <w:tr w:rsidR="002A41B6" w:rsidTr="00026D1D">
        <w:trPr>
          <w:trHeight w:val="338"/>
        </w:trPr>
        <w:tc>
          <w:tcPr>
            <w:tcW w:w="538" w:type="pct"/>
            <w:vMerge/>
            <w:tcBorders>
              <w:top w:val="nil"/>
              <w:left w:val="single" w:sz="4" w:space="0" w:color="000000"/>
              <w:bottom w:val="single" w:sz="4" w:space="0" w:color="000000"/>
              <w:right w:val="single" w:sz="4" w:space="0" w:color="000000"/>
            </w:tcBorders>
            <w:vAlign w:val="center"/>
          </w:tcPr>
          <w:p w:rsidR="002A41B6" w:rsidRDefault="002A41B6" w:rsidP="002C6759">
            <w:pPr>
              <w:widowControl/>
              <w:jc w:val="left"/>
              <w:rPr>
                <w:rFonts w:eastAsia="微软雅黑"/>
                <w:color w:val="000000"/>
                <w:kern w:val="0"/>
                <w:sz w:val="18"/>
                <w:szCs w:val="18"/>
              </w:rPr>
            </w:pPr>
          </w:p>
        </w:tc>
        <w:tc>
          <w:tcPr>
            <w:tcW w:w="75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成本指标</w:t>
            </w:r>
          </w:p>
        </w:tc>
        <w:tc>
          <w:tcPr>
            <w:tcW w:w="5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经济成本指标</w:t>
            </w:r>
          </w:p>
        </w:tc>
        <w:tc>
          <w:tcPr>
            <w:tcW w:w="868"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220</w:t>
            </w:r>
            <w:r>
              <w:rPr>
                <w:rFonts w:eastAsia="微软雅黑"/>
                <w:color w:val="000000"/>
                <w:kern w:val="0"/>
                <w:sz w:val="18"/>
                <w:szCs w:val="18"/>
              </w:rPr>
              <w:t>万元</w:t>
            </w:r>
          </w:p>
        </w:tc>
        <w:tc>
          <w:tcPr>
            <w:tcW w:w="182"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w:t>
            </w:r>
          </w:p>
        </w:tc>
        <w:tc>
          <w:tcPr>
            <w:tcW w:w="5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17.9865</w:t>
            </w:r>
          </w:p>
        </w:tc>
        <w:tc>
          <w:tcPr>
            <w:tcW w:w="200"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万元</w:t>
            </w:r>
          </w:p>
        </w:tc>
        <w:tc>
          <w:tcPr>
            <w:tcW w:w="401"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17.9865</w:t>
            </w:r>
          </w:p>
        </w:tc>
        <w:tc>
          <w:tcPr>
            <w:tcW w:w="315"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20</w:t>
            </w:r>
          </w:p>
        </w:tc>
        <w:tc>
          <w:tcPr>
            <w:tcW w:w="384" w:type="pct"/>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20</w:t>
            </w:r>
          </w:p>
        </w:tc>
        <w:tc>
          <w:tcPr>
            <w:tcW w:w="362" w:type="pct"/>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left"/>
              <w:rPr>
                <w:rFonts w:eastAsia="微软雅黑"/>
                <w:color w:val="000000"/>
                <w:kern w:val="0"/>
                <w:sz w:val="18"/>
                <w:szCs w:val="18"/>
              </w:rPr>
            </w:pPr>
            <w:r>
              <w:rPr>
                <w:rFonts w:eastAsia="微软雅黑"/>
                <w:color w:val="000000"/>
                <w:kern w:val="0"/>
                <w:sz w:val="18"/>
                <w:szCs w:val="18"/>
              </w:rPr>
              <w:t>无</w:t>
            </w:r>
          </w:p>
        </w:tc>
      </w:tr>
      <w:tr w:rsidR="002A41B6" w:rsidTr="00026D1D">
        <w:trPr>
          <w:trHeight w:val="285"/>
        </w:trPr>
        <w:tc>
          <w:tcPr>
            <w:tcW w:w="3939" w:type="pct"/>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合计</w:t>
            </w:r>
          </w:p>
        </w:tc>
        <w:tc>
          <w:tcPr>
            <w:tcW w:w="315" w:type="pct"/>
            <w:gridSpan w:val="2"/>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100</w:t>
            </w:r>
          </w:p>
        </w:tc>
        <w:tc>
          <w:tcPr>
            <w:tcW w:w="384" w:type="pct"/>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right"/>
              <w:rPr>
                <w:rFonts w:eastAsia="微软雅黑"/>
                <w:color w:val="000000"/>
                <w:kern w:val="0"/>
                <w:sz w:val="18"/>
                <w:szCs w:val="18"/>
              </w:rPr>
            </w:pPr>
            <w:r>
              <w:rPr>
                <w:rFonts w:eastAsia="微软雅黑"/>
                <w:color w:val="000000"/>
                <w:kern w:val="0"/>
                <w:sz w:val="18"/>
                <w:szCs w:val="18"/>
              </w:rPr>
              <w:t>100</w:t>
            </w:r>
          </w:p>
        </w:tc>
        <w:tc>
          <w:tcPr>
            <w:tcW w:w="362" w:type="pct"/>
            <w:tcBorders>
              <w:top w:val="nil"/>
              <w:left w:val="nil"/>
              <w:bottom w:val="single" w:sz="4" w:space="0" w:color="000000"/>
              <w:right w:val="single" w:sz="4" w:space="0" w:color="000000"/>
            </w:tcBorders>
            <w:shd w:val="clear" w:color="auto" w:fill="auto"/>
            <w:vAlign w:val="center"/>
          </w:tcPr>
          <w:p w:rsidR="002A41B6" w:rsidRDefault="002A41B6" w:rsidP="002C6759">
            <w:pPr>
              <w:widowControl/>
              <w:jc w:val="left"/>
              <w:rPr>
                <w:rFonts w:eastAsia="微软雅黑"/>
                <w:color w:val="000000"/>
                <w:kern w:val="0"/>
                <w:sz w:val="18"/>
                <w:szCs w:val="18"/>
              </w:rPr>
            </w:pPr>
            <w:r>
              <w:rPr>
                <w:rFonts w:eastAsia="微软雅黑"/>
                <w:color w:val="000000"/>
                <w:kern w:val="0"/>
                <w:sz w:val="18"/>
                <w:szCs w:val="18"/>
              </w:rPr>
              <w:t>无</w:t>
            </w:r>
          </w:p>
        </w:tc>
      </w:tr>
      <w:tr w:rsidR="002A41B6" w:rsidTr="00026D1D">
        <w:trPr>
          <w:trHeight w:val="604"/>
        </w:trPr>
        <w:tc>
          <w:tcPr>
            <w:tcW w:w="727" w:type="pct"/>
            <w:gridSpan w:val="2"/>
            <w:tcBorders>
              <w:top w:val="nil"/>
              <w:left w:val="single" w:sz="4" w:space="0" w:color="000000"/>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评价结论</w:t>
            </w:r>
          </w:p>
        </w:tc>
        <w:tc>
          <w:tcPr>
            <w:tcW w:w="4273" w:type="pct"/>
            <w:gridSpan w:val="17"/>
            <w:tcBorders>
              <w:top w:val="single" w:sz="4" w:space="0" w:color="000000"/>
              <w:left w:val="nil"/>
              <w:bottom w:val="single" w:sz="4" w:space="0" w:color="000000"/>
              <w:right w:val="single" w:sz="4" w:space="0" w:color="000000"/>
            </w:tcBorders>
            <w:shd w:val="clear" w:color="000000" w:fill="FFFFFF"/>
            <w:vAlign w:val="center"/>
          </w:tcPr>
          <w:p w:rsidR="002A41B6" w:rsidRDefault="002A41B6" w:rsidP="002C6759">
            <w:pPr>
              <w:widowControl/>
              <w:jc w:val="left"/>
              <w:rPr>
                <w:rFonts w:eastAsia="微软雅黑"/>
                <w:color w:val="000000"/>
                <w:kern w:val="0"/>
                <w:sz w:val="18"/>
                <w:szCs w:val="18"/>
              </w:rPr>
            </w:pPr>
            <w:r>
              <w:rPr>
                <w:rFonts w:eastAsia="微软雅黑"/>
                <w:color w:val="000000"/>
                <w:kern w:val="0"/>
                <w:sz w:val="18"/>
                <w:szCs w:val="18"/>
              </w:rPr>
              <w:t>项目自评总分</w:t>
            </w:r>
            <w:r>
              <w:rPr>
                <w:rFonts w:eastAsia="微软雅黑"/>
                <w:color w:val="000000"/>
                <w:kern w:val="0"/>
                <w:sz w:val="18"/>
                <w:szCs w:val="18"/>
              </w:rPr>
              <w:t>100</w:t>
            </w:r>
            <w:r>
              <w:rPr>
                <w:rFonts w:eastAsia="微软雅黑"/>
                <w:color w:val="000000"/>
                <w:kern w:val="0"/>
                <w:sz w:val="18"/>
                <w:szCs w:val="18"/>
              </w:rPr>
              <w:t>分，发挥示范带动作用，全面建成上下联动、内外协同、标准规范、管用高效的</w:t>
            </w:r>
            <w:proofErr w:type="gramStart"/>
            <w:r>
              <w:rPr>
                <w:rFonts w:eastAsia="微软雅黑"/>
                <w:color w:val="000000"/>
                <w:kern w:val="0"/>
                <w:sz w:val="18"/>
                <w:szCs w:val="18"/>
              </w:rPr>
              <w:t>医</w:t>
            </w:r>
            <w:proofErr w:type="gramEnd"/>
            <w:r>
              <w:rPr>
                <w:rFonts w:eastAsia="微软雅黑"/>
                <w:color w:val="000000"/>
                <w:kern w:val="0"/>
                <w:sz w:val="18"/>
                <w:szCs w:val="18"/>
              </w:rPr>
              <w:t>保支付新机制，努力形成可复制、可借鉴的改革示范经验，促进医疗保障和医药服务高质量协同发展。</w:t>
            </w:r>
          </w:p>
        </w:tc>
      </w:tr>
      <w:tr w:rsidR="002A41B6" w:rsidTr="00026D1D">
        <w:trPr>
          <w:trHeight w:val="574"/>
        </w:trPr>
        <w:tc>
          <w:tcPr>
            <w:tcW w:w="727" w:type="pct"/>
            <w:gridSpan w:val="2"/>
            <w:tcBorders>
              <w:top w:val="nil"/>
              <w:left w:val="single" w:sz="4" w:space="0" w:color="000000"/>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存在问题</w:t>
            </w:r>
          </w:p>
        </w:tc>
        <w:tc>
          <w:tcPr>
            <w:tcW w:w="4273" w:type="pct"/>
            <w:gridSpan w:val="17"/>
            <w:tcBorders>
              <w:top w:val="single" w:sz="4" w:space="0" w:color="000000"/>
              <w:left w:val="nil"/>
              <w:bottom w:val="single" w:sz="4" w:space="0" w:color="000000"/>
              <w:right w:val="single" w:sz="4" w:space="0" w:color="000000"/>
            </w:tcBorders>
            <w:shd w:val="clear" w:color="auto" w:fill="auto"/>
            <w:vAlign w:val="center"/>
          </w:tcPr>
          <w:p w:rsidR="002A41B6" w:rsidRDefault="002A41B6" w:rsidP="002C6759">
            <w:pPr>
              <w:widowControl/>
              <w:jc w:val="left"/>
              <w:rPr>
                <w:rFonts w:eastAsia="微软雅黑"/>
                <w:color w:val="000000"/>
                <w:kern w:val="0"/>
                <w:sz w:val="18"/>
                <w:szCs w:val="18"/>
              </w:rPr>
            </w:pPr>
            <w:r>
              <w:rPr>
                <w:rFonts w:eastAsia="微软雅黑"/>
                <w:color w:val="000000"/>
                <w:kern w:val="0"/>
                <w:sz w:val="18"/>
                <w:szCs w:val="18"/>
              </w:rPr>
              <w:t>无</w:t>
            </w:r>
          </w:p>
        </w:tc>
      </w:tr>
      <w:tr w:rsidR="002A41B6" w:rsidTr="00026D1D">
        <w:trPr>
          <w:trHeight w:val="282"/>
        </w:trPr>
        <w:tc>
          <w:tcPr>
            <w:tcW w:w="727" w:type="pct"/>
            <w:gridSpan w:val="2"/>
            <w:tcBorders>
              <w:top w:val="nil"/>
              <w:left w:val="single" w:sz="4" w:space="0" w:color="000000"/>
              <w:bottom w:val="single" w:sz="4" w:space="0" w:color="000000"/>
              <w:right w:val="single" w:sz="4" w:space="0" w:color="000000"/>
            </w:tcBorders>
            <w:shd w:val="clear" w:color="auto" w:fill="auto"/>
            <w:vAlign w:val="center"/>
          </w:tcPr>
          <w:p w:rsidR="002A41B6" w:rsidRDefault="002A41B6" w:rsidP="002C6759">
            <w:pPr>
              <w:widowControl/>
              <w:jc w:val="center"/>
              <w:rPr>
                <w:rFonts w:eastAsia="微软雅黑"/>
                <w:color w:val="000000"/>
                <w:kern w:val="0"/>
                <w:sz w:val="18"/>
                <w:szCs w:val="18"/>
              </w:rPr>
            </w:pPr>
            <w:r>
              <w:rPr>
                <w:rFonts w:eastAsia="微软雅黑"/>
                <w:color w:val="000000"/>
                <w:kern w:val="0"/>
                <w:sz w:val="18"/>
                <w:szCs w:val="18"/>
              </w:rPr>
              <w:t>改进措施</w:t>
            </w:r>
          </w:p>
        </w:tc>
        <w:tc>
          <w:tcPr>
            <w:tcW w:w="4273" w:type="pct"/>
            <w:gridSpan w:val="17"/>
            <w:tcBorders>
              <w:top w:val="single" w:sz="4" w:space="0" w:color="000000"/>
              <w:left w:val="nil"/>
              <w:bottom w:val="single" w:sz="4" w:space="0" w:color="000000"/>
              <w:right w:val="single" w:sz="4" w:space="0" w:color="000000"/>
            </w:tcBorders>
            <w:shd w:val="clear" w:color="auto" w:fill="auto"/>
            <w:vAlign w:val="center"/>
          </w:tcPr>
          <w:p w:rsidR="002A41B6" w:rsidRDefault="002A41B6" w:rsidP="002C6759">
            <w:pPr>
              <w:widowControl/>
              <w:jc w:val="left"/>
              <w:rPr>
                <w:rFonts w:eastAsia="微软雅黑"/>
                <w:color w:val="000000"/>
                <w:kern w:val="0"/>
                <w:sz w:val="18"/>
                <w:szCs w:val="18"/>
              </w:rPr>
            </w:pPr>
            <w:r>
              <w:rPr>
                <w:rFonts w:eastAsia="微软雅黑"/>
                <w:color w:val="000000"/>
                <w:kern w:val="0"/>
                <w:sz w:val="18"/>
                <w:szCs w:val="18"/>
              </w:rPr>
              <w:t>无</w:t>
            </w:r>
          </w:p>
        </w:tc>
      </w:tr>
      <w:tr w:rsidR="002A41B6" w:rsidTr="00026D1D">
        <w:trPr>
          <w:trHeight w:val="285"/>
        </w:trPr>
        <w:tc>
          <w:tcPr>
            <w:tcW w:w="28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A41B6" w:rsidRDefault="002A41B6" w:rsidP="002C6759">
            <w:pPr>
              <w:widowControl/>
              <w:jc w:val="left"/>
              <w:rPr>
                <w:rFonts w:eastAsia="微软雅黑"/>
                <w:color w:val="000000"/>
                <w:kern w:val="0"/>
                <w:sz w:val="18"/>
                <w:szCs w:val="18"/>
              </w:rPr>
            </w:pPr>
            <w:r>
              <w:rPr>
                <w:rFonts w:eastAsia="微软雅黑"/>
                <w:color w:val="000000"/>
                <w:kern w:val="0"/>
                <w:sz w:val="18"/>
                <w:szCs w:val="18"/>
              </w:rPr>
              <w:t>项目负责人：</w:t>
            </w:r>
            <w:proofErr w:type="gramStart"/>
            <w:r>
              <w:rPr>
                <w:rFonts w:eastAsia="微软雅黑"/>
                <w:color w:val="000000"/>
                <w:kern w:val="0"/>
                <w:sz w:val="18"/>
                <w:szCs w:val="18"/>
              </w:rPr>
              <w:t>孟瑶</w:t>
            </w:r>
            <w:proofErr w:type="gramEnd"/>
          </w:p>
        </w:tc>
        <w:tc>
          <w:tcPr>
            <w:tcW w:w="2200" w:type="pct"/>
            <w:gridSpan w:val="11"/>
            <w:tcBorders>
              <w:top w:val="single" w:sz="4" w:space="0" w:color="000000"/>
              <w:left w:val="nil"/>
              <w:bottom w:val="single" w:sz="4" w:space="0" w:color="000000"/>
              <w:right w:val="single" w:sz="4" w:space="0" w:color="000000"/>
            </w:tcBorders>
            <w:shd w:val="clear" w:color="auto" w:fill="auto"/>
            <w:vAlign w:val="center"/>
          </w:tcPr>
          <w:p w:rsidR="002A41B6" w:rsidRDefault="002A41B6" w:rsidP="002C6759">
            <w:pPr>
              <w:widowControl/>
              <w:jc w:val="left"/>
              <w:rPr>
                <w:rFonts w:eastAsia="微软雅黑"/>
                <w:color w:val="000000"/>
                <w:kern w:val="0"/>
                <w:sz w:val="18"/>
                <w:szCs w:val="18"/>
              </w:rPr>
            </w:pPr>
            <w:r>
              <w:rPr>
                <w:rFonts w:eastAsia="微软雅黑"/>
                <w:color w:val="000000"/>
                <w:kern w:val="0"/>
                <w:sz w:val="18"/>
                <w:szCs w:val="18"/>
              </w:rPr>
              <w:t>财务负责人：</w:t>
            </w:r>
            <w:proofErr w:type="gramStart"/>
            <w:r>
              <w:rPr>
                <w:rFonts w:eastAsia="微软雅黑"/>
                <w:color w:val="000000"/>
                <w:kern w:val="0"/>
                <w:sz w:val="18"/>
                <w:szCs w:val="18"/>
              </w:rPr>
              <w:t>张峻源</w:t>
            </w:r>
            <w:proofErr w:type="gramEnd"/>
          </w:p>
        </w:tc>
      </w:tr>
      <w:tr w:rsidR="002A41B6" w:rsidTr="00026D1D">
        <w:trPr>
          <w:trHeight w:val="285"/>
        </w:trPr>
        <w:tc>
          <w:tcPr>
            <w:tcW w:w="727" w:type="pct"/>
            <w:gridSpan w:val="2"/>
            <w:tcBorders>
              <w:top w:val="nil"/>
              <w:left w:val="nil"/>
              <w:bottom w:val="nil"/>
              <w:right w:val="nil"/>
            </w:tcBorders>
            <w:shd w:val="clear" w:color="auto" w:fill="auto"/>
            <w:vAlign w:val="center"/>
          </w:tcPr>
          <w:p w:rsidR="002A41B6" w:rsidRDefault="002A41B6" w:rsidP="002C6759">
            <w:pPr>
              <w:widowControl/>
              <w:jc w:val="left"/>
              <w:rPr>
                <w:rFonts w:eastAsia="微软雅黑"/>
                <w:kern w:val="0"/>
                <w:sz w:val="18"/>
                <w:szCs w:val="18"/>
              </w:rPr>
            </w:pPr>
          </w:p>
        </w:tc>
        <w:tc>
          <w:tcPr>
            <w:tcW w:w="681" w:type="pct"/>
            <w:gridSpan w:val="2"/>
            <w:tcBorders>
              <w:top w:val="nil"/>
              <w:left w:val="nil"/>
              <w:bottom w:val="nil"/>
              <w:right w:val="nil"/>
            </w:tcBorders>
            <w:shd w:val="clear" w:color="auto" w:fill="auto"/>
            <w:vAlign w:val="center"/>
          </w:tcPr>
          <w:p w:rsidR="002A41B6" w:rsidRDefault="002A41B6" w:rsidP="002C6759">
            <w:pPr>
              <w:widowControl/>
              <w:jc w:val="left"/>
              <w:rPr>
                <w:rFonts w:eastAsia="微软雅黑"/>
                <w:kern w:val="0"/>
                <w:sz w:val="18"/>
                <w:szCs w:val="18"/>
              </w:rPr>
            </w:pPr>
          </w:p>
        </w:tc>
        <w:tc>
          <w:tcPr>
            <w:tcW w:w="544" w:type="pct"/>
            <w:gridSpan w:val="2"/>
            <w:tcBorders>
              <w:top w:val="nil"/>
              <w:left w:val="nil"/>
              <w:bottom w:val="nil"/>
              <w:right w:val="nil"/>
            </w:tcBorders>
            <w:shd w:val="clear" w:color="auto" w:fill="auto"/>
            <w:vAlign w:val="center"/>
          </w:tcPr>
          <w:p w:rsidR="002A41B6" w:rsidRDefault="002A41B6" w:rsidP="002C6759">
            <w:pPr>
              <w:widowControl/>
              <w:jc w:val="left"/>
              <w:rPr>
                <w:rFonts w:eastAsia="微软雅黑"/>
                <w:kern w:val="0"/>
                <w:sz w:val="18"/>
                <w:szCs w:val="18"/>
              </w:rPr>
            </w:pPr>
          </w:p>
        </w:tc>
        <w:tc>
          <w:tcPr>
            <w:tcW w:w="704" w:type="pct"/>
            <w:tcBorders>
              <w:top w:val="nil"/>
              <w:left w:val="nil"/>
              <w:bottom w:val="nil"/>
              <w:right w:val="nil"/>
            </w:tcBorders>
            <w:shd w:val="clear" w:color="auto" w:fill="auto"/>
            <w:vAlign w:val="center"/>
          </w:tcPr>
          <w:p w:rsidR="002A41B6" w:rsidRDefault="002A41B6" w:rsidP="002C6759">
            <w:pPr>
              <w:widowControl/>
              <w:jc w:val="left"/>
              <w:rPr>
                <w:rFonts w:eastAsia="微软雅黑"/>
                <w:kern w:val="0"/>
                <w:sz w:val="18"/>
                <w:szCs w:val="18"/>
              </w:rPr>
            </w:pPr>
          </w:p>
        </w:tc>
        <w:tc>
          <w:tcPr>
            <w:tcW w:w="144" w:type="pct"/>
            <w:tcBorders>
              <w:top w:val="nil"/>
              <w:left w:val="nil"/>
              <w:bottom w:val="nil"/>
              <w:right w:val="nil"/>
            </w:tcBorders>
            <w:shd w:val="clear" w:color="auto" w:fill="auto"/>
            <w:vAlign w:val="center"/>
          </w:tcPr>
          <w:p w:rsidR="002A41B6" w:rsidRDefault="002A41B6" w:rsidP="002C6759">
            <w:pPr>
              <w:widowControl/>
              <w:jc w:val="left"/>
              <w:rPr>
                <w:rFonts w:eastAsia="微软雅黑"/>
                <w:kern w:val="0"/>
                <w:sz w:val="18"/>
                <w:szCs w:val="18"/>
              </w:rPr>
            </w:pPr>
          </w:p>
        </w:tc>
        <w:tc>
          <w:tcPr>
            <w:tcW w:w="509" w:type="pct"/>
            <w:gridSpan w:val="2"/>
            <w:tcBorders>
              <w:top w:val="nil"/>
              <w:left w:val="nil"/>
              <w:bottom w:val="nil"/>
              <w:right w:val="nil"/>
            </w:tcBorders>
            <w:shd w:val="clear" w:color="auto" w:fill="auto"/>
            <w:vAlign w:val="center"/>
          </w:tcPr>
          <w:p w:rsidR="002A41B6" w:rsidRDefault="002A41B6" w:rsidP="002C6759">
            <w:pPr>
              <w:widowControl/>
              <w:jc w:val="left"/>
              <w:rPr>
                <w:rFonts w:eastAsia="微软雅黑"/>
                <w:kern w:val="0"/>
                <w:sz w:val="18"/>
                <w:szCs w:val="18"/>
              </w:rPr>
            </w:pPr>
          </w:p>
        </w:tc>
        <w:tc>
          <w:tcPr>
            <w:tcW w:w="145" w:type="pct"/>
            <w:gridSpan w:val="2"/>
            <w:tcBorders>
              <w:top w:val="nil"/>
              <w:left w:val="nil"/>
              <w:bottom w:val="nil"/>
              <w:right w:val="nil"/>
            </w:tcBorders>
            <w:shd w:val="clear" w:color="auto" w:fill="auto"/>
            <w:vAlign w:val="center"/>
          </w:tcPr>
          <w:p w:rsidR="002A41B6" w:rsidRDefault="002A41B6" w:rsidP="002C6759">
            <w:pPr>
              <w:widowControl/>
              <w:jc w:val="left"/>
              <w:rPr>
                <w:rFonts w:eastAsia="微软雅黑"/>
                <w:kern w:val="0"/>
                <w:sz w:val="18"/>
                <w:szCs w:val="18"/>
              </w:rPr>
            </w:pPr>
          </w:p>
        </w:tc>
        <w:tc>
          <w:tcPr>
            <w:tcW w:w="394" w:type="pct"/>
            <w:gridSpan w:val="2"/>
            <w:tcBorders>
              <w:top w:val="nil"/>
              <w:left w:val="nil"/>
              <w:bottom w:val="nil"/>
              <w:right w:val="nil"/>
            </w:tcBorders>
            <w:shd w:val="clear" w:color="auto" w:fill="auto"/>
            <w:vAlign w:val="center"/>
          </w:tcPr>
          <w:p w:rsidR="002A41B6" w:rsidRDefault="002A41B6" w:rsidP="002C6759">
            <w:pPr>
              <w:widowControl/>
              <w:jc w:val="left"/>
              <w:rPr>
                <w:rFonts w:eastAsia="微软雅黑"/>
                <w:kern w:val="0"/>
                <w:sz w:val="18"/>
                <w:szCs w:val="18"/>
              </w:rPr>
            </w:pPr>
          </w:p>
        </w:tc>
        <w:tc>
          <w:tcPr>
            <w:tcW w:w="203" w:type="pct"/>
            <w:gridSpan w:val="2"/>
            <w:tcBorders>
              <w:top w:val="nil"/>
              <w:left w:val="nil"/>
              <w:bottom w:val="nil"/>
              <w:right w:val="nil"/>
            </w:tcBorders>
            <w:shd w:val="clear" w:color="auto" w:fill="auto"/>
            <w:vAlign w:val="center"/>
          </w:tcPr>
          <w:p w:rsidR="002A41B6" w:rsidRDefault="002A41B6" w:rsidP="002C6759">
            <w:pPr>
              <w:widowControl/>
              <w:jc w:val="left"/>
              <w:rPr>
                <w:rFonts w:eastAsia="微软雅黑"/>
                <w:kern w:val="0"/>
                <w:sz w:val="18"/>
                <w:szCs w:val="18"/>
              </w:rPr>
            </w:pPr>
          </w:p>
        </w:tc>
        <w:tc>
          <w:tcPr>
            <w:tcW w:w="203" w:type="pct"/>
            <w:tcBorders>
              <w:top w:val="nil"/>
              <w:left w:val="nil"/>
              <w:bottom w:val="nil"/>
              <w:right w:val="nil"/>
            </w:tcBorders>
            <w:shd w:val="clear" w:color="auto" w:fill="auto"/>
            <w:vAlign w:val="center"/>
          </w:tcPr>
          <w:p w:rsidR="002A41B6" w:rsidRDefault="002A41B6" w:rsidP="002C6759">
            <w:pPr>
              <w:widowControl/>
              <w:jc w:val="left"/>
              <w:rPr>
                <w:rFonts w:eastAsia="微软雅黑"/>
                <w:kern w:val="0"/>
                <w:sz w:val="18"/>
                <w:szCs w:val="18"/>
              </w:rPr>
            </w:pPr>
          </w:p>
        </w:tc>
        <w:tc>
          <w:tcPr>
            <w:tcW w:w="746" w:type="pct"/>
            <w:gridSpan w:val="2"/>
            <w:tcBorders>
              <w:top w:val="nil"/>
              <w:left w:val="nil"/>
              <w:bottom w:val="nil"/>
              <w:right w:val="nil"/>
            </w:tcBorders>
            <w:shd w:val="clear" w:color="auto" w:fill="auto"/>
            <w:vAlign w:val="center"/>
          </w:tcPr>
          <w:p w:rsidR="002A41B6" w:rsidRDefault="002A41B6" w:rsidP="002C6759">
            <w:pPr>
              <w:widowControl/>
              <w:jc w:val="left"/>
              <w:rPr>
                <w:rFonts w:eastAsia="微软雅黑"/>
                <w:kern w:val="0"/>
                <w:sz w:val="18"/>
                <w:szCs w:val="18"/>
              </w:rPr>
            </w:pPr>
          </w:p>
        </w:tc>
      </w:tr>
    </w:tbl>
    <w:p w:rsidR="002A41B6" w:rsidRDefault="002A41B6" w:rsidP="002A41B6">
      <w:pPr>
        <w:tabs>
          <w:tab w:val="left" w:pos="417"/>
        </w:tabs>
        <w:spacing w:line="600" w:lineRule="exact"/>
        <w:jc w:val="left"/>
        <w:rPr>
          <w:rFonts w:eastAsia="黑体"/>
          <w:sz w:val="32"/>
          <w:szCs w:val="32"/>
        </w:rPr>
      </w:pPr>
      <w:r>
        <w:rPr>
          <w:rFonts w:eastAsia="黑体"/>
          <w:sz w:val="32"/>
          <w:szCs w:val="32"/>
        </w:rPr>
        <w:t>附件</w:t>
      </w:r>
      <w:r>
        <w:rPr>
          <w:rFonts w:eastAsia="黑体"/>
          <w:sz w:val="32"/>
          <w:szCs w:val="32"/>
        </w:rPr>
        <w:t>4</w:t>
      </w:r>
    </w:p>
    <w:tbl>
      <w:tblPr>
        <w:tblW w:w="5000" w:type="pct"/>
        <w:tblCellMar>
          <w:left w:w="0" w:type="dxa"/>
          <w:right w:w="0" w:type="dxa"/>
        </w:tblCellMar>
        <w:tblLook w:val="04A0"/>
      </w:tblPr>
      <w:tblGrid>
        <w:gridCol w:w="682"/>
        <w:gridCol w:w="2037"/>
        <w:gridCol w:w="1751"/>
        <w:gridCol w:w="2244"/>
        <w:gridCol w:w="523"/>
        <w:gridCol w:w="1662"/>
        <w:gridCol w:w="523"/>
        <w:gridCol w:w="1085"/>
        <w:gridCol w:w="504"/>
        <w:gridCol w:w="445"/>
        <w:gridCol w:w="2532"/>
      </w:tblGrid>
      <w:tr w:rsidR="002A41B6" w:rsidTr="002C6759">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852CC7" w:rsidP="002C6759">
            <w:pPr>
              <w:widowControl/>
              <w:jc w:val="center"/>
              <w:textAlignment w:val="center"/>
              <w:rPr>
                <w:rFonts w:eastAsia="黑体"/>
                <w:b/>
                <w:color w:val="000000"/>
                <w:sz w:val="30"/>
                <w:szCs w:val="30"/>
              </w:rPr>
            </w:pPr>
            <w:r>
              <w:rPr>
                <w:rFonts w:eastAsia="黑体"/>
                <w:b/>
                <w:color w:val="000000"/>
                <w:kern w:val="0"/>
                <w:sz w:val="30"/>
                <w:szCs w:val="30"/>
              </w:rPr>
              <w:t>单位</w:t>
            </w:r>
            <w:r w:rsidR="002A41B6">
              <w:rPr>
                <w:rFonts w:eastAsia="黑体"/>
                <w:b/>
                <w:color w:val="000000"/>
                <w:kern w:val="0"/>
                <w:sz w:val="30"/>
                <w:szCs w:val="30"/>
              </w:rPr>
              <w:t>预算项目支出绩效自评表（</w:t>
            </w:r>
            <w:r w:rsidR="002A41B6">
              <w:rPr>
                <w:rFonts w:eastAsia="黑体"/>
                <w:b/>
                <w:color w:val="000000"/>
                <w:kern w:val="0"/>
                <w:sz w:val="30"/>
                <w:szCs w:val="30"/>
              </w:rPr>
              <w:t>2024</w:t>
            </w:r>
            <w:r w:rsidR="002A41B6">
              <w:rPr>
                <w:rFonts w:eastAsia="黑体"/>
                <w:b/>
                <w:color w:val="000000"/>
                <w:kern w:val="0"/>
                <w:sz w:val="30"/>
                <w:szCs w:val="30"/>
              </w:rPr>
              <w:t>年度）</w:t>
            </w:r>
          </w:p>
        </w:tc>
      </w:tr>
      <w:tr w:rsidR="002A41B6" w:rsidTr="002A41B6">
        <w:trPr>
          <w:trHeight w:val="285"/>
        </w:trPr>
        <w:tc>
          <w:tcPr>
            <w:tcW w:w="97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项目名称</w:t>
            </w:r>
          </w:p>
        </w:tc>
        <w:tc>
          <w:tcPr>
            <w:tcW w:w="4028" w:type="pct"/>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51040023T000008702888-</w:t>
            </w:r>
            <w:r>
              <w:rPr>
                <w:rFonts w:eastAsia="微软雅黑"/>
                <w:color w:val="000000"/>
                <w:kern w:val="0"/>
                <w:sz w:val="18"/>
                <w:szCs w:val="18"/>
              </w:rPr>
              <w:t>入驻政务中心单位租金、</w:t>
            </w:r>
            <w:proofErr w:type="gramStart"/>
            <w:r>
              <w:rPr>
                <w:rFonts w:eastAsia="微软雅黑"/>
                <w:color w:val="000000"/>
                <w:kern w:val="0"/>
                <w:sz w:val="18"/>
                <w:szCs w:val="18"/>
              </w:rPr>
              <w:t>物业费</w:t>
            </w:r>
            <w:proofErr w:type="gramEnd"/>
            <w:r>
              <w:rPr>
                <w:rFonts w:eastAsia="微软雅黑"/>
                <w:color w:val="000000"/>
                <w:kern w:val="0"/>
                <w:sz w:val="18"/>
                <w:szCs w:val="18"/>
              </w:rPr>
              <w:t>及水电费</w:t>
            </w:r>
          </w:p>
        </w:tc>
      </w:tr>
      <w:tr w:rsidR="002A41B6" w:rsidTr="002A41B6">
        <w:trPr>
          <w:trHeight w:val="514"/>
        </w:trPr>
        <w:tc>
          <w:tcPr>
            <w:tcW w:w="97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主管</w:t>
            </w:r>
            <w:r w:rsidR="00852CC7">
              <w:rPr>
                <w:rFonts w:eastAsia="微软雅黑"/>
                <w:color w:val="000000"/>
                <w:kern w:val="0"/>
                <w:sz w:val="18"/>
                <w:szCs w:val="18"/>
              </w:rPr>
              <w:t>单位</w:t>
            </w:r>
          </w:p>
        </w:tc>
        <w:tc>
          <w:tcPr>
            <w:tcW w:w="2396"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攀枝花市医疗保障事务中心</w:t>
            </w:r>
          </w:p>
        </w:tc>
        <w:tc>
          <w:tcPr>
            <w:tcW w:w="388" w:type="pct"/>
            <w:tcBorders>
              <w:top w:val="nil"/>
              <w:left w:val="nil"/>
              <w:bottom w:val="nil"/>
              <w:right w:val="nil"/>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实施单位</w:t>
            </w:r>
            <w:r>
              <w:rPr>
                <w:rFonts w:eastAsia="微软雅黑"/>
                <w:color w:val="000000"/>
                <w:kern w:val="0"/>
                <w:sz w:val="18"/>
                <w:szCs w:val="18"/>
              </w:rPr>
              <w:t xml:space="preserve"> </w:t>
            </w:r>
            <w:r>
              <w:rPr>
                <w:rFonts w:eastAsia="微软雅黑"/>
                <w:color w:val="000000"/>
                <w:kern w:val="0"/>
                <w:sz w:val="18"/>
                <w:szCs w:val="18"/>
              </w:rPr>
              <w:t>（盖章）</w:t>
            </w:r>
          </w:p>
        </w:tc>
        <w:tc>
          <w:tcPr>
            <w:tcW w:w="1244"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攀枝花市医疗保障事务中心</w:t>
            </w:r>
          </w:p>
        </w:tc>
      </w:tr>
      <w:tr w:rsidR="002A41B6" w:rsidTr="002A41B6">
        <w:trPr>
          <w:trHeight w:val="285"/>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项目基本情况</w:t>
            </w:r>
          </w:p>
        </w:tc>
        <w:tc>
          <w:tcPr>
            <w:tcW w:w="7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1.</w:t>
            </w:r>
            <w:r>
              <w:rPr>
                <w:rFonts w:eastAsia="微软雅黑"/>
                <w:color w:val="000000"/>
                <w:kern w:val="0"/>
                <w:sz w:val="18"/>
                <w:szCs w:val="18"/>
              </w:rPr>
              <w:t>项目年度目标完成情况</w:t>
            </w:r>
          </w:p>
        </w:tc>
        <w:tc>
          <w:tcPr>
            <w:tcW w:w="2396"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项目年度目标</w:t>
            </w:r>
          </w:p>
        </w:tc>
        <w:tc>
          <w:tcPr>
            <w:tcW w:w="1632"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年度目标完成情况</w:t>
            </w:r>
          </w:p>
        </w:tc>
      </w:tr>
      <w:tr w:rsidR="002A41B6" w:rsidTr="002A41B6">
        <w:trPr>
          <w:trHeight w:val="709"/>
        </w:trPr>
        <w:tc>
          <w:tcPr>
            <w:tcW w:w="2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rPr>
                <w:rFonts w:eastAsia="微软雅黑"/>
                <w:color w:val="000000"/>
                <w:sz w:val="18"/>
                <w:szCs w:val="18"/>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rPr>
                <w:rFonts w:eastAsia="微软雅黑"/>
                <w:color w:val="000000"/>
                <w:sz w:val="18"/>
                <w:szCs w:val="18"/>
              </w:rPr>
            </w:pPr>
          </w:p>
        </w:tc>
        <w:tc>
          <w:tcPr>
            <w:tcW w:w="2396"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按时缴纳入驻政务中心单位租金、</w:t>
            </w:r>
            <w:proofErr w:type="gramStart"/>
            <w:r>
              <w:rPr>
                <w:rFonts w:eastAsia="微软雅黑"/>
                <w:color w:val="000000"/>
                <w:kern w:val="0"/>
                <w:sz w:val="18"/>
                <w:szCs w:val="18"/>
              </w:rPr>
              <w:t>物业费</w:t>
            </w:r>
            <w:proofErr w:type="gramEnd"/>
            <w:r>
              <w:rPr>
                <w:rFonts w:eastAsia="微软雅黑"/>
                <w:color w:val="000000"/>
                <w:kern w:val="0"/>
                <w:sz w:val="18"/>
                <w:szCs w:val="18"/>
              </w:rPr>
              <w:t>及水电费</w:t>
            </w:r>
          </w:p>
        </w:tc>
        <w:tc>
          <w:tcPr>
            <w:tcW w:w="1632"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完成支付</w:t>
            </w:r>
            <w:r>
              <w:rPr>
                <w:rFonts w:eastAsia="微软雅黑"/>
                <w:color w:val="000000"/>
                <w:kern w:val="0"/>
                <w:sz w:val="18"/>
                <w:szCs w:val="18"/>
              </w:rPr>
              <w:t>2023</w:t>
            </w:r>
            <w:r>
              <w:rPr>
                <w:rFonts w:eastAsia="微软雅黑"/>
                <w:color w:val="000000"/>
                <w:kern w:val="0"/>
                <w:sz w:val="18"/>
                <w:szCs w:val="18"/>
              </w:rPr>
              <w:t>年入驻政务中心单位租金、</w:t>
            </w:r>
            <w:proofErr w:type="gramStart"/>
            <w:r>
              <w:rPr>
                <w:rFonts w:eastAsia="微软雅黑"/>
                <w:color w:val="000000"/>
                <w:kern w:val="0"/>
                <w:sz w:val="18"/>
                <w:szCs w:val="18"/>
              </w:rPr>
              <w:t>物业费</w:t>
            </w:r>
            <w:proofErr w:type="gramEnd"/>
            <w:r>
              <w:rPr>
                <w:rFonts w:eastAsia="微软雅黑"/>
                <w:color w:val="000000"/>
                <w:kern w:val="0"/>
                <w:sz w:val="18"/>
                <w:szCs w:val="18"/>
              </w:rPr>
              <w:t>及水电费</w:t>
            </w:r>
            <w:r>
              <w:rPr>
                <w:rFonts w:eastAsia="微软雅黑"/>
                <w:color w:val="000000"/>
                <w:kern w:val="0"/>
                <w:sz w:val="18"/>
                <w:szCs w:val="18"/>
              </w:rPr>
              <w:t>75.11</w:t>
            </w:r>
            <w:r>
              <w:rPr>
                <w:rFonts w:eastAsia="微软雅黑"/>
                <w:color w:val="000000"/>
                <w:kern w:val="0"/>
                <w:sz w:val="18"/>
                <w:szCs w:val="18"/>
              </w:rPr>
              <w:t>万元，保障单位正常运转</w:t>
            </w:r>
          </w:p>
        </w:tc>
      </w:tr>
      <w:tr w:rsidR="002A41B6" w:rsidTr="002A41B6">
        <w:trPr>
          <w:trHeight w:val="694"/>
        </w:trPr>
        <w:tc>
          <w:tcPr>
            <w:tcW w:w="2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rPr>
                <w:rFonts w:eastAsia="微软雅黑"/>
                <w:color w:val="000000"/>
                <w:sz w:val="18"/>
                <w:szCs w:val="18"/>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2.</w:t>
            </w:r>
            <w:r>
              <w:rPr>
                <w:rFonts w:eastAsia="微软雅黑"/>
                <w:color w:val="000000"/>
                <w:kern w:val="0"/>
                <w:sz w:val="18"/>
                <w:szCs w:val="18"/>
              </w:rPr>
              <w:t>项目实施内容及过程概述</w:t>
            </w:r>
          </w:p>
        </w:tc>
        <w:tc>
          <w:tcPr>
            <w:tcW w:w="4028" w:type="pct"/>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按规定足额缴纳入驻政务中心单位租金、</w:t>
            </w:r>
            <w:proofErr w:type="gramStart"/>
            <w:r>
              <w:rPr>
                <w:rFonts w:eastAsia="微软雅黑"/>
                <w:color w:val="000000"/>
                <w:kern w:val="0"/>
                <w:sz w:val="18"/>
                <w:szCs w:val="18"/>
              </w:rPr>
              <w:t>物业费</w:t>
            </w:r>
            <w:proofErr w:type="gramEnd"/>
            <w:r>
              <w:rPr>
                <w:rFonts w:eastAsia="微软雅黑"/>
                <w:color w:val="000000"/>
                <w:kern w:val="0"/>
                <w:sz w:val="18"/>
                <w:szCs w:val="18"/>
              </w:rPr>
              <w:t>及水电费</w:t>
            </w:r>
          </w:p>
        </w:tc>
      </w:tr>
      <w:tr w:rsidR="002A41B6" w:rsidTr="002A41B6">
        <w:trPr>
          <w:trHeight w:val="360"/>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预算执行情况（</w:t>
            </w:r>
            <w:r>
              <w:rPr>
                <w:rFonts w:eastAsia="微软雅黑"/>
                <w:color w:val="000000"/>
                <w:kern w:val="0"/>
                <w:sz w:val="18"/>
                <w:szCs w:val="18"/>
              </w:rPr>
              <w:t>10</w:t>
            </w:r>
            <w:r>
              <w:rPr>
                <w:rFonts w:eastAsia="微软雅黑"/>
                <w:color w:val="000000"/>
                <w:kern w:val="0"/>
                <w:sz w:val="18"/>
                <w:szCs w:val="18"/>
              </w:rPr>
              <w:t>分）</w:t>
            </w: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年度预算数（万元）</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年初预算</w:t>
            </w: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调整</w:t>
            </w:r>
            <w:proofErr w:type="gramStart"/>
            <w:r>
              <w:rPr>
                <w:rFonts w:eastAsia="微软雅黑"/>
                <w:color w:val="000000"/>
                <w:kern w:val="0"/>
                <w:sz w:val="18"/>
                <w:szCs w:val="18"/>
              </w:rPr>
              <w:t>后预算</w:t>
            </w:r>
            <w:proofErr w:type="gramEnd"/>
            <w:r>
              <w:rPr>
                <w:rFonts w:eastAsia="微软雅黑"/>
                <w:color w:val="000000"/>
                <w:kern w:val="0"/>
                <w:sz w:val="18"/>
                <w:szCs w:val="18"/>
              </w:rPr>
              <w:t>数</w:t>
            </w:r>
          </w:p>
        </w:tc>
        <w:tc>
          <w:tcPr>
            <w:tcW w:w="96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预算执行数</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预算执行率</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权重</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得分</w:t>
            </w:r>
          </w:p>
        </w:tc>
        <w:tc>
          <w:tcPr>
            <w:tcW w:w="9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原因</w:t>
            </w:r>
          </w:p>
        </w:tc>
      </w:tr>
      <w:tr w:rsidR="002A41B6" w:rsidTr="002A41B6">
        <w:trPr>
          <w:trHeight w:val="345"/>
        </w:trPr>
        <w:tc>
          <w:tcPr>
            <w:tcW w:w="2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总额</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75.11</w:t>
            </w: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75.11</w:t>
            </w:r>
          </w:p>
        </w:tc>
        <w:tc>
          <w:tcPr>
            <w:tcW w:w="96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75.11</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100.00%</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9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390"/>
        </w:trPr>
        <w:tc>
          <w:tcPr>
            <w:tcW w:w="2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其中：财政资金</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75.11</w:t>
            </w: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75.11</w:t>
            </w:r>
          </w:p>
        </w:tc>
        <w:tc>
          <w:tcPr>
            <w:tcW w:w="96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75.11</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100.00%</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9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left"/>
              <w:rPr>
                <w:rFonts w:eastAsia="微软雅黑"/>
                <w:color w:val="000000"/>
                <w:sz w:val="18"/>
                <w:szCs w:val="18"/>
              </w:rPr>
            </w:pPr>
          </w:p>
        </w:tc>
      </w:tr>
      <w:tr w:rsidR="002A41B6" w:rsidTr="002A41B6">
        <w:trPr>
          <w:trHeight w:val="409"/>
        </w:trPr>
        <w:tc>
          <w:tcPr>
            <w:tcW w:w="2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财政专户管理资金</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96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9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left"/>
              <w:rPr>
                <w:rFonts w:eastAsia="微软雅黑"/>
                <w:color w:val="000000"/>
                <w:sz w:val="18"/>
                <w:szCs w:val="18"/>
              </w:rPr>
            </w:pPr>
          </w:p>
        </w:tc>
      </w:tr>
      <w:tr w:rsidR="002A41B6" w:rsidTr="002A41B6">
        <w:trPr>
          <w:trHeight w:val="360"/>
        </w:trPr>
        <w:tc>
          <w:tcPr>
            <w:tcW w:w="2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单位资金</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96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0.00%</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9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left"/>
              <w:rPr>
                <w:rFonts w:eastAsia="微软雅黑"/>
                <w:color w:val="000000"/>
                <w:sz w:val="18"/>
                <w:szCs w:val="18"/>
              </w:rPr>
            </w:pPr>
          </w:p>
        </w:tc>
      </w:tr>
      <w:tr w:rsidR="002A41B6" w:rsidTr="002A41B6">
        <w:trPr>
          <w:trHeight w:val="338"/>
        </w:trPr>
        <w:tc>
          <w:tcPr>
            <w:tcW w:w="2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其他资金</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i/>
                <w:color w:val="000000"/>
                <w:sz w:val="18"/>
                <w:szCs w:val="18"/>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i/>
                <w:color w:val="000000"/>
                <w:sz w:val="18"/>
                <w:szCs w:val="18"/>
              </w:rPr>
            </w:pPr>
          </w:p>
        </w:tc>
        <w:tc>
          <w:tcPr>
            <w:tcW w:w="96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i/>
                <w:color w:val="000000"/>
                <w:sz w:val="18"/>
                <w:szCs w:val="18"/>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i/>
                <w:color w:val="000000"/>
                <w:sz w:val="18"/>
                <w:szCs w:val="18"/>
              </w:rPr>
            </w:pP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9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left"/>
              <w:rPr>
                <w:rFonts w:eastAsia="微软雅黑"/>
                <w:color w:val="000000"/>
                <w:sz w:val="18"/>
                <w:szCs w:val="18"/>
              </w:rPr>
            </w:pPr>
          </w:p>
        </w:tc>
      </w:tr>
      <w:tr w:rsidR="002A41B6" w:rsidTr="002A41B6">
        <w:trPr>
          <w:trHeight w:val="454"/>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绩效指标（</w:t>
            </w:r>
            <w:r>
              <w:rPr>
                <w:rFonts w:eastAsia="微软雅黑"/>
                <w:color w:val="000000"/>
                <w:kern w:val="0"/>
                <w:sz w:val="18"/>
                <w:szCs w:val="18"/>
              </w:rPr>
              <w:t>90</w:t>
            </w:r>
            <w:r>
              <w:rPr>
                <w:rFonts w:eastAsia="微软雅黑"/>
                <w:color w:val="000000"/>
                <w:kern w:val="0"/>
                <w:sz w:val="18"/>
                <w:szCs w:val="18"/>
              </w:rPr>
              <w:t>分）</w:t>
            </w: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一级指标</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二级指标</w:t>
            </w: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三级指标</w:t>
            </w:r>
          </w:p>
        </w:tc>
        <w:tc>
          <w:tcPr>
            <w:tcW w:w="1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指标性质</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指标值</w:t>
            </w:r>
          </w:p>
        </w:tc>
        <w:tc>
          <w:tcPr>
            <w:tcW w:w="1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度量单位</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完成值</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权重</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得分</w:t>
            </w:r>
          </w:p>
        </w:tc>
        <w:tc>
          <w:tcPr>
            <w:tcW w:w="9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未完成原因分析</w:t>
            </w:r>
          </w:p>
        </w:tc>
      </w:tr>
      <w:tr w:rsidR="002A41B6" w:rsidTr="002A41B6">
        <w:trPr>
          <w:trHeight w:val="454"/>
        </w:trPr>
        <w:tc>
          <w:tcPr>
            <w:tcW w:w="2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产出指标</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数量指标</w:t>
            </w: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入驻政务中心单位租金、</w:t>
            </w:r>
            <w:proofErr w:type="gramStart"/>
            <w:r>
              <w:rPr>
                <w:rFonts w:eastAsia="微软雅黑"/>
                <w:color w:val="000000"/>
                <w:kern w:val="0"/>
                <w:sz w:val="18"/>
                <w:szCs w:val="18"/>
              </w:rPr>
              <w:t>物业费</w:t>
            </w:r>
            <w:proofErr w:type="gramEnd"/>
            <w:r>
              <w:rPr>
                <w:rFonts w:eastAsia="微软雅黑"/>
                <w:color w:val="000000"/>
                <w:kern w:val="0"/>
                <w:sz w:val="18"/>
                <w:szCs w:val="18"/>
              </w:rPr>
              <w:t>及水电费</w:t>
            </w:r>
          </w:p>
        </w:tc>
        <w:tc>
          <w:tcPr>
            <w:tcW w:w="1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751058.4</w:t>
            </w:r>
          </w:p>
        </w:tc>
        <w:tc>
          <w:tcPr>
            <w:tcW w:w="1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元</w:t>
            </w:r>
            <w:r>
              <w:rPr>
                <w:rFonts w:eastAsia="微软雅黑"/>
                <w:color w:val="000000"/>
                <w:kern w:val="0"/>
                <w:sz w:val="18"/>
                <w:szCs w:val="18"/>
              </w:rPr>
              <w:t>/</w:t>
            </w:r>
            <w:r>
              <w:rPr>
                <w:rFonts w:eastAsia="微软雅黑"/>
                <w:color w:val="000000"/>
                <w:kern w:val="0"/>
                <w:sz w:val="18"/>
                <w:szCs w:val="18"/>
              </w:rPr>
              <w:t>年</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751058.4</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338"/>
        </w:trPr>
        <w:tc>
          <w:tcPr>
            <w:tcW w:w="2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质量指标</w:t>
            </w: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按时缴纳</w:t>
            </w:r>
          </w:p>
        </w:tc>
        <w:tc>
          <w:tcPr>
            <w:tcW w:w="1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定性</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w:t>
            </w:r>
          </w:p>
        </w:tc>
        <w:tc>
          <w:tcPr>
            <w:tcW w:w="1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年</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15</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15</w:t>
            </w:r>
          </w:p>
        </w:tc>
        <w:tc>
          <w:tcPr>
            <w:tcW w:w="9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338"/>
        </w:trPr>
        <w:tc>
          <w:tcPr>
            <w:tcW w:w="2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时效指标</w:t>
            </w: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完成时间</w:t>
            </w:r>
          </w:p>
        </w:tc>
        <w:tc>
          <w:tcPr>
            <w:tcW w:w="1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w:t>
            </w:r>
          </w:p>
        </w:tc>
        <w:tc>
          <w:tcPr>
            <w:tcW w:w="1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年</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15</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15</w:t>
            </w:r>
          </w:p>
        </w:tc>
        <w:tc>
          <w:tcPr>
            <w:tcW w:w="9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338"/>
        </w:trPr>
        <w:tc>
          <w:tcPr>
            <w:tcW w:w="2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效益指标</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社会效益指标</w:t>
            </w: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保障单位正常运行</w:t>
            </w:r>
          </w:p>
        </w:tc>
        <w:tc>
          <w:tcPr>
            <w:tcW w:w="1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定性</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良好</w:t>
            </w:r>
          </w:p>
        </w:tc>
        <w:tc>
          <w:tcPr>
            <w:tcW w:w="1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年</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良好</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20</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20</w:t>
            </w:r>
          </w:p>
        </w:tc>
        <w:tc>
          <w:tcPr>
            <w:tcW w:w="9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454"/>
        </w:trPr>
        <w:tc>
          <w:tcPr>
            <w:tcW w:w="2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满意度指标</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服务对象满意度指标</w:t>
            </w: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物业公司</w:t>
            </w:r>
          </w:p>
        </w:tc>
        <w:tc>
          <w:tcPr>
            <w:tcW w:w="1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定性</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满意</w:t>
            </w:r>
          </w:p>
        </w:tc>
        <w:tc>
          <w:tcPr>
            <w:tcW w:w="1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年</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满意</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w:t>
            </w:r>
          </w:p>
        </w:tc>
        <w:tc>
          <w:tcPr>
            <w:tcW w:w="9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454"/>
        </w:trPr>
        <w:tc>
          <w:tcPr>
            <w:tcW w:w="2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jc w:val="center"/>
              <w:rPr>
                <w:rFonts w:eastAsia="微软雅黑"/>
                <w:color w:val="000000"/>
                <w:sz w:val="18"/>
                <w:szCs w:val="18"/>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成本指标</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经济成本指标</w:t>
            </w:r>
          </w:p>
        </w:tc>
        <w:tc>
          <w:tcPr>
            <w:tcW w:w="80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入驻政务中心单位租金、</w:t>
            </w:r>
            <w:proofErr w:type="gramStart"/>
            <w:r>
              <w:rPr>
                <w:rFonts w:eastAsia="微软雅黑"/>
                <w:color w:val="000000"/>
                <w:kern w:val="0"/>
                <w:sz w:val="18"/>
                <w:szCs w:val="18"/>
              </w:rPr>
              <w:t>物业费</w:t>
            </w:r>
            <w:proofErr w:type="gramEnd"/>
            <w:r>
              <w:rPr>
                <w:rFonts w:eastAsia="微软雅黑"/>
                <w:color w:val="000000"/>
                <w:kern w:val="0"/>
                <w:sz w:val="18"/>
                <w:szCs w:val="18"/>
              </w:rPr>
              <w:t>及水电费</w:t>
            </w:r>
          </w:p>
        </w:tc>
        <w:tc>
          <w:tcPr>
            <w:tcW w:w="1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751058.4</w:t>
            </w:r>
          </w:p>
        </w:tc>
        <w:tc>
          <w:tcPr>
            <w:tcW w:w="1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元</w:t>
            </w:r>
            <w:r>
              <w:rPr>
                <w:rFonts w:eastAsia="微软雅黑"/>
                <w:color w:val="000000"/>
                <w:kern w:val="0"/>
                <w:sz w:val="18"/>
                <w:szCs w:val="18"/>
              </w:rPr>
              <w:t>/</w:t>
            </w:r>
            <w:r>
              <w:rPr>
                <w:rFonts w:eastAsia="微软雅黑"/>
                <w:color w:val="000000"/>
                <w:kern w:val="0"/>
                <w:sz w:val="18"/>
                <w:szCs w:val="18"/>
              </w:rPr>
              <w:t>年</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751058.4</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20</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20</w:t>
            </w:r>
          </w:p>
        </w:tc>
        <w:tc>
          <w:tcPr>
            <w:tcW w:w="9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285"/>
        </w:trPr>
        <w:tc>
          <w:tcPr>
            <w:tcW w:w="3756" w:type="pct"/>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合计</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100</w:t>
            </w:r>
          </w:p>
        </w:tc>
        <w:tc>
          <w:tcPr>
            <w:tcW w:w="1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right"/>
              <w:textAlignment w:val="center"/>
              <w:rPr>
                <w:rFonts w:eastAsia="微软雅黑"/>
                <w:color w:val="000000"/>
                <w:sz w:val="18"/>
                <w:szCs w:val="18"/>
              </w:rPr>
            </w:pPr>
            <w:r>
              <w:rPr>
                <w:rFonts w:eastAsia="微软雅黑"/>
                <w:color w:val="000000"/>
                <w:kern w:val="0"/>
                <w:sz w:val="18"/>
                <w:szCs w:val="18"/>
              </w:rPr>
              <w:t>100</w:t>
            </w:r>
          </w:p>
        </w:tc>
        <w:tc>
          <w:tcPr>
            <w:tcW w:w="9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无</w:t>
            </w:r>
          </w:p>
        </w:tc>
      </w:tr>
      <w:tr w:rsidR="002A41B6" w:rsidTr="002A41B6">
        <w:trPr>
          <w:trHeight w:val="604"/>
        </w:trPr>
        <w:tc>
          <w:tcPr>
            <w:tcW w:w="24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评价结论</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项目自评总分</w:t>
            </w:r>
            <w:r>
              <w:rPr>
                <w:rFonts w:eastAsia="微软雅黑"/>
                <w:color w:val="000000"/>
                <w:kern w:val="0"/>
                <w:sz w:val="18"/>
                <w:szCs w:val="18"/>
              </w:rPr>
              <w:t>100</w:t>
            </w:r>
            <w:r>
              <w:rPr>
                <w:rFonts w:eastAsia="微软雅黑"/>
                <w:color w:val="000000"/>
                <w:kern w:val="0"/>
                <w:sz w:val="18"/>
                <w:szCs w:val="18"/>
              </w:rPr>
              <w:t>分，按规定足额缴纳入驻政务中心单位租金、</w:t>
            </w:r>
            <w:proofErr w:type="gramStart"/>
            <w:r>
              <w:rPr>
                <w:rFonts w:eastAsia="微软雅黑"/>
                <w:color w:val="000000"/>
                <w:kern w:val="0"/>
                <w:sz w:val="18"/>
                <w:szCs w:val="18"/>
              </w:rPr>
              <w:t>物业费</w:t>
            </w:r>
            <w:proofErr w:type="gramEnd"/>
            <w:r>
              <w:rPr>
                <w:rFonts w:eastAsia="微软雅黑"/>
                <w:color w:val="000000"/>
                <w:kern w:val="0"/>
                <w:sz w:val="18"/>
                <w:szCs w:val="18"/>
              </w:rPr>
              <w:t>及水电费，保障单位正常运转。</w:t>
            </w:r>
          </w:p>
        </w:tc>
      </w:tr>
      <w:tr w:rsidR="002A41B6" w:rsidTr="002A41B6">
        <w:trPr>
          <w:trHeight w:val="574"/>
        </w:trPr>
        <w:tc>
          <w:tcPr>
            <w:tcW w:w="24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存在问题</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iCs/>
                <w:color w:val="000000"/>
                <w:sz w:val="18"/>
                <w:szCs w:val="18"/>
              </w:rPr>
            </w:pPr>
            <w:r>
              <w:rPr>
                <w:rFonts w:eastAsia="微软雅黑"/>
                <w:iCs/>
                <w:color w:val="000000"/>
                <w:kern w:val="0"/>
                <w:sz w:val="18"/>
                <w:szCs w:val="18"/>
              </w:rPr>
              <w:t>无</w:t>
            </w:r>
          </w:p>
        </w:tc>
      </w:tr>
      <w:tr w:rsidR="002A41B6" w:rsidTr="002A41B6">
        <w:trPr>
          <w:trHeight w:val="634"/>
        </w:trPr>
        <w:tc>
          <w:tcPr>
            <w:tcW w:w="24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center"/>
              <w:textAlignment w:val="center"/>
              <w:rPr>
                <w:rFonts w:eastAsia="微软雅黑"/>
                <w:color w:val="000000"/>
                <w:sz w:val="18"/>
                <w:szCs w:val="18"/>
              </w:rPr>
            </w:pPr>
            <w:r>
              <w:rPr>
                <w:rFonts w:eastAsia="微软雅黑"/>
                <w:color w:val="000000"/>
                <w:kern w:val="0"/>
                <w:sz w:val="18"/>
                <w:szCs w:val="18"/>
              </w:rPr>
              <w:t>改进措施</w:t>
            </w:r>
          </w:p>
        </w:tc>
        <w:tc>
          <w:tcPr>
            <w:tcW w:w="4756" w:type="pct"/>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iCs/>
                <w:color w:val="000000"/>
                <w:sz w:val="18"/>
                <w:szCs w:val="18"/>
              </w:rPr>
            </w:pPr>
            <w:r>
              <w:rPr>
                <w:rFonts w:eastAsia="微软雅黑"/>
                <w:iCs/>
                <w:color w:val="000000"/>
                <w:kern w:val="0"/>
                <w:sz w:val="18"/>
                <w:szCs w:val="18"/>
              </w:rPr>
              <w:t>无</w:t>
            </w:r>
          </w:p>
        </w:tc>
      </w:tr>
      <w:tr w:rsidR="002A41B6" w:rsidTr="002A41B6">
        <w:trPr>
          <w:trHeight w:val="285"/>
        </w:trPr>
        <w:tc>
          <w:tcPr>
            <w:tcW w:w="2587"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项目负责人：</w:t>
            </w:r>
            <w:proofErr w:type="gramStart"/>
            <w:r>
              <w:rPr>
                <w:rFonts w:eastAsia="微软雅黑"/>
                <w:color w:val="000000"/>
                <w:kern w:val="0"/>
                <w:sz w:val="18"/>
                <w:szCs w:val="18"/>
              </w:rPr>
              <w:t>徐豪瑞</w:t>
            </w:r>
            <w:proofErr w:type="gramEnd"/>
          </w:p>
        </w:tc>
        <w:tc>
          <w:tcPr>
            <w:tcW w:w="2413"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41B6" w:rsidRDefault="002A41B6" w:rsidP="002C6759">
            <w:pPr>
              <w:widowControl/>
              <w:jc w:val="left"/>
              <w:textAlignment w:val="center"/>
              <w:rPr>
                <w:rFonts w:eastAsia="微软雅黑"/>
                <w:color w:val="000000"/>
                <w:sz w:val="18"/>
                <w:szCs w:val="18"/>
              </w:rPr>
            </w:pPr>
            <w:r>
              <w:rPr>
                <w:rFonts w:eastAsia="微软雅黑"/>
                <w:color w:val="000000"/>
                <w:kern w:val="0"/>
                <w:sz w:val="18"/>
                <w:szCs w:val="18"/>
              </w:rPr>
              <w:t>财务负责人：</w:t>
            </w:r>
            <w:proofErr w:type="gramStart"/>
            <w:r>
              <w:rPr>
                <w:rFonts w:eastAsia="微软雅黑"/>
                <w:color w:val="000000"/>
                <w:kern w:val="0"/>
                <w:sz w:val="18"/>
                <w:szCs w:val="18"/>
              </w:rPr>
              <w:t>张峻源</w:t>
            </w:r>
            <w:proofErr w:type="gramEnd"/>
          </w:p>
        </w:tc>
      </w:tr>
    </w:tbl>
    <w:p w:rsidR="00577046" w:rsidRPr="002A41B6" w:rsidRDefault="00577046" w:rsidP="002A41B6">
      <w:pPr>
        <w:tabs>
          <w:tab w:val="left" w:pos="417"/>
        </w:tabs>
        <w:spacing w:line="600" w:lineRule="exact"/>
        <w:jc w:val="left"/>
        <w:rPr>
          <w:rFonts w:eastAsia="黑体"/>
          <w:sz w:val="32"/>
          <w:szCs w:val="32"/>
        </w:rPr>
        <w:sectPr w:rsidR="00577046" w:rsidRPr="002A41B6">
          <w:pgSz w:w="16838" w:h="11906" w:orient="landscape"/>
          <w:pgMar w:top="1800" w:right="1440" w:bottom="1800" w:left="1440" w:header="851" w:footer="992" w:gutter="0"/>
          <w:pgNumType w:fmt="numberInDash"/>
          <w:cols w:space="425"/>
          <w:docGrid w:type="lines" w:linePitch="312"/>
        </w:sectPr>
      </w:pPr>
    </w:p>
    <w:p w:rsidR="00577046" w:rsidRDefault="002C6759">
      <w:pPr>
        <w:widowControl/>
        <w:jc w:val="center"/>
        <w:rPr>
          <w:rFonts w:eastAsia="仿宋"/>
        </w:rPr>
      </w:pPr>
      <w:bookmarkStart w:id="48" w:name="_Toc15396618"/>
      <w:r>
        <w:rPr>
          <w:rFonts w:eastAsia="黑体"/>
          <w:sz w:val="44"/>
          <w:szCs w:val="44"/>
        </w:rPr>
        <w:t>第</w:t>
      </w:r>
      <w:r>
        <w:rPr>
          <w:rStyle w:val="1Char"/>
          <w:rFonts w:eastAsia="黑体"/>
          <w:b w:val="0"/>
        </w:rPr>
        <w:t>五部分</w:t>
      </w:r>
      <w:r>
        <w:rPr>
          <w:rStyle w:val="1Char"/>
          <w:rFonts w:eastAsia="黑体"/>
          <w:b w:val="0"/>
        </w:rPr>
        <w:t xml:space="preserve"> </w:t>
      </w:r>
      <w:r>
        <w:rPr>
          <w:rStyle w:val="1Char"/>
          <w:rFonts w:eastAsia="黑体"/>
          <w:b w:val="0"/>
        </w:rPr>
        <w:t>附表</w:t>
      </w:r>
      <w:bookmarkStart w:id="49" w:name="_Toc15396619"/>
      <w:bookmarkEnd w:id="47"/>
      <w:bookmarkEnd w:id="48"/>
    </w:p>
    <w:p w:rsidR="00577046" w:rsidRDefault="00577046">
      <w:pPr>
        <w:pStyle w:val="21"/>
        <w:adjustRightInd w:val="0"/>
        <w:snapToGrid w:val="0"/>
        <w:spacing w:line="560" w:lineRule="exact"/>
        <w:jc w:val="left"/>
        <w:rPr>
          <w:rFonts w:eastAsia="仿宋_GB2312"/>
          <w:sz w:val="32"/>
          <w:szCs w:val="32"/>
        </w:rPr>
      </w:pPr>
    </w:p>
    <w:p w:rsidR="00577046" w:rsidRDefault="002C6759">
      <w:pPr>
        <w:pStyle w:val="21"/>
        <w:adjustRightInd w:val="0"/>
        <w:snapToGrid w:val="0"/>
        <w:spacing w:line="560" w:lineRule="exact"/>
        <w:jc w:val="left"/>
        <w:rPr>
          <w:rFonts w:eastAsia="仿宋_GB2312"/>
          <w:sz w:val="32"/>
          <w:szCs w:val="32"/>
        </w:rPr>
      </w:pPr>
      <w:r>
        <w:rPr>
          <w:rFonts w:eastAsia="仿宋_GB2312"/>
          <w:sz w:val="32"/>
          <w:szCs w:val="32"/>
        </w:rPr>
        <w:t>一、收入支出决算总表</w:t>
      </w:r>
      <w:bookmarkEnd w:id="49"/>
    </w:p>
    <w:p w:rsidR="00577046" w:rsidRDefault="002C6759">
      <w:pPr>
        <w:pStyle w:val="21"/>
        <w:adjustRightInd w:val="0"/>
        <w:snapToGrid w:val="0"/>
        <w:spacing w:line="560" w:lineRule="exact"/>
        <w:jc w:val="left"/>
        <w:rPr>
          <w:rFonts w:eastAsia="仿宋_GB2312"/>
          <w:sz w:val="32"/>
          <w:szCs w:val="32"/>
        </w:rPr>
      </w:pPr>
      <w:bookmarkStart w:id="50" w:name="_Toc15396620"/>
      <w:r>
        <w:rPr>
          <w:rFonts w:eastAsia="仿宋_GB2312"/>
          <w:sz w:val="32"/>
          <w:szCs w:val="32"/>
        </w:rPr>
        <w:t>二、收入决算表</w:t>
      </w:r>
      <w:bookmarkEnd w:id="50"/>
    </w:p>
    <w:p w:rsidR="00577046" w:rsidRDefault="002C6759">
      <w:pPr>
        <w:pStyle w:val="21"/>
        <w:adjustRightInd w:val="0"/>
        <w:snapToGrid w:val="0"/>
        <w:spacing w:line="560" w:lineRule="exact"/>
        <w:jc w:val="left"/>
        <w:rPr>
          <w:rFonts w:eastAsia="仿宋_GB2312"/>
          <w:sz w:val="32"/>
          <w:szCs w:val="32"/>
        </w:rPr>
      </w:pPr>
      <w:bookmarkStart w:id="51" w:name="_Toc15396621"/>
      <w:r>
        <w:rPr>
          <w:rFonts w:eastAsia="仿宋_GB2312"/>
          <w:sz w:val="32"/>
          <w:szCs w:val="32"/>
        </w:rPr>
        <w:t>三、支出决算表</w:t>
      </w:r>
      <w:bookmarkEnd w:id="51"/>
    </w:p>
    <w:p w:rsidR="00577046" w:rsidRDefault="002C6759">
      <w:pPr>
        <w:pStyle w:val="21"/>
        <w:adjustRightInd w:val="0"/>
        <w:snapToGrid w:val="0"/>
        <w:spacing w:line="560" w:lineRule="exact"/>
        <w:jc w:val="left"/>
        <w:rPr>
          <w:rFonts w:eastAsia="仿宋_GB2312"/>
          <w:sz w:val="32"/>
          <w:szCs w:val="32"/>
        </w:rPr>
      </w:pPr>
      <w:bookmarkStart w:id="52" w:name="_Toc15396622"/>
      <w:r>
        <w:rPr>
          <w:rFonts w:eastAsia="仿宋_GB2312"/>
          <w:sz w:val="32"/>
          <w:szCs w:val="32"/>
        </w:rPr>
        <w:t>四、财政拨款收入支出决算总表</w:t>
      </w:r>
      <w:bookmarkEnd w:id="52"/>
    </w:p>
    <w:p w:rsidR="00577046" w:rsidRDefault="002C6759">
      <w:pPr>
        <w:pStyle w:val="21"/>
        <w:adjustRightInd w:val="0"/>
        <w:snapToGrid w:val="0"/>
        <w:spacing w:line="560" w:lineRule="exact"/>
        <w:jc w:val="left"/>
        <w:rPr>
          <w:rFonts w:eastAsia="仿宋_GB2312"/>
          <w:sz w:val="32"/>
          <w:szCs w:val="32"/>
        </w:rPr>
      </w:pPr>
      <w:bookmarkStart w:id="53" w:name="_Toc15396623"/>
      <w:r>
        <w:rPr>
          <w:rFonts w:eastAsia="仿宋_GB2312"/>
          <w:sz w:val="32"/>
          <w:szCs w:val="32"/>
        </w:rPr>
        <w:t>五、财政拨款支出决算明细表</w:t>
      </w:r>
      <w:bookmarkStart w:id="54" w:name="_Toc15396624"/>
      <w:bookmarkEnd w:id="53"/>
    </w:p>
    <w:p w:rsidR="00577046" w:rsidRDefault="002C6759">
      <w:pPr>
        <w:pStyle w:val="21"/>
        <w:adjustRightInd w:val="0"/>
        <w:snapToGrid w:val="0"/>
        <w:spacing w:line="560" w:lineRule="exact"/>
        <w:jc w:val="left"/>
        <w:rPr>
          <w:rFonts w:eastAsia="仿宋_GB2312"/>
          <w:sz w:val="32"/>
          <w:szCs w:val="32"/>
        </w:rPr>
      </w:pPr>
      <w:r>
        <w:rPr>
          <w:rFonts w:eastAsia="仿宋_GB2312"/>
          <w:sz w:val="32"/>
          <w:szCs w:val="32"/>
        </w:rPr>
        <w:t>六、一般公共预算财政拨款支出决算表</w:t>
      </w:r>
      <w:bookmarkEnd w:id="54"/>
    </w:p>
    <w:p w:rsidR="00577046" w:rsidRDefault="002C6759">
      <w:pPr>
        <w:pStyle w:val="21"/>
        <w:adjustRightInd w:val="0"/>
        <w:snapToGrid w:val="0"/>
        <w:spacing w:line="560" w:lineRule="exact"/>
        <w:jc w:val="left"/>
        <w:rPr>
          <w:rFonts w:eastAsia="仿宋_GB2312"/>
          <w:sz w:val="32"/>
          <w:szCs w:val="32"/>
        </w:rPr>
      </w:pPr>
      <w:bookmarkStart w:id="55" w:name="_Toc15396625"/>
      <w:r>
        <w:rPr>
          <w:rFonts w:eastAsia="仿宋_GB2312"/>
          <w:sz w:val="32"/>
          <w:szCs w:val="32"/>
        </w:rPr>
        <w:t>七、一般公共预算财政拨款支出决算明细表</w:t>
      </w:r>
      <w:bookmarkEnd w:id="55"/>
    </w:p>
    <w:p w:rsidR="00577046" w:rsidRDefault="002C6759">
      <w:pPr>
        <w:pStyle w:val="21"/>
        <w:adjustRightInd w:val="0"/>
        <w:snapToGrid w:val="0"/>
        <w:spacing w:line="560" w:lineRule="exact"/>
        <w:jc w:val="left"/>
        <w:rPr>
          <w:rFonts w:eastAsia="仿宋_GB2312"/>
          <w:sz w:val="32"/>
          <w:szCs w:val="32"/>
        </w:rPr>
      </w:pPr>
      <w:bookmarkStart w:id="56" w:name="_Toc15396626"/>
      <w:r>
        <w:rPr>
          <w:rFonts w:eastAsia="仿宋_GB2312"/>
          <w:sz w:val="32"/>
          <w:szCs w:val="32"/>
        </w:rPr>
        <w:t>八、一般公共预算财政拨款基本支出决算表</w:t>
      </w:r>
      <w:bookmarkEnd w:id="56"/>
    </w:p>
    <w:p w:rsidR="00577046" w:rsidRDefault="002C6759">
      <w:pPr>
        <w:pStyle w:val="21"/>
        <w:adjustRightInd w:val="0"/>
        <w:snapToGrid w:val="0"/>
        <w:spacing w:line="560" w:lineRule="exact"/>
        <w:jc w:val="left"/>
        <w:rPr>
          <w:rFonts w:eastAsia="仿宋_GB2312"/>
          <w:sz w:val="32"/>
          <w:szCs w:val="32"/>
        </w:rPr>
      </w:pPr>
      <w:bookmarkStart w:id="57" w:name="_Toc15396627"/>
      <w:r>
        <w:rPr>
          <w:rFonts w:eastAsia="仿宋_GB2312"/>
          <w:sz w:val="32"/>
          <w:szCs w:val="32"/>
        </w:rPr>
        <w:t>九、一般公共预算财政拨款项目支出决算表</w:t>
      </w:r>
      <w:bookmarkEnd w:id="57"/>
    </w:p>
    <w:p w:rsidR="00577046" w:rsidRDefault="002C6759">
      <w:pPr>
        <w:pStyle w:val="21"/>
        <w:adjustRightInd w:val="0"/>
        <w:snapToGrid w:val="0"/>
        <w:spacing w:line="560" w:lineRule="exact"/>
        <w:jc w:val="left"/>
        <w:rPr>
          <w:rFonts w:eastAsia="仿宋_GB2312"/>
          <w:sz w:val="32"/>
          <w:szCs w:val="32"/>
        </w:rPr>
      </w:pPr>
      <w:bookmarkStart w:id="58" w:name="_Toc15396628"/>
      <w:r>
        <w:rPr>
          <w:rFonts w:eastAsia="仿宋_GB2312"/>
          <w:sz w:val="32"/>
          <w:szCs w:val="32"/>
        </w:rPr>
        <w:t>十、</w:t>
      </w:r>
      <w:bookmarkEnd w:id="58"/>
      <w:r>
        <w:rPr>
          <w:rFonts w:eastAsia="仿宋_GB2312"/>
          <w:sz w:val="32"/>
          <w:szCs w:val="32"/>
        </w:rPr>
        <w:t>政府性基金预算财政拨款收入支出决算表</w:t>
      </w:r>
    </w:p>
    <w:p w:rsidR="00577046" w:rsidRDefault="002C6759">
      <w:pPr>
        <w:pStyle w:val="21"/>
        <w:adjustRightInd w:val="0"/>
        <w:snapToGrid w:val="0"/>
        <w:spacing w:line="560" w:lineRule="exact"/>
        <w:jc w:val="left"/>
        <w:rPr>
          <w:rFonts w:eastAsia="仿宋_GB2312"/>
          <w:sz w:val="32"/>
          <w:szCs w:val="32"/>
        </w:rPr>
      </w:pPr>
      <w:bookmarkStart w:id="59" w:name="_Toc15396629"/>
      <w:r>
        <w:rPr>
          <w:rFonts w:eastAsia="仿宋_GB2312"/>
          <w:sz w:val="32"/>
          <w:szCs w:val="32"/>
        </w:rPr>
        <w:t>十一、</w:t>
      </w:r>
      <w:bookmarkEnd w:id="59"/>
      <w:r>
        <w:rPr>
          <w:rFonts w:eastAsia="仿宋_GB2312"/>
          <w:sz w:val="32"/>
          <w:szCs w:val="32"/>
        </w:rPr>
        <w:t>国有资本经营预算财政拨款收入支出决算表</w:t>
      </w:r>
    </w:p>
    <w:p w:rsidR="00577046" w:rsidRDefault="002C6759">
      <w:pPr>
        <w:pStyle w:val="21"/>
        <w:adjustRightInd w:val="0"/>
        <w:snapToGrid w:val="0"/>
        <w:spacing w:line="560" w:lineRule="exact"/>
        <w:jc w:val="left"/>
        <w:rPr>
          <w:rFonts w:eastAsia="仿宋_GB2312"/>
          <w:sz w:val="32"/>
          <w:szCs w:val="32"/>
        </w:rPr>
      </w:pPr>
      <w:bookmarkStart w:id="60" w:name="_Toc15396630"/>
      <w:r>
        <w:rPr>
          <w:rFonts w:eastAsia="仿宋_GB2312"/>
          <w:sz w:val="32"/>
          <w:szCs w:val="32"/>
        </w:rPr>
        <w:t>十二、</w:t>
      </w:r>
      <w:bookmarkEnd w:id="60"/>
      <w:r>
        <w:rPr>
          <w:rFonts w:eastAsia="仿宋_GB2312"/>
          <w:sz w:val="32"/>
          <w:szCs w:val="32"/>
        </w:rPr>
        <w:t>国有资本经营预算财政拨款支出决算表</w:t>
      </w:r>
    </w:p>
    <w:p w:rsidR="00577046" w:rsidRDefault="002C6759">
      <w:pPr>
        <w:pStyle w:val="21"/>
        <w:adjustRightInd w:val="0"/>
        <w:snapToGrid w:val="0"/>
        <w:spacing w:line="560" w:lineRule="exact"/>
        <w:jc w:val="left"/>
        <w:rPr>
          <w:rFonts w:eastAsia="仿宋_GB2312"/>
          <w:sz w:val="32"/>
          <w:szCs w:val="32"/>
        </w:rPr>
      </w:pPr>
      <w:bookmarkStart w:id="61" w:name="_Toc15396631"/>
      <w:r>
        <w:rPr>
          <w:rFonts w:eastAsia="仿宋_GB2312"/>
          <w:sz w:val="32"/>
          <w:szCs w:val="32"/>
        </w:rPr>
        <w:t>十三、</w:t>
      </w:r>
      <w:bookmarkEnd w:id="61"/>
      <w:r>
        <w:rPr>
          <w:rFonts w:eastAsia="仿宋_GB2312"/>
          <w:sz w:val="32"/>
          <w:szCs w:val="32"/>
        </w:rPr>
        <w:t>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经费支出决算表</w:t>
      </w:r>
    </w:p>
    <w:p w:rsidR="00577046" w:rsidRDefault="00577046">
      <w:pPr>
        <w:rPr>
          <w:rFonts w:eastAsia="仿宋_GB2312"/>
        </w:rPr>
      </w:pPr>
    </w:p>
    <w:sectPr w:rsidR="00577046" w:rsidSect="00577046">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49E" w:rsidRDefault="0008649E" w:rsidP="00577046">
      <w:r>
        <w:separator/>
      </w:r>
    </w:p>
  </w:endnote>
  <w:endnote w:type="continuationSeparator" w:id="1">
    <w:p w:rsidR="0008649E" w:rsidRDefault="0008649E" w:rsidP="00577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40001" w:csb1="00000000"/>
  </w:font>
  <w:font w:name="方正小标宋简体">
    <w:altName w:val="Arial Unicode MS"/>
    <w:charset w:val="86"/>
    <w:family w:val="script"/>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59" w:rsidRDefault="00346F79">
    <w:pPr>
      <w:pStyle w:val="a8"/>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filled="f" stroked="f" strokeweight=".5pt">
          <v:textbox style="mso-next-textbox:#_x0000_s2049;mso-fit-shape-to-text:t" inset="0,0,0,0">
            <w:txbxContent>
              <w:sdt>
                <w:sdtPr>
                  <w:id w:val="-2132653396"/>
                </w:sdtPr>
                <w:sdtContent>
                  <w:p w:rsidR="002C6759" w:rsidRDefault="00346F79">
                    <w:pPr>
                      <w:pStyle w:val="a8"/>
                      <w:jc w:val="center"/>
                    </w:pPr>
                    <w:fldSimple w:instr="PAGE   \* MERGEFORMAT">
                      <w:r w:rsidR="00852CC7" w:rsidRPr="00852CC7">
                        <w:rPr>
                          <w:noProof/>
                          <w:lang w:val="zh-CN"/>
                        </w:rPr>
                        <w:t>-</w:t>
                      </w:r>
                      <w:r w:rsidR="00852CC7">
                        <w:rPr>
                          <w:noProof/>
                        </w:rPr>
                        <w:t xml:space="preserve"> 28 -</w:t>
                      </w:r>
                    </w:fldSimple>
                  </w:p>
                </w:sdtContent>
              </w:sdt>
              <w:p w:rsidR="002C6759" w:rsidRDefault="002C6759"/>
            </w:txbxContent>
          </v:textbox>
          <w10:wrap anchorx="margin"/>
        </v:shape>
      </w:pict>
    </w:r>
  </w:p>
  <w:p w:rsidR="002C6759" w:rsidRDefault="002C675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49E" w:rsidRDefault="0008649E" w:rsidP="00577046">
      <w:r>
        <w:separator/>
      </w:r>
    </w:p>
  </w:footnote>
  <w:footnote w:type="continuationSeparator" w:id="1">
    <w:p w:rsidR="0008649E" w:rsidRDefault="0008649E" w:rsidP="005770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59" w:rsidRDefault="002C6759">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59" w:rsidRDefault="002C6759">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B2F005"/>
    <w:multiLevelType w:val="singleLevel"/>
    <w:tmpl w:val="BAB2F005"/>
    <w:lvl w:ilvl="0">
      <w:start w:val="4"/>
      <w:numFmt w:val="decimal"/>
      <w:lvlText w:val="%1."/>
      <w:lvlJc w:val="left"/>
      <w:pPr>
        <w:tabs>
          <w:tab w:val="left" w:pos="312"/>
        </w:tabs>
      </w:pPr>
    </w:lvl>
  </w:abstractNum>
  <w:abstractNum w:abstractNumId="1">
    <w:nsid w:val="10676885"/>
    <w:multiLevelType w:val="singleLevel"/>
    <w:tmpl w:val="10676885"/>
    <w:lvl w:ilvl="0">
      <w:start w:val="10"/>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222C6"/>
    <w:rsid w:val="0002549F"/>
    <w:rsid w:val="00026D1D"/>
    <w:rsid w:val="0003681B"/>
    <w:rsid w:val="000468DB"/>
    <w:rsid w:val="0006487A"/>
    <w:rsid w:val="00065F8F"/>
    <w:rsid w:val="00070A43"/>
    <w:rsid w:val="000768F2"/>
    <w:rsid w:val="0008649E"/>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1603"/>
    <w:rsid w:val="001113A5"/>
    <w:rsid w:val="00114E9B"/>
    <w:rsid w:val="00142216"/>
    <w:rsid w:val="00144D6A"/>
    <w:rsid w:val="0014729F"/>
    <w:rsid w:val="00157BAB"/>
    <w:rsid w:val="001654D1"/>
    <w:rsid w:val="00174518"/>
    <w:rsid w:val="0018106D"/>
    <w:rsid w:val="001877A7"/>
    <w:rsid w:val="00191536"/>
    <w:rsid w:val="00196687"/>
    <w:rsid w:val="001C0962"/>
    <w:rsid w:val="001D7531"/>
    <w:rsid w:val="001E5D20"/>
    <w:rsid w:val="001E737D"/>
    <w:rsid w:val="001F0592"/>
    <w:rsid w:val="001F2A64"/>
    <w:rsid w:val="001F7506"/>
    <w:rsid w:val="002006CD"/>
    <w:rsid w:val="00202B36"/>
    <w:rsid w:val="00204B7A"/>
    <w:rsid w:val="00204CDE"/>
    <w:rsid w:val="0021101A"/>
    <w:rsid w:val="00220536"/>
    <w:rsid w:val="00235629"/>
    <w:rsid w:val="00260C38"/>
    <w:rsid w:val="002616C0"/>
    <w:rsid w:val="00265372"/>
    <w:rsid w:val="002662AA"/>
    <w:rsid w:val="00280496"/>
    <w:rsid w:val="002839BA"/>
    <w:rsid w:val="00294DC9"/>
    <w:rsid w:val="00295495"/>
    <w:rsid w:val="002A31DE"/>
    <w:rsid w:val="002A41B6"/>
    <w:rsid w:val="002B2613"/>
    <w:rsid w:val="002C6759"/>
    <w:rsid w:val="002D6D05"/>
    <w:rsid w:val="002F1818"/>
    <w:rsid w:val="002F567B"/>
    <w:rsid w:val="003216A9"/>
    <w:rsid w:val="00326E38"/>
    <w:rsid w:val="00335A74"/>
    <w:rsid w:val="00346F79"/>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372A0"/>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77046"/>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0338E"/>
    <w:rsid w:val="007127B7"/>
    <w:rsid w:val="0071798E"/>
    <w:rsid w:val="007416B6"/>
    <w:rsid w:val="00742B7A"/>
    <w:rsid w:val="00746F48"/>
    <w:rsid w:val="0075404D"/>
    <w:rsid w:val="0076182A"/>
    <w:rsid w:val="00767B7E"/>
    <w:rsid w:val="007770C3"/>
    <w:rsid w:val="00784D24"/>
    <w:rsid w:val="00785FBA"/>
    <w:rsid w:val="00786E4A"/>
    <w:rsid w:val="007875EB"/>
    <w:rsid w:val="0079426B"/>
    <w:rsid w:val="007D1682"/>
    <w:rsid w:val="007D312A"/>
    <w:rsid w:val="007D3F19"/>
    <w:rsid w:val="007D4C36"/>
    <w:rsid w:val="007E23B0"/>
    <w:rsid w:val="007E23E5"/>
    <w:rsid w:val="007E2FA8"/>
    <w:rsid w:val="007F1991"/>
    <w:rsid w:val="007F2C2F"/>
    <w:rsid w:val="007F55FC"/>
    <w:rsid w:val="007F5665"/>
    <w:rsid w:val="00800112"/>
    <w:rsid w:val="00813348"/>
    <w:rsid w:val="008253BB"/>
    <w:rsid w:val="0083561A"/>
    <w:rsid w:val="0083706E"/>
    <w:rsid w:val="008408F6"/>
    <w:rsid w:val="008423A5"/>
    <w:rsid w:val="00850625"/>
    <w:rsid w:val="00852CC7"/>
    <w:rsid w:val="00853718"/>
    <w:rsid w:val="00855221"/>
    <w:rsid w:val="00860645"/>
    <w:rsid w:val="00871F71"/>
    <w:rsid w:val="00872FD8"/>
    <w:rsid w:val="00881E1B"/>
    <w:rsid w:val="00885AF4"/>
    <w:rsid w:val="008939CD"/>
    <w:rsid w:val="008B768C"/>
    <w:rsid w:val="008C4DB1"/>
    <w:rsid w:val="008C4EAF"/>
    <w:rsid w:val="008C5176"/>
    <w:rsid w:val="008C7FD0"/>
    <w:rsid w:val="008E1DE7"/>
    <w:rsid w:val="008E4F0F"/>
    <w:rsid w:val="008E707C"/>
    <w:rsid w:val="00900B08"/>
    <w:rsid w:val="00902155"/>
    <w:rsid w:val="00902FA3"/>
    <w:rsid w:val="00911541"/>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BA9"/>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25B9"/>
    <w:rsid w:val="00B12AE9"/>
    <w:rsid w:val="00B14E76"/>
    <w:rsid w:val="00B161B8"/>
    <w:rsid w:val="00B2048C"/>
    <w:rsid w:val="00B310B9"/>
    <w:rsid w:val="00B35F3F"/>
    <w:rsid w:val="00B36CBB"/>
    <w:rsid w:val="00B425E0"/>
    <w:rsid w:val="00B440AA"/>
    <w:rsid w:val="00B44B70"/>
    <w:rsid w:val="00B53C56"/>
    <w:rsid w:val="00B57DAF"/>
    <w:rsid w:val="00B77EA6"/>
    <w:rsid w:val="00B81598"/>
    <w:rsid w:val="00B82941"/>
    <w:rsid w:val="00B841F1"/>
    <w:rsid w:val="00B944D6"/>
    <w:rsid w:val="00BB4DF0"/>
    <w:rsid w:val="00BC289F"/>
    <w:rsid w:val="00BC2D50"/>
    <w:rsid w:val="00BC5361"/>
    <w:rsid w:val="00BC5460"/>
    <w:rsid w:val="00BC6B50"/>
    <w:rsid w:val="00BD0E25"/>
    <w:rsid w:val="00BF5BD6"/>
    <w:rsid w:val="00C03E31"/>
    <w:rsid w:val="00C30F86"/>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815B0"/>
    <w:rsid w:val="00D917FE"/>
    <w:rsid w:val="00DA634F"/>
    <w:rsid w:val="00DA65AC"/>
    <w:rsid w:val="00DB1913"/>
    <w:rsid w:val="00DC410D"/>
    <w:rsid w:val="00DC5A81"/>
    <w:rsid w:val="00DC68CA"/>
    <w:rsid w:val="00DC7CBA"/>
    <w:rsid w:val="00DD73B7"/>
    <w:rsid w:val="00DF28BC"/>
    <w:rsid w:val="00DF34B9"/>
    <w:rsid w:val="00E01053"/>
    <w:rsid w:val="00E02896"/>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E72CE"/>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6489"/>
    <w:rsid w:val="00F87E96"/>
    <w:rsid w:val="00FA23E8"/>
    <w:rsid w:val="00FC3F2D"/>
    <w:rsid w:val="00FD3CC1"/>
    <w:rsid w:val="00FE74D9"/>
    <w:rsid w:val="00FF1E02"/>
    <w:rsid w:val="00FF30B4"/>
    <w:rsid w:val="012A5EC2"/>
    <w:rsid w:val="015975B8"/>
    <w:rsid w:val="02D029E9"/>
    <w:rsid w:val="02FEBE30"/>
    <w:rsid w:val="03595555"/>
    <w:rsid w:val="04916F1E"/>
    <w:rsid w:val="061E35DE"/>
    <w:rsid w:val="066E0107"/>
    <w:rsid w:val="07996F6E"/>
    <w:rsid w:val="07DFD8BA"/>
    <w:rsid w:val="09867E8F"/>
    <w:rsid w:val="0A2032A3"/>
    <w:rsid w:val="0CA8290A"/>
    <w:rsid w:val="0D35B1ED"/>
    <w:rsid w:val="0E254B6B"/>
    <w:rsid w:val="0EB51371"/>
    <w:rsid w:val="0F98263C"/>
    <w:rsid w:val="101860EC"/>
    <w:rsid w:val="101F47CC"/>
    <w:rsid w:val="10C055FF"/>
    <w:rsid w:val="11694EBD"/>
    <w:rsid w:val="11772AA4"/>
    <w:rsid w:val="118107EC"/>
    <w:rsid w:val="11E95FAF"/>
    <w:rsid w:val="12E24EE2"/>
    <w:rsid w:val="13570A18"/>
    <w:rsid w:val="13D50BC4"/>
    <w:rsid w:val="14B17F78"/>
    <w:rsid w:val="15FF564C"/>
    <w:rsid w:val="165E0673"/>
    <w:rsid w:val="16B831D5"/>
    <w:rsid w:val="16BB723D"/>
    <w:rsid w:val="17C3523B"/>
    <w:rsid w:val="17E50567"/>
    <w:rsid w:val="1800615D"/>
    <w:rsid w:val="186504BB"/>
    <w:rsid w:val="18D55B61"/>
    <w:rsid w:val="18EB71FA"/>
    <w:rsid w:val="19A445FC"/>
    <w:rsid w:val="1BCF7C55"/>
    <w:rsid w:val="1BE8440E"/>
    <w:rsid w:val="1BE94FDF"/>
    <w:rsid w:val="1D155CEE"/>
    <w:rsid w:val="1D1638FE"/>
    <w:rsid w:val="1DB41D57"/>
    <w:rsid w:val="1E312DEB"/>
    <w:rsid w:val="1E740ACF"/>
    <w:rsid w:val="1FF35744"/>
    <w:rsid w:val="1FF6BC77"/>
    <w:rsid w:val="21390CC6"/>
    <w:rsid w:val="2186353C"/>
    <w:rsid w:val="23860B96"/>
    <w:rsid w:val="240371BF"/>
    <w:rsid w:val="244F3473"/>
    <w:rsid w:val="24C97D99"/>
    <w:rsid w:val="25A718F0"/>
    <w:rsid w:val="25BB59F6"/>
    <w:rsid w:val="260F557C"/>
    <w:rsid w:val="263C1D74"/>
    <w:rsid w:val="26970054"/>
    <w:rsid w:val="281408E2"/>
    <w:rsid w:val="29FD04D3"/>
    <w:rsid w:val="2BFF7BC6"/>
    <w:rsid w:val="2C8A61B5"/>
    <w:rsid w:val="2DF04E50"/>
    <w:rsid w:val="2E586DFA"/>
    <w:rsid w:val="2F040D46"/>
    <w:rsid w:val="2F6B035B"/>
    <w:rsid w:val="2FAE5751"/>
    <w:rsid w:val="2FB1A395"/>
    <w:rsid w:val="2FD9A7D8"/>
    <w:rsid w:val="2FDBF714"/>
    <w:rsid w:val="304B43B7"/>
    <w:rsid w:val="30AB6865"/>
    <w:rsid w:val="319F7F4E"/>
    <w:rsid w:val="32BD1EF1"/>
    <w:rsid w:val="3304709D"/>
    <w:rsid w:val="33A773CB"/>
    <w:rsid w:val="34534304"/>
    <w:rsid w:val="349D6851"/>
    <w:rsid w:val="36AA5135"/>
    <w:rsid w:val="36BE0DA7"/>
    <w:rsid w:val="376B6AA6"/>
    <w:rsid w:val="376D39B2"/>
    <w:rsid w:val="37E16F03"/>
    <w:rsid w:val="37F53A3B"/>
    <w:rsid w:val="389B6C89"/>
    <w:rsid w:val="38D469F0"/>
    <w:rsid w:val="395D7B4D"/>
    <w:rsid w:val="39627CCD"/>
    <w:rsid w:val="397BAF1F"/>
    <w:rsid w:val="3AB79AF3"/>
    <w:rsid w:val="3AE834C0"/>
    <w:rsid w:val="3B4F0F3A"/>
    <w:rsid w:val="3B7EF35A"/>
    <w:rsid w:val="3B9FDB6C"/>
    <w:rsid w:val="3BF5BC2F"/>
    <w:rsid w:val="3CD1667E"/>
    <w:rsid w:val="3CEBA265"/>
    <w:rsid w:val="3D98207C"/>
    <w:rsid w:val="3DEE7CF3"/>
    <w:rsid w:val="3E740A63"/>
    <w:rsid w:val="3E78745D"/>
    <w:rsid w:val="3EE17838"/>
    <w:rsid w:val="3F55381A"/>
    <w:rsid w:val="3F7F7599"/>
    <w:rsid w:val="3FF4CAE0"/>
    <w:rsid w:val="3FF70C55"/>
    <w:rsid w:val="3FF7B227"/>
    <w:rsid w:val="40573CA7"/>
    <w:rsid w:val="40C81AA1"/>
    <w:rsid w:val="415F2946"/>
    <w:rsid w:val="41B3775A"/>
    <w:rsid w:val="42892A5A"/>
    <w:rsid w:val="44E268DA"/>
    <w:rsid w:val="450D13D7"/>
    <w:rsid w:val="45506656"/>
    <w:rsid w:val="486A6C7A"/>
    <w:rsid w:val="4A0B7EDF"/>
    <w:rsid w:val="4A140A65"/>
    <w:rsid w:val="4A627F82"/>
    <w:rsid w:val="4B0E749A"/>
    <w:rsid w:val="4B2477C4"/>
    <w:rsid w:val="4B4F25DA"/>
    <w:rsid w:val="4BE068DB"/>
    <w:rsid w:val="4D577224"/>
    <w:rsid w:val="4DBF1CEB"/>
    <w:rsid w:val="4DF0007C"/>
    <w:rsid w:val="4DF07E31"/>
    <w:rsid w:val="4E301E86"/>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416102"/>
    <w:rsid w:val="5CD25652"/>
    <w:rsid w:val="5CD71FC4"/>
    <w:rsid w:val="5D1F11B5"/>
    <w:rsid w:val="5D695134"/>
    <w:rsid w:val="5DAE1B18"/>
    <w:rsid w:val="5DE7D9E5"/>
    <w:rsid w:val="5ECEC941"/>
    <w:rsid w:val="5FBF9FF3"/>
    <w:rsid w:val="5FCD4E2C"/>
    <w:rsid w:val="5FEF394A"/>
    <w:rsid w:val="5FF67715"/>
    <w:rsid w:val="62BF3928"/>
    <w:rsid w:val="63B3701E"/>
    <w:rsid w:val="640F79EF"/>
    <w:rsid w:val="647F5392"/>
    <w:rsid w:val="64CC2936"/>
    <w:rsid w:val="65AC3647"/>
    <w:rsid w:val="65E66580"/>
    <w:rsid w:val="664B1D71"/>
    <w:rsid w:val="664B4E8E"/>
    <w:rsid w:val="67277B67"/>
    <w:rsid w:val="67AA3209"/>
    <w:rsid w:val="68AA7E25"/>
    <w:rsid w:val="68CA53AB"/>
    <w:rsid w:val="698D0931"/>
    <w:rsid w:val="6A7FE5F3"/>
    <w:rsid w:val="6B053271"/>
    <w:rsid w:val="6BDD78B3"/>
    <w:rsid w:val="6C4A05C8"/>
    <w:rsid w:val="6C8742B8"/>
    <w:rsid w:val="6DBF5E93"/>
    <w:rsid w:val="6DFF077E"/>
    <w:rsid w:val="6E1C648E"/>
    <w:rsid w:val="6E714EF0"/>
    <w:rsid w:val="6E7E3605"/>
    <w:rsid w:val="6E7FDCC7"/>
    <w:rsid w:val="6EBB5C2A"/>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273779A"/>
    <w:rsid w:val="73160E6D"/>
    <w:rsid w:val="7332FE48"/>
    <w:rsid w:val="734D76B5"/>
    <w:rsid w:val="73AB61DA"/>
    <w:rsid w:val="73AD73D5"/>
    <w:rsid w:val="73B6EB34"/>
    <w:rsid w:val="73FA497D"/>
    <w:rsid w:val="7413040F"/>
    <w:rsid w:val="744731E5"/>
    <w:rsid w:val="74BBD01D"/>
    <w:rsid w:val="74ED5379"/>
    <w:rsid w:val="75DEEEC2"/>
    <w:rsid w:val="75E32345"/>
    <w:rsid w:val="760F0AC6"/>
    <w:rsid w:val="76E3355F"/>
    <w:rsid w:val="76FF5125"/>
    <w:rsid w:val="776F6FFA"/>
    <w:rsid w:val="778769C8"/>
    <w:rsid w:val="77A407AE"/>
    <w:rsid w:val="77A75DCA"/>
    <w:rsid w:val="77D3028F"/>
    <w:rsid w:val="77DC22F5"/>
    <w:rsid w:val="783E271A"/>
    <w:rsid w:val="78616DE9"/>
    <w:rsid w:val="78E875D7"/>
    <w:rsid w:val="79086DAD"/>
    <w:rsid w:val="79B56EF3"/>
    <w:rsid w:val="79D7FD79"/>
    <w:rsid w:val="79EE5BA4"/>
    <w:rsid w:val="7A894339"/>
    <w:rsid w:val="7AD284E8"/>
    <w:rsid w:val="7AFF7572"/>
    <w:rsid w:val="7B6C7DFB"/>
    <w:rsid w:val="7B79331D"/>
    <w:rsid w:val="7BBFBED0"/>
    <w:rsid w:val="7BC3E394"/>
    <w:rsid w:val="7C1F3737"/>
    <w:rsid w:val="7CBFC87B"/>
    <w:rsid w:val="7CFE0F48"/>
    <w:rsid w:val="7D272ABC"/>
    <w:rsid w:val="7D7EC23E"/>
    <w:rsid w:val="7DFC58C5"/>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华文中宋"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046"/>
    <w:pPr>
      <w:widowControl w:val="0"/>
      <w:jc w:val="both"/>
    </w:pPr>
    <w:rPr>
      <w:rFonts w:eastAsia="宋体"/>
      <w:kern w:val="2"/>
      <w:sz w:val="21"/>
      <w:szCs w:val="24"/>
    </w:rPr>
  </w:style>
  <w:style w:type="paragraph" w:styleId="1">
    <w:name w:val="heading 1"/>
    <w:basedOn w:val="a"/>
    <w:next w:val="a"/>
    <w:link w:val="1Char"/>
    <w:uiPriority w:val="9"/>
    <w:qFormat/>
    <w:rsid w:val="0057704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7704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7704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577046"/>
    <w:rPr>
      <w:rFonts w:ascii="Times New Roman" w:hAnsi="Times New Roman"/>
      <w:b/>
      <w:bCs/>
      <w:kern w:val="44"/>
      <w:sz w:val="44"/>
      <w:szCs w:val="44"/>
    </w:rPr>
  </w:style>
  <w:style w:type="character" w:customStyle="1" w:styleId="2Char">
    <w:name w:val="标题 2 Char"/>
    <w:basedOn w:val="a0"/>
    <w:link w:val="2"/>
    <w:uiPriority w:val="9"/>
    <w:qFormat/>
    <w:rsid w:val="00577046"/>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sid w:val="00577046"/>
    <w:rPr>
      <w:rFonts w:ascii="Times New Roman" w:hAnsi="Times New Roman"/>
      <w:b/>
      <w:bCs/>
      <w:kern w:val="2"/>
      <w:sz w:val="32"/>
      <w:szCs w:val="32"/>
    </w:rPr>
  </w:style>
  <w:style w:type="paragraph" w:styleId="a3">
    <w:name w:val="Body Text"/>
    <w:basedOn w:val="a"/>
    <w:link w:val="Char"/>
    <w:uiPriority w:val="99"/>
    <w:qFormat/>
    <w:rsid w:val="00577046"/>
    <w:pPr>
      <w:spacing w:beforeLines="30"/>
    </w:pPr>
    <w:rPr>
      <w:rFonts w:ascii="仿宋_GB2312" w:eastAsia="仿宋_GB2312"/>
      <w:kern w:val="0"/>
      <w:sz w:val="30"/>
    </w:rPr>
  </w:style>
  <w:style w:type="character" w:customStyle="1" w:styleId="Char">
    <w:name w:val="正文文本 Char"/>
    <w:link w:val="a3"/>
    <w:uiPriority w:val="99"/>
    <w:qFormat/>
    <w:locked/>
    <w:rsid w:val="00577046"/>
    <w:rPr>
      <w:rFonts w:ascii="仿宋_GB2312" w:eastAsia="仿宋_GB2312" w:hAnsi="Times New Roman"/>
      <w:sz w:val="24"/>
    </w:rPr>
  </w:style>
  <w:style w:type="paragraph" w:styleId="a4">
    <w:name w:val="Body Text Indent"/>
    <w:basedOn w:val="a"/>
    <w:next w:val="20"/>
    <w:link w:val="Char0"/>
    <w:qFormat/>
    <w:rsid w:val="00577046"/>
    <w:pPr>
      <w:spacing w:after="120"/>
      <w:ind w:leftChars="200" w:left="200"/>
    </w:pPr>
    <w:rPr>
      <w:rFonts w:ascii="仿宋_GB2312"/>
      <w:szCs w:val="32"/>
    </w:rPr>
  </w:style>
  <w:style w:type="paragraph" w:styleId="20">
    <w:name w:val="Body Text First Indent 2"/>
    <w:basedOn w:val="a4"/>
    <w:link w:val="2Char0"/>
    <w:uiPriority w:val="99"/>
    <w:unhideWhenUsed/>
    <w:qFormat/>
    <w:rsid w:val="00577046"/>
    <w:pPr>
      <w:ind w:firstLineChars="200" w:firstLine="420"/>
    </w:pPr>
  </w:style>
  <w:style w:type="character" w:customStyle="1" w:styleId="2Char0">
    <w:name w:val="正文首行缩进 2 Char"/>
    <w:basedOn w:val="Char0"/>
    <w:link w:val="20"/>
    <w:uiPriority w:val="99"/>
    <w:rsid w:val="002A41B6"/>
  </w:style>
  <w:style w:type="character" w:customStyle="1" w:styleId="Char0">
    <w:name w:val="正文文本缩进 Char"/>
    <w:basedOn w:val="a0"/>
    <w:link w:val="a4"/>
    <w:rsid w:val="002A41B6"/>
    <w:rPr>
      <w:rFonts w:ascii="仿宋_GB2312" w:eastAsia="宋体"/>
      <w:kern w:val="2"/>
      <w:sz w:val="21"/>
      <w:szCs w:val="32"/>
    </w:rPr>
  </w:style>
  <w:style w:type="paragraph" w:styleId="30">
    <w:name w:val="toc 3"/>
    <w:basedOn w:val="a"/>
    <w:next w:val="a"/>
    <w:uiPriority w:val="39"/>
    <w:unhideWhenUsed/>
    <w:qFormat/>
    <w:rsid w:val="00577046"/>
    <w:pPr>
      <w:tabs>
        <w:tab w:val="right" w:leader="dot" w:pos="8296"/>
      </w:tabs>
      <w:ind w:leftChars="400" w:left="840"/>
    </w:pPr>
  </w:style>
  <w:style w:type="paragraph" w:styleId="a5">
    <w:name w:val="Plain Text"/>
    <w:next w:val="a6"/>
    <w:link w:val="Char1"/>
    <w:qFormat/>
    <w:rsid w:val="00577046"/>
    <w:pPr>
      <w:widowControl w:val="0"/>
      <w:jc w:val="both"/>
    </w:pPr>
    <w:rPr>
      <w:rFonts w:ascii="宋体" w:eastAsia="仿宋_GB2312" w:hAnsi="宋体"/>
      <w:kern w:val="2"/>
      <w:sz w:val="32"/>
      <w:szCs w:val="24"/>
    </w:rPr>
  </w:style>
  <w:style w:type="paragraph" w:styleId="a6">
    <w:name w:val="header"/>
    <w:basedOn w:val="a"/>
    <w:link w:val="Char2"/>
    <w:uiPriority w:val="99"/>
    <w:semiHidden/>
    <w:qFormat/>
    <w:rsid w:val="0057704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2">
    <w:name w:val="页眉 Char"/>
    <w:link w:val="a6"/>
    <w:uiPriority w:val="99"/>
    <w:semiHidden/>
    <w:qFormat/>
    <w:locked/>
    <w:rsid w:val="00577046"/>
    <w:rPr>
      <w:sz w:val="18"/>
    </w:rPr>
  </w:style>
  <w:style w:type="character" w:customStyle="1" w:styleId="Char1">
    <w:name w:val="纯文本 Char"/>
    <w:basedOn w:val="a0"/>
    <w:link w:val="a5"/>
    <w:rsid w:val="002A41B6"/>
    <w:rPr>
      <w:rFonts w:ascii="宋体" w:eastAsia="仿宋_GB2312" w:hAnsi="宋体"/>
      <w:kern w:val="2"/>
      <w:sz w:val="32"/>
      <w:szCs w:val="24"/>
    </w:rPr>
  </w:style>
  <w:style w:type="paragraph" w:styleId="a7">
    <w:name w:val="Balloon Text"/>
    <w:basedOn w:val="a"/>
    <w:link w:val="Char3"/>
    <w:uiPriority w:val="99"/>
    <w:semiHidden/>
    <w:unhideWhenUsed/>
    <w:qFormat/>
    <w:rsid w:val="00577046"/>
    <w:rPr>
      <w:sz w:val="18"/>
      <w:szCs w:val="18"/>
    </w:rPr>
  </w:style>
  <w:style w:type="character" w:customStyle="1" w:styleId="Char3">
    <w:name w:val="批注框文本 Char"/>
    <w:basedOn w:val="a0"/>
    <w:link w:val="a7"/>
    <w:uiPriority w:val="99"/>
    <w:semiHidden/>
    <w:qFormat/>
    <w:rsid w:val="00577046"/>
    <w:rPr>
      <w:rFonts w:ascii="Times New Roman" w:hAnsi="Times New Roman"/>
      <w:kern w:val="2"/>
      <w:sz w:val="18"/>
      <w:szCs w:val="18"/>
    </w:rPr>
  </w:style>
  <w:style w:type="paragraph" w:styleId="a8">
    <w:name w:val="footer"/>
    <w:basedOn w:val="a"/>
    <w:link w:val="Char4"/>
    <w:uiPriority w:val="99"/>
    <w:qFormat/>
    <w:rsid w:val="00577046"/>
    <w:pPr>
      <w:tabs>
        <w:tab w:val="center" w:pos="4153"/>
        <w:tab w:val="right" w:pos="8306"/>
      </w:tabs>
      <w:snapToGrid w:val="0"/>
      <w:jc w:val="left"/>
    </w:pPr>
    <w:rPr>
      <w:rFonts w:ascii="Calibri" w:hAnsi="Calibri"/>
      <w:kern w:val="0"/>
      <w:sz w:val="18"/>
      <w:szCs w:val="18"/>
    </w:rPr>
  </w:style>
  <w:style w:type="character" w:customStyle="1" w:styleId="Char4">
    <w:name w:val="页脚 Char"/>
    <w:link w:val="a8"/>
    <w:uiPriority w:val="99"/>
    <w:qFormat/>
    <w:locked/>
    <w:rsid w:val="00577046"/>
    <w:rPr>
      <w:sz w:val="18"/>
    </w:rPr>
  </w:style>
  <w:style w:type="paragraph" w:styleId="10">
    <w:name w:val="toc 1"/>
    <w:basedOn w:val="a"/>
    <w:next w:val="a"/>
    <w:uiPriority w:val="39"/>
    <w:unhideWhenUsed/>
    <w:qFormat/>
    <w:rsid w:val="00577046"/>
    <w:pPr>
      <w:tabs>
        <w:tab w:val="right" w:leader="dot" w:pos="8296"/>
      </w:tabs>
      <w:spacing w:before="93"/>
      <w:jc w:val="center"/>
    </w:pPr>
    <w:rPr>
      <w:rFonts w:ascii="仿宋" w:eastAsia="仿宋" w:hAnsi="仿宋"/>
      <w:sz w:val="28"/>
      <w:szCs w:val="28"/>
    </w:rPr>
  </w:style>
  <w:style w:type="paragraph" w:styleId="a9">
    <w:name w:val="footnote text"/>
    <w:basedOn w:val="a"/>
    <w:next w:val="20"/>
    <w:link w:val="Char5"/>
    <w:semiHidden/>
    <w:qFormat/>
    <w:rsid w:val="00577046"/>
    <w:pPr>
      <w:snapToGrid w:val="0"/>
      <w:jc w:val="left"/>
    </w:pPr>
    <w:rPr>
      <w:sz w:val="18"/>
      <w:szCs w:val="18"/>
    </w:rPr>
  </w:style>
  <w:style w:type="character" w:customStyle="1" w:styleId="Char5">
    <w:name w:val="脚注文本 Char"/>
    <w:basedOn w:val="a0"/>
    <w:link w:val="a9"/>
    <w:semiHidden/>
    <w:rsid w:val="002A41B6"/>
    <w:rPr>
      <w:rFonts w:eastAsia="宋体"/>
      <w:kern w:val="2"/>
      <w:sz w:val="18"/>
      <w:szCs w:val="18"/>
    </w:rPr>
  </w:style>
  <w:style w:type="paragraph" w:styleId="21">
    <w:name w:val="toc 2"/>
    <w:basedOn w:val="a"/>
    <w:next w:val="a"/>
    <w:uiPriority w:val="39"/>
    <w:unhideWhenUsed/>
    <w:qFormat/>
    <w:rsid w:val="00577046"/>
    <w:pPr>
      <w:tabs>
        <w:tab w:val="right" w:leader="dot" w:pos="8296"/>
      </w:tabs>
      <w:ind w:leftChars="200" w:left="420"/>
    </w:pPr>
  </w:style>
  <w:style w:type="character" w:styleId="aa">
    <w:name w:val="Strong"/>
    <w:basedOn w:val="a0"/>
    <w:uiPriority w:val="99"/>
    <w:qFormat/>
    <w:rsid w:val="00577046"/>
    <w:rPr>
      <w:b/>
    </w:rPr>
  </w:style>
  <w:style w:type="character" w:styleId="ab">
    <w:name w:val="Hyperlink"/>
    <w:basedOn w:val="a0"/>
    <w:uiPriority w:val="99"/>
    <w:unhideWhenUsed/>
    <w:qFormat/>
    <w:rsid w:val="00577046"/>
    <w:rPr>
      <w:color w:val="0000FF" w:themeColor="hyperlink"/>
      <w:u w:val="single"/>
    </w:rPr>
  </w:style>
  <w:style w:type="paragraph" w:customStyle="1" w:styleId="5">
    <w:name w:val="标题 5（有编号）（绿盟科技）"/>
    <w:next w:val="a"/>
    <w:uiPriority w:val="99"/>
    <w:qFormat/>
    <w:rsid w:val="00577046"/>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0"/>
    <w:uiPriority w:val="99"/>
    <w:semiHidden/>
    <w:qFormat/>
    <w:rsid w:val="00577046"/>
    <w:rPr>
      <w:rFonts w:ascii="Times New Roman" w:hAnsi="Times New Roman"/>
      <w:sz w:val="18"/>
      <w:szCs w:val="18"/>
    </w:rPr>
  </w:style>
  <w:style w:type="character" w:customStyle="1" w:styleId="FooterChar">
    <w:name w:val="Footer Char"/>
    <w:basedOn w:val="a0"/>
    <w:uiPriority w:val="99"/>
    <w:semiHidden/>
    <w:qFormat/>
    <w:rsid w:val="00577046"/>
    <w:rPr>
      <w:rFonts w:ascii="Times New Roman" w:hAnsi="Times New Roman"/>
      <w:sz w:val="18"/>
      <w:szCs w:val="18"/>
    </w:rPr>
  </w:style>
  <w:style w:type="character" w:customStyle="1" w:styleId="BodyTextChar">
    <w:name w:val="Body Text Char"/>
    <w:basedOn w:val="a0"/>
    <w:uiPriority w:val="99"/>
    <w:semiHidden/>
    <w:qFormat/>
    <w:rsid w:val="00577046"/>
    <w:rPr>
      <w:rFonts w:ascii="Times New Roman" w:hAnsi="Times New Roman"/>
      <w:szCs w:val="24"/>
    </w:rPr>
  </w:style>
  <w:style w:type="paragraph" w:customStyle="1" w:styleId="Default">
    <w:name w:val="Default"/>
    <w:uiPriority w:val="99"/>
    <w:qFormat/>
    <w:rsid w:val="00577046"/>
    <w:pPr>
      <w:widowControl w:val="0"/>
      <w:autoSpaceDE w:val="0"/>
      <w:autoSpaceDN w:val="0"/>
      <w:adjustRightInd w:val="0"/>
    </w:pPr>
    <w:rPr>
      <w:rFonts w:ascii="仿宋" w:eastAsia="仿宋" w:hAnsi="Calibri" w:cs="仿宋"/>
      <w:color w:val="000000"/>
      <w:sz w:val="24"/>
      <w:szCs w:val="24"/>
    </w:rPr>
  </w:style>
  <w:style w:type="paragraph" w:styleId="ac">
    <w:name w:val="List Paragraph"/>
    <w:basedOn w:val="a"/>
    <w:uiPriority w:val="34"/>
    <w:qFormat/>
    <w:rsid w:val="00577046"/>
    <w:pPr>
      <w:ind w:firstLineChars="200" w:firstLine="420"/>
    </w:pPr>
  </w:style>
  <w:style w:type="paragraph" w:customStyle="1" w:styleId="TOC1">
    <w:name w:val="TOC 标题1"/>
    <w:basedOn w:val="1"/>
    <w:next w:val="a"/>
    <w:uiPriority w:val="39"/>
    <w:unhideWhenUsed/>
    <w:qFormat/>
    <w:rsid w:val="0057704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rsid w:val="0057704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d">
    <w:name w:val="四号正文"/>
    <w:basedOn w:val="a"/>
    <w:qFormat/>
    <w:rsid w:val="00577046"/>
    <w:pPr>
      <w:spacing w:line="360" w:lineRule="auto"/>
    </w:pPr>
    <w:rPr>
      <w:rFonts w:ascii="??" w:hAnsi="??"/>
      <w:color w:val="000000"/>
      <w:kern w:val="0"/>
      <w:sz w:val="28"/>
      <w:szCs w:val="21"/>
      <w:lang w:val="zh-CN"/>
    </w:rPr>
  </w:style>
</w:styles>
</file>

<file path=word/webSettings.xml><?xml version="1.0" encoding="utf-8"?>
<w:webSettings xmlns:r="http://schemas.openxmlformats.org/officeDocument/2006/relationships" xmlns:w="http://schemas.openxmlformats.org/wordprocessingml/2006/main">
  <w:divs>
    <w:div w:id="981931233">
      <w:bodyDiv w:val="1"/>
      <w:marLeft w:val="0"/>
      <w:marRight w:val="0"/>
      <w:marTop w:val="0"/>
      <w:marBottom w:val="0"/>
      <w:divBdr>
        <w:top w:val="none" w:sz="0" w:space="0" w:color="auto"/>
        <w:left w:val="none" w:sz="0" w:space="0" w:color="auto"/>
        <w:bottom w:val="none" w:sz="0" w:space="0" w:color="auto"/>
        <w:right w:val="none" w:sz="0" w:space="0" w:color="auto"/>
      </w:divBdr>
    </w:div>
    <w:div w:id="1393040607">
      <w:bodyDiv w:val="1"/>
      <w:marLeft w:val="0"/>
      <w:marRight w:val="0"/>
      <w:marTop w:val="0"/>
      <w:marBottom w:val="0"/>
      <w:divBdr>
        <w:top w:val="none" w:sz="0" w:space="0" w:color="auto"/>
        <w:left w:val="none" w:sz="0" w:space="0" w:color="auto"/>
        <w:bottom w:val="none" w:sz="0" w:space="0" w:color="auto"/>
        <w:right w:val="none" w:sz="0" w:space="0" w:color="auto"/>
      </w:divBdr>
    </w:div>
    <w:div w:id="184951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__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__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zh-CN" altLang="en-US"/>
              <a:t>收入、支出决算总计变动情况图</a:t>
            </a:r>
          </a:p>
        </c:rich>
      </c:tx>
      <c:layout>
        <c:manualLayout>
          <c:xMode val="edge"/>
          <c:yMode val="edge"/>
          <c:x val="0.26262382217927016"/>
          <c:y val="5.0361240968975804E-2"/>
        </c:manualLayout>
      </c:layout>
      <c:spPr>
        <a:noFill/>
        <a:ln>
          <a:noFill/>
        </a:ln>
        <a:effectLst/>
      </c:spPr>
    </c:title>
    <c:plotArea>
      <c:layout/>
      <c:barChart>
        <c:barDir val="col"/>
        <c:grouping val="clustered"/>
        <c:ser>
          <c:idx val="0"/>
          <c:order val="0"/>
          <c:tx>
            <c:strRef>
              <c:f>Sheet1!$B$1</c:f>
              <c:strCache>
                <c:ptCount val="1"/>
                <c:pt idx="0">
                  <c:v>收入</c:v>
                </c:pt>
              </c:strCache>
            </c:strRef>
          </c:tx>
          <c:spPr>
            <a:gradFill>
              <a:gsLst>
                <a:gs pos="0">
                  <a:schemeClr val="accent1"/>
                </a:gs>
                <a:gs pos="100000">
                  <a:schemeClr val="accent2"/>
                </a:gs>
              </a:gsLst>
              <a:lin ang="5400000" scaled="0"/>
            </a:gradFill>
            <a:ln>
              <a:noFill/>
            </a:ln>
            <a:effectLst/>
          </c:spPr>
          <c:cat>
            <c:numRef>
              <c:f>Sheet1!$A$2:$A$3</c:f>
              <c:numCache>
                <c:formatCode>General</c:formatCode>
                <c:ptCount val="2"/>
                <c:pt idx="0">
                  <c:v>2024</c:v>
                </c:pt>
                <c:pt idx="1">
                  <c:v>2023</c:v>
                </c:pt>
              </c:numCache>
            </c:numRef>
          </c:cat>
          <c:val>
            <c:numRef>
              <c:f>Sheet1!$B$2:$B$3</c:f>
              <c:numCache>
                <c:formatCode>General</c:formatCode>
                <c:ptCount val="2"/>
                <c:pt idx="0">
                  <c:v>1268.31</c:v>
                </c:pt>
                <c:pt idx="1">
                  <c:v>1401.32</c:v>
                </c:pt>
              </c:numCache>
            </c:numRef>
          </c:val>
        </c:ser>
        <c:ser>
          <c:idx val="1"/>
          <c:order val="1"/>
          <c:tx>
            <c:strRef>
              <c:f>Sheet1!$C$1</c:f>
              <c:strCache>
                <c:ptCount val="1"/>
                <c:pt idx="0">
                  <c:v>支出</c:v>
                </c:pt>
              </c:strCache>
            </c:strRef>
          </c:tx>
          <c:spPr>
            <a:gradFill>
              <a:gsLst>
                <a:gs pos="0">
                  <a:schemeClr val="accent3"/>
                </a:gs>
                <a:gs pos="100000">
                  <a:schemeClr val="accent4"/>
                </a:gs>
              </a:gsLst>
              <a:lin ang="5400000" scaled="0"/>
            </a:gradFill>
            <a:ln>
              <a:noFill/>
            </a:ln>
            <a:effectLst/>
          </c:spPr>
          <c:cat>
            <c:numRef>
              <c:f>Sheet1!$A$2:$A$3</c:f>
              <c:numCache>
                <c:formatCode>General</c:formatCode>
                <c:ptCount val="2"/>
                <c:pt idx="0">
                  <c:v>2024</c:v>
                </c:pt>
                <c:pt idx="1">
                  <c:v>2023</c:v>
                </c:pt>
              </c:numCache>
            </c:numRef>
          </c:cat>
          <c:val>
            <c:numRef>
              <c:f>Sheet1!$C$2:$C$3</c:f>
              <c:numCache>
                <c:formatCode>General</c:formatCode>
                <c:ptCount val="2"/>
                <c:pt idx="0">
                  <c:v>1268.31</c:v>
                </c:pt>
                <c:pt idx="1">
                  <c:v>1401.32</c:v>
                </c:pt>
              </c:numCache>
            </c:numRef>
          </c:val>
        </c:ser>
        <c:ser>
          <c:idx val="2"/>
          <c:order val="2"/>
          <c:tx>
            <c:strRef>
              <c:f>Sheet1!#REF!</c:f>
              <c:strCache>
                <c:ptCount val="1"/>
              </c:strCache>
            </c:strRef>
          </c:tx>
          <c:spPr>
            <a:gradFill>
              <a:gsLst>
                <a:gs pos="0">
                  <a:schemeClr val="accent5"/>
                </a:gs>
                <a:gs pos="100000">
                  <a:schemeClr val="accent6"/>
                </a:gs>
              </a:gsLst>
              <a:lin ang="5400000" scaled="0"/>
            </a:gradFill>
            <a:ln>
              <a:noFill/>
            </a:ln>
            <a:effectLst/>
          </c:spPr>
          <c:cat>
            <c:numRef>
              <c:f>Sheet1!$A$2:$A$3</c:f>
              <c:numCache>
                <c:formatCode>General</c:formatCode>
                <c:ptCount val="2"/>
                <c:pt idx="0">
                  <c:v>2024</c:v>
                </c:pt>
                <c:pt idx="1">
                  <c:v>2023</c:v>
                </c:pt>
              </c:numCache>
            </c:numRef>
          </c:cat>
          <c:val>
            <c:numRef>
              <c:f>Sheet1!#REF!</c:f>
              <c:numCache>
                <c:formatCode>General</c:formatCode>
                <c:ptCount val="1"/>
                <c:pt idx="0">
                  <c:v>1</c:v>
                </c:pt>
              </c:numCache>
            </c:numRef>
          </c:val>
        </c:ser>
        <c:axId val="294710656"/>
        <c:axId val="294786176"/>
      </c:barChart>
      <c:catAx>
        <c:axId val="294710656"/>
        <c:scaling>
          <c:orientation val="minMax"/>
        </c:scaling>
        <c:axPos val="b"/>
        <c:majorGridlines>
          <c:spPr>
            <a:ln w="6350" cap="flat" cmpd="sng" algn="ctr">
              <a:solidFill>
                <a:schemeClr val="tx1">
                  <a:lumMod val="50000"/>
                  <a:lumOff val="50000"/>
                  <a:alpha val="25000"/>
                </a:schemeClr>
              </a:solidFill>
              <a:round/>
            </a:ln>
            <a:effectLst/>
          </c:spPr>
        </c:majorGridlines>
        <c:numFmt formatCode="General" sourceLinked="1"/>
        <c:maj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crossAx val="294786176"/>
        <c:crosses val="autoZero"/>
        <c:auto val="1"/>
        <c:lblAlgn val="ctr"/>
        <c:lblOffset val="100"/>
      </c:catAx>
      <c:valAx>
        <c:axId val="294786176"/>
        <c:scaling>
          <c:orientation val="minMax"/>
        </c:scaling>
        <c:axPos val="l"/>
        <c:numFmt formatCode="General" sourceLinked="1"/>
        <c:maj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crossAx val="294710656"/>
        <c:crosses val="autoZero"/>
        <c:crossBetween val="between"/>
      </c:valAx>
      <c:spPr>
        <a:noFill/>
        <a:ln w="6350">
          <a:solidFill>
            <a:schemeClr val="tx1">
              <a:lumMod val="50000"/>
              <a:lumOff val="50000"/>
              <a:alpha val="25000"/>
            </a:schemeClr>
          </a:solidFill>
        </a:ln>
        <a:effectLst/>
      </c:spPr>
    </c:plotArea>
    <c:legend>
      <c:legendPos val="t"/>
      <c:legendEntry>
        <c:idx val="2"/>
        <c:delete val="1"/>
      </c:legendEntry>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gap"/>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zh-CN" altLang="en-US"/>
              <a:t>收入决算总表</a:t>
            </a:r>
          </a:p>
        </c:rich>
      </c:tx>
      <c:spPr>
        <a:noFill/>
        <a:ln>
          <a:noFill/>
        </a:ln>
        <a:effectLst/>
      </c:spPr>
    </c:title>
    <c:plotArea>
      <c:layout/>
      <c:pieChart>
        <c:varyColors val="1"/>
        <c:ser>
          <c:idx val="1"/>
          <c:order val="0"/>
          <c:tx>
            <c:strRef>
              <c:f>Sheet1!$B$1</c:f>
              <c:strCache>
                <c:ptCount val="1"/>
                <c:pt idx="0">
                  <c:v>收入</c:v>
                </c:pt>
              </c:strCache>
            </c:strRef>
          </c:tx>
          <c:dPt>
            <c:idx val="0"/>
            <c:spPr>
              <a:solidFill>
                <a:schemeClr val="accent1"/>
              </a:solidFill>
              <a:ln>
                <a:solidFill>
                  <a:schemeClr val="bg1"/>
                </a:solidFill>
              </a:ln>
              <a:effectLst/>
            </c:spPr>
          </c:dPt>
          <c:dPt>
            <c:idx val="1"/>
            <c:spPr>
              <a:solidFill>
                <a:schemeClr val="accent2"/>
              </a:solidFill>
              <a:ln>
                <a:solidFill>
                  <a:schemeClr val="bg1"/>
                </a:solidFill>
              </a:ln>
              <a:effectLst/>
            </c:spPr>
          </c:dPt>
          <c:dPt>
            <c:idx val="2"/>
            <c:spPr>
              <a:solidFill>
                <a:schemeClr val="accent3"/>
              </a:solidFill>
              <a:ln>
                <a:solidFill>
                  <a:schemeClr val="bg1"/>
                </a:solidFill>
              </a:ln>
              <a:effectLst/>
            </c:spPr>
          </c:dPt>
          <c:dPt>
            <c:idx val="3"/>
            <c:spPr>
              <a:solidFill>
                <a:schemeClr val="accent4"/>
              </a:solidFill>
              <a:ln>
                <a:solidFill>
                  <a:schemeClr val="bg1"/>
                </a:solidFill>
              </a:ln>
              <a:effectLst/>
            </c:spPr>
          </c:dPt>
          <c:dPt>
            <c:idx val="4"/>
            <c:spPr>
              <a:solidFill>
                <a:schemeClr val="accent5"/>
              </a:solidFill>
              <a:ln>
                <a:solidFill>
                  <a:schemeClr val="bg1"/>
                </a:solidFill>
              </a:ln>
              <a:effectLst/>
            </c:spPr>
          </c:dPt>
          <c:dPt>
            <c:idx val="5"/>
            <c:spPr>
              <a:solidFill>
                <a:schemeClr val="accent6"/>
              </a:solidFill>
              <a:ln>
                <a:solidFill>
                  <a:schemeClr val="bg1"/>
                </a:solidFill>
              </a:ln>
              <a:effectLst/>
            </c:spPr>
          </c:dPt>
          <c:dPt>
            <c:idx val="6"/>
            <c:spPr>
              <a:solidFill>
                <a:schemeClr val="accent1">
                  <a:lumMod val="60000"/>
                </a:schemeClr>
              </a:solidFill>
              <a:ln>
                <a:solidFill>
                  <a:schemeClr val="bg1"/>
                </a:solidFill>
              </a:ln>
              <a:effectLst/>
            </c:spPr>
          </c:dPt>
          <c:dPt>
            <c:idx val="7"/>
            <c:spPr>
              <a:solidFill>
                <a:schemeClr val="accent2">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inEnd"/>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General</c:formatCode>
                <c:ptCount val="8"/>
                <c:pt idx="0">
                  <c:v>1268.31</c:v>
                </c:pt>
                <c:pt idx="1">
                  <c:v>0</c:v>
                </c:pt>
                <c:pt idx="2">
                  <c:v>0</c:v>
                </c:pt>
                <c:pt idx="3">
                  <c:v>0</c:v>
                </c:pt>
                <c:pt idx="4">
                  <c:v>0</c:v>
                </c:pt>
                <c:pt idx="5">
                  <c:v>0</c:v>
                </c:pt>
                <c:pt idx="6">
                  <c:v>0</c:v>
                </c:pt>
                <c:pt idx="7">
                  <c:v>0</c:v>
                </c:pt>
              </c:numCache>
            </c:numRef>
          </c:val>
        </c:ser>
        <c:dLbls>
          <c:showVal val="1"/>
        </c:dLbls>
        <c:firstSliceAng val="0"/>
      </c:pieChart>
      <c:spPr>
        <a:noFill/>
        <a:ln>
          <a:noFill/>
        </a:ln>
        <a:effectLst/>
      </c:spPr>
    </c:plotArea>
    <c:legend>
      <c:legendPos val="t"/>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zero"/>
  </c:chart>
  <c:spPr>
    <a:solidFill>
      <a:schemeClr val="bg1"/>
    </a:solidFill>
    <a:ln w="9525"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zh-CN" altLang="en-US"/>
              <a:t>支出决算总表</a:t>
            </a:r>
          </a:p>
        </c:rich>
      </c:tx>
      <c:spPr>
        <a:noFill/>
        <a:ln>
          <a:noFill/>
        </a:ln>
        <a:effectLst/>
      </c:spPr>
    </c:title>
    <c:plotArea>
      <c:layout/>
      <c:pieChart>
        <c:varyColors val="1"/>
        <c:ser>
          <c:idx val="0"/>
          <c:order val="0"/>
          <c:tx>
            <c:strRef>
              <c:f>Sheet1!$B$1</c:f>
              <c:strCache>
                <c:ptCount val="1"/>
                <c:pt idx="0">
                  <c:v>支出</c:v>
                </c:pt>
              </c:strCache>
            </c:strRef>
          </c:tx>
          <c:spPr>
            <a:ln>
              <a:noFill/>
            </a:ln>
          </c:spPr>
          <c:dPt>
            <c:idx val="0"/>
            <c:spPr>
              <a:solidFill>
                <a:schemeClr val="accent1"/>
              </a:solidFill>
              <a:ln>
                <a:noFill/>
              </a:ln>
              <a:effectLst/>
            </c:spPr>
          </c:dPt>
          <c:dPt>
            <c:idx val="1"/>
            <c:spPr>
              <a:solidFill>
                <a:schemeClr val="accent2"/>
              </a:solidFill>
              <a:ln>
                <a:noFill/>
              </a:ln>
              <a:effectLst/>
            </c:spPr>
          </c:dPt>
          <c:dPt>
            <c:idx val="2"/>
            <c:spPr>
              <a:solidFill>
                <a:schemeClr val="accent3"/>
              </a:solidFill>
              <a:ln>
                <a:noFill/>
              </a:ln>
              <a:effectLst/>
            </c:spPr>
          </c:dPt>
          <c:dPt>
            <c:idx val="3"/>
            <c:spPr>
              <a:solidFill>
                <a:schemeClr val="accent4"/>
              </a:solidFill>
              <a:ln>
                <a:noFill/>
              </a:ln>
              <a:effectLst/>
            </c:spPr>
          </c:dPt>
          <c:dPt>
            <c:idx val="4"/>
            <c:spPr>
              <a:solidFill>
                <a:schemeClr val="accent5"/>
              </a:solidFill>
              <a:ln>
                <a:noFill/>
              </a:ln>
              <a:effectLst/>
            </c:spPr>
          </c:dPt>
          <c:dLbls>
            <c:dLbl>
              <c:idx val="2"/>
              <c:delete val="1"/>
            </c:dLbl>
            <c:dLbl>
              <c:idx val="3"/>
              <c:delete val="1"/>
            </c:dLbl>
            <c:dLbl>
              <c:idx val="4"/>
              <c:delete val="1"/>
            </c:dLbl>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inEnd"/>
            <c:showVal val="1"/>
            <c:showCatName val="1"/>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对附属单位补助支出</c:v>
                </c:pt>
                <c:pt idx="4">
                  <c:v>经营支出</c:v>
                </c:pt>
              </c:strCache>
            </c:strRef>
          </c:cat>
          <c:val>
            <c:numRef>
              <c:f>Sheet1!$B$2:$B$6</c:f>
              <c:numCache>
                <c:formatCode>General</c:formatCode>
                <c:ptCount val="5"/>
                <c:pt idx="0">
                  <c:v>951.31999999999971</c:v>
                </c:pt>
                <c:pt idx="1">
                  <c:v>316.98999999999984</c:v>
                </c:pt>
                <c:pt idx="2">
                  <c:v>0</c:v>
                </c:pt>
                <c:pt idx="3">
                  <c:v>0</c:v>
                </c:pt>
                <c:pt idx="4">
                  <c:v>0</c:v>
                </c:pt>
              </c:numCache>
            </c:numRef>
          </c:val>
        </c:ser>
        <c:dLbls>
          <c:showVal val="1"/>
        </c:dLbls>
        <c:firstSliceAng val="0"/>
      </c:pieChart>
      <c:spPr>
        <a:noFill/>
        <a:ln>
          <a:noFill/>
        </a:ln>
        <a:effectLst/>
      </c:spPr>
    </c:plotArea>
    <c:plotVisOnly val="1"/>
    <c:dispBlanksAs val="zero"/>
  </c:chart>
  <c:spPr>
    <a:solidFill>
      <a:schemeClr val="bg1"/>
    </a:solidFill>
    <a:ln w="6350"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zh-CN" altLang="en-US"/>
              <a:t>收入、支出决算总计变动情况图</a:t>
            </a:r>
          </a:p>
        </c:rich>
      </c:tx>
      <c:layout>
        <c:manualLayout>
          <c:xMode val="edge"/>
          <c:yMode val="edge"/>
          <c:x val="0.26262382217927016"/>
          <c:y val="5.0361240968975804E-2"/>
        </c:manualLayout>
      </c:layout>
      <c:spPr>
        <a:noFill/>
        <a:ln>
          <a:noFill/>
        </a:ln>
        <a:effectLst/>
      </c:spPr>
    </c:title>
    <c:plotArea>
      <c:layout/>
      <c:barChart>
        <c:barDir val="col"/>
        <c:grouping val="clustered"/>
        <c:ser>
          <c:idx val="0"/>
          <c:order val="0"/>
          <c:tx>
            <c:strRef>
              <c:f>Sheet1!$B$1</c:f>
              <c:strCache>
                <c:ptCount val="1"/>
                <c:pt idx="0">
                  <c:v>收入</c:v>
                </c:pt>
              </c:strCache>
            </c:strRef>
          </c:tx>
          <c:spPr>
            <a:gradFill>
              <a:gsLst>
                <a:gs pos="0">
                  <a:schemeClr val="accent1"/>
                </a:gs>
                <a:gs pos="100000">
                  <a:schemeClr val="accent2"/>
                </a:gs>
              </a:gsLst>
              <a:lin ang="5400000" scaled="0"/>
            </a:gradFill>
            <a:ln>
              <a:noFill/>
            </a:ln>
            <a:effectLst/>
          </c:spPr>
          <c:cat>
            <c:numRef>
              <c:f>Sheet1!$A$2:$A$3</c:f>
              <c:numCache>
                <c:formatCode>General</c:formatCode>
                <c:ptCount val="2"/>
                <c:pt idx="0">
                  <c:v>2024</c:v>
                </c:pt>
                <c:pt idx="1">
                  <c:v>2023</c:v>
                </c:pt>
              </c:numCache>
            </c:numRef>
          </c:cat>
          <c:val>
            <c:numRef>
              <c:f>Sheet1!$B$2:$B$3</c:f>
              <c:numCache>
                <c:formatCode>General</c:formatCode>
                <c:ptCount val="2"/>
                <c:pt idx="0">
                  <c:v>1268.31</c:v>
                </c:pt>
                <c:pt idx="1">
                  <c:v>1401.32</c:v>
                </c:pt>
              </c:numCache>
            </c:numRef>
          </c:val>
        </c:ser>
        <c:ser>
          <c:idx val="1"/>
          <c:order val="1"/>
          <c:tx>
            <c:strRef>
              <c:f>Sheet1!$C$1</c:f>
              <c:strCache>
                <c:ptCount val="1"/>
                <c:pt idx="0">
                  <c:v>支出</c:v>
                </c:pt>
              </c:strCache>
            </c:strRef>
          </c:tx>
          <c:spPr>
            <a:gradFill>
              <a:gsLst>
                <a:gs pos="0">
                  <a:schemeClr val="accent3"/>
                </a:gs>
                <a:gs pos="100000">
                  <a:schemeClr val="accent4"/>
                </a:gs>
              </a:gsLst>
              <a:lin ang="5400000" scaled="0"/>
            </a:gradFill>
            <a:ln>
              <a:noFill/>
            </a:ln>
            <a:effectLst/>
          </c:spPr>
          <c:cat>
            <c:numRef>
              <c:f>Sheet1!$A$2:$A$3</c:f>
              <c:numCache>
                <c:formatCode>General</c:formatCode>
                <c:ptCount val="2"/>
                <c:pt idx="0">
                  <c:v>2024</c:v>
                </c:pt>
                <c:pt idx="1">
                  <c:v>2023</c:v>
                </c:pt>
              </c:numCache>
            </c:numRef>
          </c:cat>
          <c:val>
            <c:numRef>
              <c:f>Sheet1!$C$2:$C$3</c:f>
              <c:numCache>
                <c:formatCode>General</c:formatCode>
                <c:ptCount val="2"/>
                <c:pt idx="0">
                  <c:v>1268.31</c:v>
                </c:pt>
                <c:pt idx="1">
                  <c:v>1401.32</c:v>
                </c:pt>
              </c:numCache>
            </c:numRef>
          </c:val>
        </c:ser>
        <c:ser>
          <c:idx val="2"/>
          <c:order val="2"/>
          <c:tx>
            <c:strRef>
              <c:f>Sheet1!#REF!</c:f>
              <c:strCache>
                <c:ptCount val="1"/>
              </c:strCache>
            </c:strRef>
          </c:tx>
          <c:spPr>
            <a:gradFill>
              <a:gsLst>
                <a:gs pos="0">
                  <a:schemeClr val="accent5"/>
                </a:gs>
                <a:gs pos="100000">
                  <a:schemeClr val="accent6"/>
                </a:gs>
              </a:gsLst>
              <a:lin ang="5400000" scaled="0"/>
            </a:gradFill>
            <a:ln>
              <a:noFill/>
            </a:ln>
            <a:effectLst/>
          </c:spPr>
          <c:cat>
            <c:numRef>
              <c:f>Sheet1!$A$2:$A$3</c:f>
              <c:numCache>
                <c:formatCode>General</c:formatCode>
                <c:ptCount val="2"/>
                <c:pt idx="0">
                  <c:v>2024</c:v>
                </c:pt>
                <c:pt idx="1">
                  <c:v>2023</c:v>
                </c:pt>
              </c:numCache>
            </c:numRef>
          </c:cat>
          <c:val>
            <c:numRef>
              <c:f>Sheet1!#REF!</c:f>
              <c:numCache>
                <c:formatCode>General</c:formatCode>
                <c:ptCount val="1"/>
                <c:pt idx="0">
                  <c:v>1</c:v>
                </c:pt>
              </c:numCache>
            </c:numRef>
          </c:val>
        </c:ser>
        <c:axId val="296264832"/>
        <c:axId val="296266368"/>
      </c:barChart>
      <c:catAx>
        <c:axId val="296264832"/>
        <c:scaling>
          <c:orientation val="minMax"/>
        </c:scaling>
        <c:axPos val="b"/>
        <c:majorGridlines>
          <c:spPr>
            <a:ln w="6350" cap="flat" cmpd="sng" algn="ctr">
              <a:solidFill>
                <a:schemeClr val="tx1">
                  <a:lumMod val="50000"/>
                  <a:lumOff val="50000"/>
                  <a:alpha val="25000"/>
                </a:schemeClr>
              </a:solidFill>
              <a:round/>
            </a:ln>
            <a:effectLst/>
          </c:spPr>
        </c:majorGridlines>
        <c:numFmt formatCode="General" sourceLinked="1"/>
        <c:maj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crossAx val="296266368"/>
        <c:crosses val="autoZero"/>
        <c:auto val="1"/>
        <c:lblAlgn val="ctr"/>
        <c:lblOffset val="100"/>
      </c:catAx>
      <c:valAx>
        <c:axId val="296266368"/>
        <c:scaling>
          <c:orientation val="minMax"/>
        </c:scaling>
        <c:axPos val="l"/>
        <c:numFmt formatCode="General" sourceLinked="1"/>
        <c:maj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crossAx val="296264832"/>
        <c:crosses val="autoZero"/>
        <c:crossBetween val="between"/>
      </c:valAx>
      <c:spPr>
        <a:noFill/>
        <a:ln w="6350">
          <a:solidFill>
            <a:schemeClr val="tx1">
              <a:lumMod val="50000"/>
              <a:lumOff val="50000"/>
              <a:alpha val="25000"/>
            </a:schemeClr>
          </a:solidFill>
        </a:ln>
        <a:effectLst/>
      </c:spPr>
    </c:plotArea>
    <c:legend>
      <c:legendPos val="t"/>
      <c:legendEntry>
        <c:idx val="2"/>
        <c:delete val="1"/>
      </c:legendEntry>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gap"/>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zh-CN" altLang="en-US"/>
              <a:t>支出决算总计变动情况图</a:t>
            </a:r>
          </a:p>
        </c:rich>
      </c:tx>
      <c:layout>
        <c:manualLayout>
          <c:xMode val="edge"/>
          <c:yMode val="edge"/>
          <c:x val="0.26262382217927016"/>
          <c:y val="5.0361240968975804E-2"/>
        </c:manualLayout>
      </c:layout>
      <c:spPr>
        <a:noFill/>
        <a:ln>
          <a:noFill/>
        </a:ln>
        <a:effectLst/>
      </c:spPr>
    </c:title>
    <c:plotArea>
      <c:layout/>
      <c:barChart>
        <c:barDir val="col"/>
        <c:grouping val="clustered"/>
        <c:ser>
          <c:idx val="1"/>
          <c:order val="0"/>
          <c:tx>
            <c:strRef>
              <c:f>Sheet1!$C$1</c:f>
              <c:strCache>
                <c:ptCount val="1"/>
                <c:pt idx="0">
                  <c:v>支出</c:v>
                </c:pt>
              </c:strCache>
            </c:strRef>
          </c:tx>
          <c:spPr>
            <a:gradFill>
              <a:gsLst>
                <a:gs pos="0">
                  <a:schemeClr val="accent3"/>
                </a:gs>
                <a:gs pos="100000">
                  <a:schemeClr val="accent4"/>
                </a:gs>
              </a:gsLst>
              <a:lin ang="5400000" scaled="0"/>
            </a:gradFill>
            <a:ln>
              <a:noFill/>
            </a:ln>
            <a:effectLst/>
          </c:spPr>
          <c:cat>
            <c:numRef>
              <c:f>Sheet1!$A$2:$A$3</c:f>
              <c:numCache>
                <c:formatCode>General</c:formatCode>
                <c:ptCount val="2"/>
                <c:pt idx="0">
                  <c:v>2024</c:v>
                </c:pt>
                <c:pt idx="1">
                  <c:v>2023</c:v>
                </c:pt>
              </c:numCache>
            </c:numRef>
          </c:cat>
          <c:val>
            <c:numRef>
              <c:f>Sheet1!$C$2:$C$3</c:f>
              <c:numCache>
                <c:formatCode>General</c:formatCode>
                <c:ptCount val="2"/>
                <c:pt idx="0">
                  <c:v>1268.31</c:v>
                </c:pt>
                <c:pt idx="1">
                  <c:v>1401.32</c:v>
                </c:pt>
              </c:numCache>
            </c:numRef>
          </c:val>
        </c:ser>
        <c:ser>
          <c:idx val="2"/>
          <c:order val="1"/>
          <c:tx>
            <c:strRef>
              <c:f>Sheet1!#REF!</c:f>
              <c:strCache>
                <c:ptCount val="1"/>
              </c:strCache>
            </c:strRef>
          </c:tx>
          <c:spPr>
            <a:gradFill>
              <a:gsLst>
                <a:gs pos="0">
                  <a:schemeClr val="accent5"/>
                </a:gs>
                <a:gs pos="100000">
                  <a:schemeClr val="accent6"/>
                </a:gs>
              </a:gsLst>
              <a:lin ang="5400000" scaled="0"/>
            </a:gradFill>
            <a:ln>
              <a:noFill/>
            </a:ln>
            <a:effectLst/>
          </c:spPr>
          <c:cat>
            <c:numRef>
              <c:f>Sheet1!$A$2:$A$3</c:f>
              <c:numCache>
                <c:formatCode>General</c:formatCode>
                <c:ptCount val="2"/>
                <c:pt idx="0">
                  <c:v>2024</c:v>
                </c:pt>
                <c:pt idx="1">
                  <c:v>2023</c:v>
                </c:pt>
              </c:numCache>
            </c:numRef>
          </c:cat>
          <c:val>
            <c:numRef>
              <c:f>Sheet1!#REF!</c:f>
              <c:numCache>
                <c:formatCode>General</c:formatCode>
                <c:ptCount val="1"/>
                <c:pt idx="0">
                  <c:v>1</c:v>
                </c:pt>
              </c:numCache>
            </c:numRef>
          </c:val>
        </c:ser>
        <c:axId val="287139328"/>
        <c:axId val="287140864"/>
      </c:barChart>
      <c:catAx>
        <c:axId val="287139328"/>
        <c:scaling>
          <c:orientation val="minMax"/>
        </c:scaling>
        <c:axPos val="b"/>
        <c:majorGridlines>
          <c:spPr>
            <a:ln w="6350" cap="flat" cmpd="sng" algn="ctr">
              <a:solidFill>
                <a:schemeClr val="tx1">
                  <a:lumMod val="50000"/>
                  <a:lumOff val="50000"/>
                  <a:alpha val="25000"/>
                </a:schemeClr>
              </a:solidFill>
              <a:prstDash val="solid"/>
              <a:round/>
            </a:ln>
            <a:effectLst/>
          </c:spPr>
        </c:majorGridlines>
        <c:numFmt formatCode="General" sourceLinked="1"/>
        <c:majorTickMark val="none"/>
        <c:tickLblPos val="nextTo"/>
        <c:spPr>
          <a:noFill/>
          <a:ln w="6350" cap="flat" cmpd="sng" algn="ctr">
            <a:solidFill>
              <a:schemeClr val="tx1">
                <a:lumMod val="50000"/>
                <a:lumOff val="50000"/>
                <a:alpha val="2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crossAx val="287140864"/>
        <c:crosses val="autoZero"/>
        <c:auto val="1"/>
        <c:lblAlgn val="ctr"/>
        <c:lblOffset val="100"/>
      </c:catAx>
      <c:valAx>
        <c:axId val="287140864"/>
        <c:scaling>
          <c:orientation val="minMax"/>
        </c:scaling>
        <c:axPos val="l"/>
        <c:numFmt formatCode="General" sourceLinked="1"/>
        <c:majorTickMark val="none"/>
        <c:tickLblPos val="nextTo"/>
        <c:spPr>
          <a:noFill/>
          <a:ln w="1270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crossAx val="287139328"/>
        <c:crosses val="autoZero"/>
        <c:crossBetween val="between"/>
      </c:valAx>
      <c:spPr>
        <a:noFill/>
        <a:ln w="6350">
          <a:solidFill>
            <a:schemeClr val="tx1">
              <a:lumMod val="50000"/>
              <a:lumOff val="50000"/>
              <a:alpha val="25000"/>
            </a:schemeClr>
          </a:solidFill>
        </a:ln>
        <a:effectLst/>
      </c:spPr>
    </c:plotArea>
    <c:legend>
      <c:legendPos val="t"/>
      <c:legendEntry>
        <c:idx val="1"/>
        <c:delete val="1"/>
      </c:legendEntry>
      <c:layout>
        <c:manualLayout>
          <c:xMode val="edge"/>
          <c:yMode val="edge"/>
          <c:x val="0.42661270838366833"/>
          <c:y val="0.17556253270539016"/>
        </c:manualLayout>
      </c:layout>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gap"/>
  </c:chart>
  <c:spPr>
    <a:solidFill>
      <a:schemeClr val="bg1"/>
    </a:solidFill>
    <a:ln w="6350" cap="flat" cmpd="sng" algn="ctr">
      <a:solidFill>
        <a:schemeClr val="tx1">
          <a:lumMod val="50000"/>
          <a:lumOff val="50000"/>
          <a:alpha val="25000"/>
        </a:schemeClr>
      </a:solidFill>
      <a:prstDash val="solid"/>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一般公共预算财政拨款支出</a:t>
            </a:r>
          </a:p>
        </c:rich>
      </c:tx>
    </c:title>
    <c:plotArea>
      <c:layout/>
      <c:pieChart>
        <c:varyColors val="1"/>
        <c:ser>
          <c:idx val="1"/>
          <c:order val="0"/>
          <c:tx>
            <c:strRef>
              <c:f>Sheet1!$B$1</c:f>
              <c:strCache>
                <c:ptCount val="1"/>
                <c:pt idx="0">
                  <c:v>支出</c:v>
                </c:pt>
              </c:strCache>
            </c:strRef>
          </c:tx>
          <c:dLbls>
            <c:dLbl>
              <c:idx val="0"/>
              <c:dLblPos val="inEnd"/>
              <c:showVal val="1"/>
              <c:separator>
</c:separator>
              <c:extLst>
                <c:ext xmlns:c15="http://schemas.microsoft.com/office/drawing/2012/chart" uri="{CE6537A1-D6FC-4f65-9D91-7224C49458BB}"/>
              </c:extLst>
            </c:dLbl>
            <c:dLbl>
              <c:idx val="1"/>
              <c:dLblPos val="inEnd"/>
              <c:showVal val="1"/>
              <c:separator>
</c:separator>
              <c:extLst>
                <c:ext xmlns:c15="http://schemas.microsoft.com/office/drawing/2012/chart" uri="{CE6537A1-D6FC-4f65-9D91-7224C49458BB}"/>
              </c:extLst>
            </c:dLbl>
            <c:dLbl>
              <c:idx val="2"/>
              <c:dLblPos val="inEnd"/>
              <c:showVal val="1"/>
              <c:separator>
</c:separator>
              <c:extLst>
                <c:ext xmlns:c15="http://schemas.microsoft.com/office/drawing/2012/chart" uri="{CE6537A1-D6FC-4f65-9D91-7224C49458BB}"/>
              </c:extLst>
            </c:dLbl>
            <c:dLbl>
              <c:idx val="3"/>
              <c:dLblPos val="inEnd"/>
              <c:showVal val="1"/>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inEnd"/>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6.94</c:v>
                </c:pt>
                <c:pt idx="1">
                  <c:v>147.72</c:v>
                </c:pt>
                <c:pt idx="2">
                  <c:v>1045.06</c:v>
                </c:pt>
                <c:pt idx="3">
                  <c:v>68.59</c:v>
                </c:pt>
              </c:numCache>
            </c:numRef>
          </c:val>
        </c:ser>
        <c:dLbls>
          <c:showVal val="1"/>
        </c:dLbls>
        <c:firstSliceAng val="0"/>
      </c:pieChart>
    </c:plotArea>
    <c:legend>
      <c:legendPos val="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“三公”经费支出表</a:t>
            </a:r>
          </a:p>
        </c:rich>
      </c:tx>
      <c:spPr>
        <a:noFill/>
        <a:ln>
          <a:noFill/>
        </a:ln>
        <a:effectLst/>
      </c:spPr>
    </c:title>
    <c:plotArea>
      <c:layout/>
      <c:pieChart>
        <c:varyColors val="1"/>
        <c:ser>
          <c:idx val="0"/>
          <c:order val="0"/>
          <c:tx>
            <c:strRef>
              <c:f>Sheet1!$B$1</c:f>
              <c:strCache>
                <c:ptCount val="1"/>
                <c:pt idx="0">
                  <c:v>支出</c:v>
                </c:pt>
              </c:strCache>
            </c:strRef>
          </c:tx>
          <c:dPt>
            <c:idx val="0"/>
            <c:spPr>
              <a:solidFill>
                <a:schemeClr val="accent1"/>
              </a:solidFill>
              <a:ln>
                <a:solidFill>
                  <a:schemeClr val="bg1"/>
                </a:solidFill>
              </a:ln>
              <a:effectLst/>
            </c:spPr>
          </c:dPt>
          <c:dPt>
            <c:idx val="1"/>
            <c:spPr>
              <a:solidFill>
                <a:schemeClr val="accent2"/>
              </a:solidFill>
              <a:ln>
                <a:solidFill>
                  <a:schemeClr val="bg1"/>
                </a:solidFill>
              </a:ln>
              <a:effectLst/>
            </c:spPr>
          </c:dPt>
          <c:dPt>
            <c:idx val="2"/>
            <c:spPr>
              <a:solidFill>
                <a:schemeClr val="accent3"/>
              </a:solidFill>
              <a:ln>
                <a:solidFill>
                  <a:schemeClr val="bg1"/>
                </a:solidFill>
              </a:ln>
              <a:effectLst/>
            </c:spPr>
          </c:dPt>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0.46</c:v>
                </c:pt>
              </c:numCache>
            </c:numRef>
          </c:val>
        </c:ser>
        <c:firstSliceAng val="0"/>
      </c:pieChart>
      <c:spPr>
        <a:noFill/>
        <a:ln>
          <a:noFill/>
        </a:ln>
        <a:effectLst/>
      </c:spPr>
    </c:plotArea>
    <c:legend>
      <c:legendPos val="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自定义 3">
    <a:dk1>
      <a:srgbClr val="000000"/>
    </a:dk1>
    <a:lt1>
      <a:srgbClr val="FFFFFF"/>
    </a:lt1>
    <a:dk2>
      <a:srgbClr val="44546A"/>
    </a:dk2>
    <a:lt2>
      <a:srgbClr val="E7E6E6"/>
    </a:lt2>
    <a:accent1>
      <a:srgbClr val="EE5796"/>
    </a:accent1>
    <a:accent2>
      <a:srgbClr val="F9B525"/>
    </a:accent2>
    <a:accent3>
      <a:srgbClr val="6D78FA"/>
    </a:accent3>
    <a:accent4>
      <a:srgbClr val="0EE2EF"/>
    </a:accent4>
    <a:accent5>
      <a:srgbClr val="93DE03"/>
    </a:accent5>
    <a:accent6>
      <a:srgbClr val="F5F804"/>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自定义 3">
    <a:dk1>
      <a:srgbClr val="000000"/>
    </a:dk1>
    <a:lt1>
      <a:srgbClr val="FFFFFF"/>
    </a:lt1>
    <a:dk2>
      <a:srgbClr val="44546A"/>
    </a:dk2>
    <a:lt2>
      <a:srgbClr val="E7E6E6"/>
    </a:lt2>
    <a:accent1>
      <a:srgbClr val="EE5796"/>
    </a:accent1>
    <a:accent2>
      <a:srgbClr val="F9B525"/>
    </a:accent2>
    <a:accent3>
      <a:srgbClr val="6D78FA"/>
    </a:accent3>
    <a:accent4>
      <a:srgbClr val="0EE2EF"/>
    </a:accent4>
    <a:accent5>
      <a:srgbClr val="93DE03"/>
    </a:accent5>
    <a:accent6>
      <a:srgbClr val="F5F804"/>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自定义 3">
    <a:dk1>
      <a:srgbClr val="000000"/>
    </a:dk1>
    <a:lt1>
      <a:srgbClr val="FFFFFF"/>
    </a:lt1>
    <a:dk2>
      <a:srgbClr val="44546A"/>
    </a:dk2>
    <a:lt2>
      <a:srgbClr val="E7E6E6"/>
    </a:lt2>
    <a:accent1>
      <a:srgbClr val="EE5796"/>
    </a:accent1>
    <a:accent2>
      <a:srgbClr val="F9B525"/>
    </a:accent2>
    <a:accent3>
      <a:srgbClr val="6D78FA"/>
    </a:accent3>
    <a:accent4>
      <a:srgbClr val="0EE2EF"/>
    </a:accent4>
    <a:accent5>
      <a:srgbClr val="93DE03"/>
    </a:accent5>
    <a:accent6>
      <a:srgbClr val="F5F804"/>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CDB620-31CE-4D65-8023-B60450B06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29</Pages>
  <Words>10225</Words>
  <Characters>3431</Characters>
  <Application>Microsoft Office Word</Application>
  <DocSecurity>0</DocSecurity>
  <Lines>28</Lines>
  <Paragraphs>27</Paragraphs>
  <ScaleCrop>false</ScaleCrop>
  <Company>四川省财政厅</Company>
  <LinksUpToDate>false</LinksUpToDate>
  <CharactersWithSpaces>13629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申聂</cp:lastModifiedBy>
  <cp:revision>17</cp:revision>
  <cp:lastPrinted>2025-08-06T17:34:00Z</cp:lastPrinted>
  <dcterms:created xsi:type="dcterms:W3CDTF">2025-09-08T01:41:00Z</dcterms:created>
  <dcterms:modified xsi:type="dcterms:W3CDTF">2025-09-12T09:48:00Z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04787F2533EB45DC91BCDE4AB213247F</vt:lpwstr>
  </property>
  <property fmtid="{D5CDD505-2E9C-101B-9397-08002B2CF9AE}" pid="4" name="KSOTemplateDocerSaveRecord">
    <vt:lpwstr>eyJoZGlkIjoiNzViNzI4ZGFkNDljNWY1YmFiMTM2YThkMzQwNDhlMTQifQ==</vt:lpwstr>
  </property>
</Properties>
</file>