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pacing w:line="580" w:lineRule="exact"/>
        <w:contextualSpacing/>
        <w:jc w:val="center"/>
        <w:rPr>
          <w:rFonts w:eastAsia="方正小标宋_GBK"/>
          <w:sz w:val="44"/>
          <w:szCs w:val="44"/>
          <w:shd w:val="clear" w:color="auto" w:fill="FFFFFF"/>
        </w:rPr>
      </w:pPr>
      <w:r>
        <w:rPr>
          <w:rFonts w:eastAsia="方正小标宋_GBK"/>
          <w:sz w:val="44"/>
          <w:szCs w:val="44"/>
          <w:shd w:val="clear" w:color="auto" w:fill="FFFFFF"/>
        </w:rPr>
        <w:t>攀枝花市医疗保障局</w:t>
      </w:r>
    </w:p>
    <w:p>
      <w:pPr>
        <w:widowControl/>
        <w:spacing w:line="578" w:lineRule="exact"/>
        <w:contextualSpacing/>
        <w:jc w:val="center"/>
        <w:rPr>
          <w:rFonts w:eastAsia="方正小标宋_GBK"/>
          <w:sz w:val="44"/>
          <w:szCs w:val="44"/>
          <w:shd w:val="clear" w:color="auto" w:fill="FFFFFF"/>
        </w:rPr>
      </w:pPr>
      <w:r>
        <w:rPr>
          <w:rFonts w:eastAsia="方正小标宋_GBK" w:hint="eastAsia"/>
          <w:sz w:val="44"/>
          <w:szCs w:val="44"/>
          <w:shd w:val="clear" w:color="auto" w:fill="FFFFFF"/>
        </w:rPr>
        <w:t>2024年</w:t>
      </w:r>
      <w:r>
        <w:rPr>
          <w:rFonts w:eastAsia="方正小标宋_GBK"/>
          <w:sz w:val="44"/>
          <w:szCs w:val="44"/>
          <w:shd w:val="clear" w:color="auto" w:fill="FFFFFF"/>
        </w:rPr>
        <w:t>部门预算绩效</w:t>
      </w:r>
      <w:r>
        <w:rPr>
          <w:rFonts w:eastAsia="方正小标宋_GBK" w:hint="eastAsia"/>
          <w:sz w:val="44"/>
          <w:szCs w:val="44"/>
          <w:shd w:val="clear" w:color="auto" w:fill="FFFFFF"/>
        </w:rPr>
        <w:t>自评</w:t>
      </w:r>
      <w:r>
        <w:rPr>
          <w:rFonts w:eastAsia="方正小标宋_GBK"/>
          <w:sz w:val="44"/>
          <w:szCs w:val="44"/>
          <w:shd w:val="clear" w:color="auto" w:fill="FFFFFF"/>
        </w:rPr>
        <w:t>报告</w:t>
      </w:r>
    </w:p>
    <w:p>
      <w:pPr>
        <w:pStyle w:val="32"/>
        <w:widowControl w:val="0"/>
        <w:spacing w:before="0" w:beforeAutospacing="0" w:after="0" w:afterAutospacing="0" w:line="360" w:lineRule="auto"/>
        <w:jc w:val="both"/>
        <w:rPr>
          <w:rFonts w:ascii="Times New Roman" w:eastAsia="仿宋_GB2312" w:cs="Times New Roman" w:hAnsi="Times New Roman"/>
          <w:sz w:val="32"/>
          <w:szCs w:val="32"/>
        </w:rPr>
      </w:pPr>
      <w:r>
        <w:rPr>
          <w:rFonts w:ascii="Times New Roman" w:eastAsia="仿宋_GB2312" w:cs="Times New Roman" w:hAnsi="Times New Roman"/>
          <w:sz w:val="32"/>
          <w:szCs w:val="32"/>
        </w:rPr>
        <w:t>市财政局：</w:t>
      </w:r>
    </w:p>
    <w:p>
      <w:pPr>
        <w:widowControl/>
        <w:adjustRightInd w:val="0"/>
        <w:snapToGrid w:val="0"/>
        <w:spacing w:line="578" w:lineRule="exact"/>
        <w:ind w:firstLineChars="200" w:firstLine="640"/>
        <w:contextualSpacing/>
        <w:jc w:val="left"/>
        <w:rPr>
          <w:rFonts w:eastAsia="黑体"/>
          <w:color w:val="000000"/>
          <w:kern w:val="0"/>
          <w:szCs w:val="32"/>
          <w:shd w:val="clear" w:color="auto" w:fill="FFFFFF"/>
          <w:lang w:val="zh-CN"/>
        </w:rPr>
      </w:pPr>
      <w:r>
        <w:rPr>
          <w:szCs w:val="32"/>
        </w:rPr>
        <w:t>按照《攀枝花市财政局关于开展市本级预算绩效自评工作的通知》（攀财绩〔202</w:t>
      </w:r>
      <w:r>
        <w:rPr>
          <w:rFonts w:hint="eastAsia"/>
          <w:szCs w:val="32"/>
        </w:rPr>
        <w:t>5</w:t>
      </w:r>
      <w:r>
        <w:rPr>
          <w:szCs w:val="32"/>
        </w:rPr>
        <w:t>〕3号）要求，我局认真组织开展了202</w:t>
      </w:r>
      <w:r>
        <w:rPr>
          <w:rFonts w:hint="eastAsia"/>
          <w:szCs w:val="32"/>
        </w:rPr>
        <w:t>4</w:t>
      </w:r>
      <w:r>
        <w:rPr>
          <w:szCs w:val="32"/>
        </w:rPr>
        <w:t>年部门预算绩效自评工作，</w:t>
      </w:r>
      <w:r>
        <w:rPr>
          <w:rFonts w:hint="eastAsia"/>
          <w:szCs w:val="32"/>
        </w:rPr>
        <w:t>自评</w:t>
      </w:r>
      <w:r>
        <w:rPr>
          <w:szCs w:val="32"/>
        </w:rPr>
        <w:t>报告如下。</w:t>
      </w:r>
    </w:p>
    <w:p>
      <w:pPr>
        <w:widowControl/>
        <w:adjustRightInd w:val="0"/>
        <w:snapToGrid w:val="0"/>
        <w:spacing w:line="578" w:lineRule="exact"/>
        <w:ind w:firstLineChars="200" w:firstLine="640"/>
        <w:contextualSpacing/>
        <w:jc w:val="left"/>
        <w:rPr>
          <w:szCs w:val="32"/>
        </w:rPr>
      </w:pPr>
      <w:r>
        <w:rPr>
          <w:rFonts w:eastAsia="黑体"/>
          <w:color w:val="000000"/>
          <w:kern w:val="0"/>
          <w:szCs w:val="32"/>
          <w:shd w:val="clear" w:color="auto" w:fill="FFFFFF"/>
          <w:lang w:val="zh-CN"/>
        </w:rPr>
        <w:t>一、部门基本情况</w:t>
      </w:r>
    </w:p>
    <w:p>
      <w:pPr>
        <w:widowControl/>
        <w:adjustRightInd w:val="0"/>
        <w:snapToGrid w:val="0"/>
        <w:spacing w:line="578" w:lineRule="exact"/>
        <w:ind w:firstLineChars="200" w:firstLine="640"/>
        <w:contextualSpacing/>
        <w:jc w:val="left"/>
        <w:rPr>
          <w:szCs w:val="32"/>
        </w:rPr>
      </w:pPr>
      <w:r>
        <w:rPr>
          <w:rFonts w:eastAsia="楷体_GB2312"/>
          <w:b/>
          <w:bCs/>
          <w:color w:val="000000"/>
          <w:kern w:val="0"/>
          <w:szCs w:val="32"/>
          <w:shd w:val="clear" w:color="auto" w:fill="FFFFFF"/>
          <w:lang w:val="zh-CN"/>
        </w:rPr>
        <w:t>（一）机构组成。</w:t>
      </w:r>
      <w:r>
        <w:rPr>
          <w:szCs w:val="32"/>
        </w:rPr>
        <w:t>攀枝花市医疗保障局（以下简称“市医保局”）为攀枝花市人民政府正县级工作部门。下设四个科室，分别是：办公室、待遇保障与法规科、医药服务与价格管理科，基金监管科。攀枝花市医疗保障信息中心（以下简称市医保信息中心）为</w:t>
      </w:r>
      <w:r>
        <w:rPr>
          <w:rFonts w:hint="eastAsia"/>
          <w:szCs w:val="32"/>
        </w:rPr>
        <w:t>我</w:t>
      </w:r>
      <w:r>
        <w:rPr>
          <w:szCs w:val="32"/>
        </w:rPr>
        <w:t>部门下属事业</w:t>
      </w:r>
      <w:r>
        <w:rPr>
          <w:rFonts w:hint="eastAsia"/>
          <w:szCs w:val="32"/>
        </w:rPr>
        <w:t>单位</w:t>
      </w:r>
      <w:r>
        <w:rPr>
          <w:szCs w:val="32"/>
        </w:rPr>
        <w:t>，财务未独立核算。</w:t>
      </w:r>
    </w:p>
    <w:p>
      <w:pPr>
        <w:snapToGrid w:val="0"/>
        <w:spacing w:line="360" w:lineRule="auto"/>
        <w:ind w:firstLineChars="200" w:firstLine="640"/>
        <w:rPr>
          <w:szCs w:val="32"/>
        </w:rPr>
      </w:pPr>
      <w:r>
        <w:rPr>
          <w:rFonts w:eastAsia="楷体_GB2312"/>
          <w:b/>
          <w:bCs/>
          <w:color w:val="000000"/>
          <w:kern w:val="0"/>
          <w:szCs w:val="32"/>
          <w:shd w:val="clear" w:color="auto" w:fill="FFFFFF"/>
          <w:lang w:val="zh-CN"/>
        </w:rPr>
        <w:t>（二）机构职能。</w:t>
      </w:r>
      <w:r>
        <w:rPr>
          <w:szCs w:val="32"/>
        </w:rPr>
        <w:t>（1）贯彻执行医疗保险、生育保险、医疗救助等医疗保障法律、法规、规章。拟订全市医疗保障事业发展规划、政策和标准，并组织实施和监督检查。</w:t>
      </w:r>
    </w:p>
    <w:p>
      <w:pPr>
        <w:snapToGrid w:val="0"/>
        <w:spacing w:line="360" w:lineRule="auto"/>
        <w:ind w:firstLineChars="200" w:firstLine="640"/>
        <w:rPr>
          <w:szCs w:val="32"/>
        </w:rPr>
      </w:pPr>
      <w:r>
        <w:rPr>
          <w:szCs w:val="32"/>
        </w:rPr>
        <w:t>（2）组织拟订并实施医疗保障基金监督管理制度，建立健全医疗保障基金安全防控机制，监督强化全市医疗保障基金运行管理。</w:t>
      </w:r>
    </w:p>
    <w:p>
      <w:pPr>
        <w:snapToGrid w:val="0"/>
        <w:spacing w:line="360" w:lineRule="auto"/>
        <w:ind w:firstLineChars="200" w:firstLine="640"/>
        <w:rPr>
          <w:szCs w:val="32"/>
        </w:rPr>
      </w:pPr>
      <w:r>
        <w:rPr>
          <w:szCs w:val="32"/>
        </w:rPr>
        <w:t>（3）组织拟订并实施医疗保障筹资和待遇政策，完善全市医疗保障筹资标准动态调整机制，统筹城乡医疗保障待遇标准，建立健全与筹资水平相适应的待遇调整机制。组织拟订并实施长期护理保险制度改革方案。</w:t>
      </w:r>
    </w:p>
    <w:p>
      <w:pPr>
        <w:snapToGrid w:val="0"/>
        <w:spacing w:line="360" w:lineRule="auto"/>
        <w:ind w:firstLineChars="200" w:firstLine="640"/>
        <w:rPr>
          <w:szCs w:val="32"/>
        </w:rPr>
      </w:pPr>
      <w:r>
        <w:rPr>
          <w:szCs w:val="32"/>
        </w:rPr>
        <w:t>（4）组织实施全省城乡统一的药品、医用耗材、医疗服务项目、医疗服务设施等医疗保障目录和支付标准，根据授权在医疗保障目录准入谈判规则下进行目录增补和支付标准的调整。</w:t>
      </w:r>
    </w:p>
    <w:p>
      <w:pPr>
        <w:snapToGrid w:val="0"/>
        <w:spacing w:line="360" w:lineRule="auto"/>
        <w:ind w:firstLineChars="200" w:firstLine="640"/>
        <w:rPr>
          <w:szCs w:val="32"/>
        </w:rPr>
      </w:pPr>
      <w:r>
        <w:rPr>
          <w:szCs w:val="32"/>
        </w:rPr>
        <w:t>（5）组织拟订并实施全市统一的药品、医用耗材价格和医疗服务项目、医疗服务设施收费等政策，建立医保支付医药服务价格合理确定和动态调整机制，推动建立市场主导的社会医药服务价格形成机制，建立价格信息监测和信息发布制度。</w:t>
      </w:r>
    </w:p>
    <w:p>
      <w:pPr>
        <w:snapToGrid w:val="0"/>
        <w:spacing w:line="360" w:lineRule="auto"/>
        <w:ind w:firstLineChars="200" w:firstLine="640"/>
        <w:rPr>
          <w:szCs w:val="32"/>
        </w:rPr>
      </w:pPr>
      <w:r>
        <w:rPr>
          <w:szCs w:val="32"/>
        </w:rPr>
        <w:t>（6）贯彻执行全省药品、医用耗材的招标采购政策并监督实施，根据省上统一安排部署，参与全省药品、医用耗材招标采购平台建设，承担相关工作任务。</w:t>
      </w:r>
    </w:p>
    <w:p>
      <w:pPr>
        <w:snapToGrid w:val="0"/>
        <w:spacing w:line="360" w:lineRule="auto"/>
        <w:ind w:firstLineChars="200" w:firstLine="640"/>
        <w:rPr>
          <w:szCs w:val="32"/>
        </w:rPr>
      </w:pPr>
      <w:r>
        <w:rPr>
          <w:szCs w:val="32"/>
        </w:rPr>
        <w:t>（7）推进医疗保障基金支付方式改革，制定全市医疗保障定点医药机构服务协议和基金支付管理办法并组织实施，指导全市医疗保障定点医药机构管理。建立健全医疗保障信用评价体系和信息披露制度，监督管理纳入医疗保障范围内的医疗服务行为和医疗费用，依法查处医疗保障领域违法违规行为。</w:t>
      </w:r>
    </w:p>
    <w:p>
      <w:pPr>
        <w:snapToGrid w:val="0"/>
        <w:spacing w:line="360" w:lineRule="auto"/>
        <w:ind w:firstLineChars="200" w:firstLine="640"/>
        <w:rPr>
          <w:szCs w:val="32"/>
        </w:rPr>
      </w:pPr>
      <w:r>
        <w:rPr>
          <w:szCs w:val="32"/>
        </w:rPr>
        <w:t>（8）负责全市医疗保障业务经办管理和公共服务体系建设。组织实施异地就医管理规定和费用结算政策。贯彻执行医疗保障关系转移接续政策。指导和监督管理全市医保经办服务工作。开展医疗保障领域对外合作交流。</w:t>
      </w:r>
    </w:p>
    <w:p>
      <w:pPr>
        <w:tabs>
          <w:tab w:val="right" w:pos="8306"/>
        </w:tabs>
        <w:snapToGrid w:val="0"/>
        <w:spacing w:line="360" w:lineRule="auto"/>
        <w:ind w:firstLineChars="200" w:firstLine="640"/>
        <w:rPr>
          <w:szCs w:val="32"/>
        </w:rPr>
      </w:pPr>
      <w:r>
        <w:rPr>
          <w:szCs w:val="32"/>
        </w:rPr>
        <w:t>（9）拟订全市医疗保障信息化建设规划并参与全省医疗保障信息化建设。组织开展医疗保障大数据管理和应用。</w:t>
      </w:r>
    </w:p>
    <w:p>
      <w:pPr>
        <w:snapToGrid w:val="0"/>
        <w:spacing w:line="360" w:lineRule="auto"/>
        <w:ind w:firstLineChars="200" w:firstLine="640"/>
        <w:rPr>
          <w:szCs w:val="32"/>
        </w:rPr>
      </w:pPr>
      <w:r>
        <w:rPr>
          <w:szCs w:val="32"/>
        </w:rPr>
        <w:t>（10）组织拟订市本级离休干部、六级以上革命伤残军人的医疗保障政策和厅级干部、县级干部、高级知识分子的医疗照顾政策。</w:t>
      </w:r>
    </w:p>
    <w:p>
      <w:pPr>
        <w:snapToGrid w:val="0"/>
        <w:spacing w:line="360" w:lineRule="auto"/>
        <w:ind w:firstLineChars="200" w:firstLine="640"/>
        <w:rPr>
          <w:szCs w:val="32"/>
        </w:rPr>
      </w:pPr>
      <w:r>
        <w:rPr>
          <w:szCs w:val="32"/>
        </w:rPr>
        <w:t>（11）负责职责范围内的安全生产和职业健康、生态环境保护、审批服务便民化等工作。</w:t>
      </w:r>
    </w:p>
    <w:p>
      <w:pPr>
        <w:snapToGrid w:val="0"/>
        <w:spacing w:line="360" w:lineRule="auto"/>
        <w:ind w:firstLineChars="200" w:firstLine="640"/>
        <w:rPr>
          <w:szCs w:val="32"/>
        </w:rPr>
      </w:pPr>
      <w:r>
        <w:rPr>
          <w:szCs w:val="32"/>
        </w:rPr>
        <w:t>（12）完成市委、市政府交办的其他任务。</w:t>
      </w:r>
    </w:p>
    <w:p>
      <w:pPr>
        <w:snapToGrid w:val="0"/>
        <w:spacing w:line="360" w:lineRule="auto"/>
        <w:ind w:firstLineChars="200" w:firstLine="640"/>
        <w:rPr>
          <w:color w:val="000000"/>
          <w:szCs w:val="32"/>
        </w:rPr>
      </w:pPr>
      <w:r>
        <w:rPr>
          <w:rFonts w:eastAsia="楷体_GB2312"/>
          <w:b/>
          <w:bCs/>
          <w:color w:val="000000"/>
          <w:kern w:val="0"/>
          <w:szCs w:val="32"/>
          <w:shd w:val="clear" w:color="auto" w:fill="FFFFFF"/>
          <w:lang w:val="zh-CN"/>
        </w:rPr>
        <w:t>（三）人员概况。</w:t>
      </w:r>
      <w:r>
        <w:rPr>
          <w:szCs w:val="32"/>
        </w:rPr>
        <w:t>截至202</w:t>
      </w:r>
      <w:r>
        <w:rPr>
          <w:rFonts w:hint="eastAsia"/>
          <w:szCs w:val="32"/>
        </w:rPr>
        <w:t>4</w:t>
      </w:r>
      <w:r>
        <w:rPr>
          <w:szCs w:val="32"/>
        </w:rPr>
        <w:t>年末，</w:t>
      </w:r>
      <w:r>
        <w:rPr>
          <w:color w:val="000000"/>
          <w:szCs w:val="32"/>
        </w:rPr>
        <w:t>市医保局机关行政编制</w:t>
      </w:r>
      <w:r>
        <w:rPr>
          <w:rFonts w:hint="eastAsia"/>
          <w:color w:val="000000"/>
          <w:szCs w:val="32"/>
        </w:rPr>
        <w:t>11名，</w:t>
      </w:r>
      <w:r>
        <w:rPr>
          <w:color w:val="000000"/>
          <w:szCs w:val="32"/>
        </w:rPr>
        <w:t>实有在职人数</w:t>
      </w:r>
      <w:r>
        <w:rPr>
          <w:rFonts w:hint="eastAsia"/>
          <w:color w:val="000000"/>
          <w:szCs w:val="32"/>
        </w:rPr>
        <w:t>15</w:t>
      </w:r>
      <w:r>
        <w:rPr>
          <w:color w:val="000000"/>
          <w:szCs w:val="32"/>
        </w:rPr>
        <w:t>名。与上年相比，实有人数</w:t>
      </w:r>
      <w:r>
        <w:rPr>
          <w:rFonts w:hint="eastAsia"/>
          <w:color w:val="000000"/>
          <w:szCs w:val="32"/>
        </w:rPr>
        <w:t>增加2</w:t>
      </w:r>
      <w:r>
        <w:rPr>
          <w:color w:val="000000"/>
          <w:szCs w:val="32"/>
        </w:rPr>
        <w:t>人，原因是</w:t>
      </w:r>
      <w:r>
        <w:rPr>
          <w:rFonts w:hint="eastAsia"/>
          <w:color w:val="000000"/>
          <w:szCs w:val="32"/>
        </w:rPr>
        <w:t>新</w:t>
      </w:r>
      <w:r>
        <w:rPr>
          <w:color w:val="000000"/>
          <w:szCs w:val="32"/>
        </w:rPr>
        <w:t>调入</w:t>
      </w:r>
      <w:r>
        <w:rPr>
          <w:rFonts w:hint="eastAsia"/>
          <w:color w:val="000000"/>
          <w:szCs w:val="32"/>
        </w:rPr>
        <w:t>2人</w:t>
      </w:r>
      <w:r>
        <w:rPr>
          <w:color w:val="000000"/>
          <w:szCs w:val="32"/>
        </w:rPr>
        <w:t>。市医保信息中心事业编制10名，实有在职人数</w:t>
      </w:r>
      <w:r>
        <w:rPr>
          <w:rFonts w:hint="eastAsia"/>
          <w:color w:val="000000"/>
          <w:szCs w:val="32"/>
        </w:rPr>
        <w:t>9</w:t>
      </w:r>
      <w:r>
        <w:rPr>
          <w:color w:val="000000"/>
          <w:szCs w:val="32"/>
        </w:rPr>
        <w:t>名，与上年相比，实有人数</w:t>
      </w:r>
      <w:r>
        <w:rPr>
          <w:rFonts w:hint="eastAsia"/>
          <w:color w:val="000000"/>
          <w:szCs w:val="32"/>
        </w:rPr>
        <w:t>增加2</w:t>
      </w:r>
      <w:r>
        <w:rPr>
          <w:color w:val="000000"/>
          <w:szCs w:val="32"/>
        </w:rPr>
        <w:t>人，原因是</w:t>
      </w:r>
      <w:r>
        <w:rPr>
          <w:rFonts w:hint="eastAsia"/>
          <w:color w:val="000000"/>
          <w:szCs w:val="32"/>
        </w:rPr>
        <w:t>新招考2人</w:t>
      </w:r>
      <w:r>
        <w:rPr>
          <w:color w:val="000000"/>
          <w:szCs w:val="32"/>
        </w:rPr>
        <w:t>。聘用人员</w:t>
      </w:r>
      <w:r>
        <w:rPr>
          <w:rFonts w:hint="eastAsia"/>
          <w:color w:val="000000"/>
          <w:szCs w:val="32"/>
        </w:rPr>
        <w:t>4人。</w:t>
      </w:r>
    </w:p>
    <w:p>
      <w:pPr>
        <w:spacing w:line="600" w:lineRule="exact"/>
        <w:ind w:firstLineChars="200" w:firstLine="640"/>
        <w:rPr>
          <w:rFonts w:eastAsia="黑体"/>
          <w:color w:val="000000"/>
          <w:kern w:val="0"/>
          <w:szCs w:val="32"/>
          <w:shd w:val="clear" w:color="auto" w:fill="FFFFFF"/>
        </w:rPr>
      </w:pPr>
      <w:r>
        <w:rPr>
          <w:rFonts w:eastAsia="黑体"/>
          <w:color w:val="000000"/>
          <w:kern w:val="0"/>
          <w:szCs w:val="32"/>
          <w:shd w:val="clear" w:color="auto" w:fill="FFFFFF"/>
        </w:rPr>
        <w:t>二、部门资金收支情况</w:t>
      </w:r>
    </w:p>
    <w:p>
      <w:pPr>
        <w:widowControl/>
        <w:adjustRightInd w:val="0"/>
        <w:snapToGrid w:val="0"/>
        <w:spacing w:line="578" w:lineRule="exact"/>
        <w:ind w:firstLineChars="200" w:firstLine="640"/>
        <w:contextualSpacing/>
        <w:jc w:val="left"/>
        <w:rPr>
          <w:rFonts w:eastAsia="楷体_GB2312"/>
          <w:b/>
          <w:bCs/>
          <w:color w:val="000000"/>
          <w:kern w:val="0"/>
          <w:szCs w:val="32"/>
          <w:shd w:val="clear" w:color="auto" w:fill="FFFFFF"/>
        </w:rPr>
      </w:pPr>
      <w:r>
        <w:rPr>
          <w:rFonts w:eastAsia="楷体_GB2312"/>
          <w:b/>
          <w:bCs/>
          <w:color w:val="000000"/>
          <w:kern w:val="0"/>
          <w:szCs w:val="32"/>
          <w:shd w:val="clear" w:color="auto" w:fill="FFFFFF"/>
          <w:lang w:val="zh-CN"/>
        </w:rPr>
        <w:t>（一）收入情况。</w:t>
      </w:r>
      <w:r>
        <w:rPr>
          <w:rFonts w:hint="eastAsia"/>
          <w:color w:val="000000"/>
          <w:szCs w:val="32"/>
        </w:rPr>
        <w:t>我</w:t>
      </w:r>
      <w:r>
        <w:rPr>
          <w:color w:val="000000"/>
          <w:szCs w:val="32"/>
        </w:rPr>
        <w:t>部门</w:t>
      </w:r>
      <w:r>
        <w:rPr>
          <w:szCs w:val="32"/>
        </w:rPr>
        <w:t>202</w:t>
      </w:r>
      <w:r>
        <w:rPr>
          <w:rFonts w:hint="eastAsia"/>
          <w:szCs w:val="32"/>
        </w:rPr>
        <w:t>4</w:t>
      </w:r>
      <w:r>
        <w:rPr>
          <w:szCs w:val="32"/>
        </w:rPr>
        <w:t>年年初预算收入</w:t>
      </w:r>
      <w:r>
        <w:rPr>
          <w:rFonts w:hint="eastAsia"/>
          <w:szCs w:val="32"/>
        </w:rPr>
        <w:t>为561.18万元</w:t>
      </w:r>
      <w:r>
        <w:rPr>
          <w:szCs w:val="32"/>
        </w:rPr>
        <w:t>、决算报表收入</w:t>
      </w:r>
      <w:r>
        <w:rPr>
          <w:rFonts w:hint="eastAsia"/>
          <w:szCs w:val="32"/>
        </w:rPr>
        <w:t>为974.39万元。</w:t>
      </w:r>
      <w:r>
        <w:rPr>
          <w:szCs w:val="32"/>
        </w:rPr>
        <w:t>。</w:t>
      </w:r>
    </w:p>
    <w:p>
      <w:pPr>
        <w:widowControl/>
        <w:adjustRightInd w:val="0"/>
        <w:snapToGrid w:val="0"/>
        <w:spacing w:line="578" w:lineRule="exact"/>
        <w:ind w:firstLineChars="200" w:firstLine="640"/>
        <w:contextualSpacing/>
        <w:jc w:val="left"/>
        <w:rPr>
          <w:szCs w:val="32"/>
          <w:lang w:val="zh-CN"/>
        </w:rPr>
      </w:pPr>
      <w:r>
        <w:rPr>
          <w:rFonts w:eastAsia="楷体_GB2312"/>
          <w:b/>
          <w:bCs/>
          <w:color w:val="000000"/>
          <w:kern w:val="0"/>
          <w:szCs w:val="32"/>
          <w:shd w:val="clear" w:color="auto" w:fill="FFFFFF"/>
          <w:lang w:val="zh-CN"/>
        </w:rPr>
        <w:t>（二）支出情况。</w:t>
      </w:r>
      <w:r>
        <w:rPr>
          <w:rFonts w:hint="eastAsia"/>
          <w:color w:val="000000"/>
          <w:szCs w:val="32"/>
        </w:rPr>
        <w:t>我部门</w:t>
      </w:r>
      <w:r>
        <w:rPr>
          <w:szCs w:val="32"/>
        </w:rPr>
        <w:t>202</w:t>
      </w:r>
      <w:r>
        <w:rPr>
          <w:rFonts w:hint="eastAsia"/>
          <w:szCs w:val="32"/>
        </w:rPr>
        <w:t>4</w:t>
      </w:r>
      <w:r>
        <w:rPr>
          <w:szCs w:val="32"/>
        </w:rPr>
        <w:t>年年初预算支出</w:t>
      </w:r>
      <w:r>
        <w:rPr>
          <w:rFonts w:hint="eastAsia"/>
          <w:szCs w:val="32"/>
        </w:rPr>
        <w:t>为561.18万元</w:t>
      </w:r>
      <w:r>
        <w:rPr>
          <w:szCs w:val="32"/>
        </w:rPr>
        <w:t>、决算报表支出</w:t>
      </w:r>
      <w:r>
        <w:rPr>
          <w:rFonts w:hint="eastAsia"/>
          <w:szCs w:val="32"/>
        </w:rPr>
        <w:t>974.39万元</w:t>
      </w:r>
      <w:r>
        <w:rPr>
          <w:szCs w:val="32"/>
        </w:rPr>
        <w:t>。</w:t>
      </w:r>
    </w:p>
    <w:p>
      <w:pPr>
        <w:widowControl/>
        <w:adjustRightInd w:val="0"/>
        <w:snapToGrid w:val="0"/>
        <w:spacing w:line="578" w:lineRule="exact"/>
        <w:ind w:firstLineChars="200" w:firstLine="640"/>
        <w:contextualSpacing/>
        <w:jc w:val="left"/>
        <w:rPr>
          <w:color w:val="000000"/>
          <w:kern w:val="0"/>
          <w:szCs w:val="32"/>
          <w:shd w:val="clear" w:color="auto" w:fill="FFFFFF"/>
        </w:rPr>
      </w:pPr>
      <w:r>
        <w:rPr>
          <w:rFonts w:eastAsia="楷体_GB2312"/>
          <w:b/>
          <w:bCs/>
          <w:color w:val="000000"/>
          <w:kern w:val="0"/>
          <w:szCs w:val="32"/>
          <w:shd w:val="clear" w:color="auto" w:fill="FFFFFF"/>
          <w:lang w:val="zh-CN"/>
        </w:rPr>
        <w:t>（三）</w:t>
      </w:r>
      <w:r>
        <w:rPr>
          <w:rFonts w:eastAsia="楷体_GB2312"/>
          <w:b/>
          <w:szCs w:val="32"/>
        </w:rPr>
        <w:t>结余分配和结转结余情况。</w:t>
      </w:r>
      <w:r>
        <w:rPr>
          <w:rFonts w:hint="eastAsia"/>
          <w:szCs w:val="32"/>
        </w:rPr>
        <w:t>我</w:t>
      </w:r>
      <w:r>
        <w:rPr>
          <w:szCs w:val="32"/>
        </w:rPr>
        <w:t>部门202</w:t>
      </w:r>
      <w:r>
        <w:rPr>
          <w:rFonts w:hint="eastAsia"/>
          <w:szCs w:val="32"/>
        </w:rPr>
        <w:t>4</w:t>
      </w:r>
      <w:r>
        <w:rPr>
          <w:szCs w:val="32"/>
        </w:rPr>
        <w:t>年决算报表</w:t>
      </w:r>
      <w:r>
        <w:rPr>
          <w:color w:val="000000"/>
          <w:kern w:val="0"/>
          <w:szCs w:val="32"/>
          <w:shd w:val="clear" w:color="auto" w:fill="FFFFFF"/>
        </w:rPr>
        <w:t>结转结余</w:t>
      </w:r>
      <w:r>
        <w:rPr>
          <w:rFonts w:hint="eastAsia"/>
          <w:color w:val="000000"/>
          <w:kern w:val="0"/>
          <w:szCs w:val="32"/>
          <w:shd w:val="clear" w:color="auto" w:fill="FFFFFF"/>
        </w:rPr>
        <w:t>为0万元</w:t>
      </w:r>
      <w:r>
        <w:rPr>
          <w:color w:val="000000"/>
          <w:kern w:val="0"/>
          <w:szCs w:val="32"/>
          <w:shd w:val="clear" w:color="auto" w:fill="FFFFFF"/>
        </w:rPr>
        <w:t>。</w:t>
      </w:r>
    </w:p>
    <w:p>
      <w:pPr>
        <w:snapToGrid w:val="0"/>
        <w:spacing w:line="360" w:lineRule="auto"/>
        <w:ind w:firstLineChars="200" w:firstLine="640"/>
        <w:rPr>
          <w:rFonts w:eastAsia="楷体_GB2312"/>
          <w:b/>
          <w:szCs w:val="32"/>
        </w:rPr>
      </w:pPr>
      <w:r>
        <w:rPr>
          <w:rFonts w:eastAsia="楷体_GB2312"/>
          <w:b/>
          <w:szCs w:val="32"/>
        </w:rPr>
        <w:t>（</w:t>
      </w:r>
      <w:r>
        <w:rPr>
          <w:rFonts w:eastAsia="楷体_GB2312" w:hint="eastAsia"/>
          <w:b/>
          <w:szCs w:val="32"/>
        </w:rPr>
        <w:t>四</w:t>
      </w:r>
      <w:r>
        <w:rPr>
          <w:rFonts w:eastAsia="楷体_GB2312"/>
          <w:b/>
          <w:szCs w:val="32"/>
        </w:rPr>
        <w:t>）当年取得的主要事业成效。</w:t>
      </w:r>
    </w:p>
    <w:p>
      <w:pPr>
        <w:snapToGrid w:val="0"/>
        <w:spacing w:line="360" w:lineRule="auto"/>
        <w:ind w:firstLineChars="200" w:firstLine="640"/>
        <w:rPr>
          <w:rFonts w:eastAsia="楷体_GB2312"/>
          <w:szCs w:val="32"/>
        </w:rPr>
      </w:pPr>
      <w:r>
        <w:rPr>
          <w:rFonts w:hint="eastAsia"/>
          <w:bCs/>
          <w:szCs w:val="32"/>
        </w:rPr>
        <w:t>1.</w:t>
      </w:r>
      <w:r>
        <w:rPr>
          <w:bCs/>
          <w:szCs w:val="32"/>
        </w:rPr>
        <w:t>积极探索共同富裕医保路径。一是实施全民参保计划。2024年居民医保人均财政补助标准提高30元，达到每人每年670元，截至12月底，全市居民医保参保66.23万人，完成目标任务的100.35%，住院政策范围内基金支付比例稳定在70%以上。二是实施医疗救助托底行动。向上争取医疗救助补助资金2160.38万元，截至12月底，我市医疗救助资助参保5.39万人，资助951.08万元，困难群众资助参保率达100%，对符合条件的救助对象实施医疗救助11.67万人次，支付3214.6万元。三是深耕按疾病诊断相关分组（DRG）付费支付方式改革。</w:t>
      </w:r>
      <w:r>
        <w:rPr>
          <w:szCs w:val="32"/>
        </w:rPr>
        <w:t>将日间化疗、日间手术、中医日间治疗统一纳入DRG付费范围，试点康复病组按价值付费，出台医疗保障支持紧密型县域医疗卫生共同体若干措施，有序推进DRG国家示范点建设。</w:t>
      </w:r>
    </w:p>
    <w:p>
      <w:pPr>
        <w:spacing w:line="540" w:lineRule="exact"/>
        <w:ind w:firstLineChars="200" w:firstLine="640"/>
        <w:rPr>
          <w:szCs w:val="32"/>
        </w:rPr>
      </w:pPr>
      <w:r>
        <w:rPr>
          <w:rFonts w:hint="eastAsia"/>
          <w:bCs/>
          <w:szCs w:val="32"/>
        </w:rPr>
        <w:t>2.</w:t>
      </w:r>
      <w:r>
        <w:rPr>
          <w:bCs/>
          <w:szCs w:val="32"/>
        </w:rPr>
        <w:t>稳步实施基本医保省级统筹。一是对接落实《四川省人民政府办公厅关于推进基本医疗保险省级统筹的意见》。</w:t>
      </w:r>
      <w:r>
        <w:rPr>
          <w:szCs w:val="32"/>
        </w:rPr>
        <w:t>印发《推进基本医疗保险省级统筹工作方案》，按照省级统一安排，启动本地生育保险政策调整工作，制定其他待遇政策调整方案。</w:t>
      </w:r>
      <w:r>
        <w:rPr>
          <w:bCs/>
          <w:szCs w:val="32"/>
        </w:rPr>
        <w:t>二是积极向上争取省级调剂金。</w:t>
      </w:r>
      <w:r>
        <w:rPr>
          <w:szCs w:val="32"/>
        </w:rPr>
        <w:t>2024年基本医疗保险省级统筹调剂基金，我市上解17337万元（其中职工医保13715万元、居民医保3622万元），下拨我市26424万元（其中职工医保23051万元、居民医保3373万元）</w:t>
      </w:r>
      <w:r>
        <w:rPr>
          <w:snapToGrid w:val="0"/>
          <w:szCs w:val="32"/>
        </w:rPr>
        <w:t>，我市净获益9087万元。</w:t>
      </w:r>
      <w:r>
        <w:rPr>
          <w:bCs/>
          <w:snapToGrid w:val="0"/>
          <w:szCs w:val="32"/>
        </w:rPr>
        <w:t>三是医保基金安全运行。截至12月底，我市职工基本医疗保险统筹基金累计结余11.74亿元、可支付月数9.18月，居民基本医疗保险基金累计结余4.49亿元、可支付月数7.15月，预警等级三级（最低等级），当期收支略有结余，基本做到平稳运行。</w:t>
      </w:r>
    </w:p>
    <w:p>
      <w:pPr>
        <w:spacing w:line="540" w:lineRule="exact"/>
        <w:ind w:firstLineChars="200" w:firstLine="640"/>
        <w:rPr>
          <w:bCs/>
          <w:snapToGrid w:val="0"/>
          <w:szCs w:val="32"/>
        </w:rPr>
      </w:pPr>
      <w:r>
        <w:rPr>
          <w:rFonts w:hint="eastAsia"/>
          <w:bCs/>
          <w:szCs w:val="32"/>
        </w:rPr>
        <w:t>3.</w:t>
      </w:r>
      <w:r>
        <w:rPr>
          <w:bCs/>
          <w:szCs w:val="32"/>
        </w:rPr>
        <w:t>坚决做好医保基金使用监管。</w:t>
      </w:r>
      <w:r>
        <w:rPr>
          <w:bCs/>
          <w:snapToGrid w:val="0"/>
          <w:szCs w:val="32"/>
        </w:rPr>
        <w:t>一是强化宣传曝光。开展“基金监管同参与守好群众‘救命钱’”集中宣传月活动，组织现场培训17期、现场宣传32场次，公开曝光我市违法违规使用医保基金典型案例151例。二是构建立体监管网。组织两定机构自查自纠并退回医保基金1616.30万元，智能审核后拒付70.89万元，查处定点医药机构735家次并追回本金及处违约金、罚款等共计3084.40万元，处理违法违规使用医保基金的参保人员10人并追回本金并处罚款共计18.58万元，解除定点医药机构28家，暂停结算4家，国家线索核查率100%，追回本金并处违约金、罚款等共计99.05万元。三是提升联合监管效能。诉讼当事人经法官释法后退回违规使用医保基金2.05万元，收到检察建议书并处理当事人3人、行政罚款4.59万元，协调公安、卫健等部门共同深入开展推进打击欺诈骗保集中攻坚行动，已处理定点医药机构231家，追回本金及处违约金、罚款等1053.67万元。</w:t>
      </w:r>
    </w:p>
    <w:p>
      <w:pPr>
        <w:spacing w:line="540" w:lineRule="exact"/>
        <w:ind w:firstLineChars="200" w:firstLine="640"/>
        <w:rPr>
          <w:szCs w:val="32"/>
        </w:rPr>
      </w:pPr>
      <w:r>
        <w:rPr>
          <w:rFonts w:hint="eastAsia"/>
          <w:bCs/>
          <w:szCs w:val="32"/>
        </w:rPr>
        <w:t>4.</w:t>
      </w:r>
      <w:r>
        <w:rPr>
          <w:bCs/>
          <w:szCs w:val="32"/>
        </w:rPr>
        <w:t>纵深推进三医协同发展治理。一是规范医药服务和价格管理。</w:t>
      </w:r>
      <w:r>
        <w:rPr>
          <w:szCs w:val="32"/>
        </w:rPr>
        <w:t>新开展33项和修订9项医疗服务项目试行价格。将职工基本医疗保险“乙类药品”个人先行自付比例从15%调整为10%。新增16项按政府指导价管理的辅助生殖类医疗服务项目标准，将13项治疗性辅助生殖类医疗服务项目纳入医保支付范围，辅助生殖类项目价格总体下调最高降幅达81.67%，平均降幅达34.8%。与全省同步规范调整两批次合计10项检查检验项目价格，最高降幅达83%。</w:t>
      </w:r>
      <w:r>
        <w:rPr>
          <w:bCs/>
          <w:szCs w:val="32"/>
        </w:rPr>
        <w:t>二是稳步推进集采落地。</w:t>
      </w:r>
      <w:r>
        <w:rPr>
          <w:szCs w:val="32"/>
        </w:rPr>
        <w:t>全市70家公立定点医疗机构100%上线四川省药械集中采购及医药价格监管平台。截至12月底，开展药品医用耗材集中带量采购中选药（械）29个批/轮次，采购420个品种中选药品453.79万盒/袋、12种（类）高值医用耗材4.56万个，合同总金额1.46亿元，医保基金预付全市集采药械带量采购货款1.34亿元，为患者节约5260.73万元。</w:t>
      </w:r>
    </w:p>
    <w:p>
      <w:pPr>
        <w:spacing w:line="540" w:lineRule="exact"/>
        <w:ind w:firstLineChars="200" w:firstLine="640"/>
        <w:rPr>
          <w:szCs w:val="32"/>
        </w:rPr>
      </w:pPr>
      <w:r>
        <w:rPr>
          <w:rFonts w:hint="eastAsia"/>
          <w:bCs/>
          <w:szCs w:val="32"/>
        </w:rPr>
        <w:t>5.</w:t>
      </w:r>
      <w:r>
        <w:rPr>
          <w:bCs/>
          <w:szCs w:val="32"/>
        </w:rPr>
        <w:t>不断提升医保公共服务质效。一是推动落实“高效办成一件事”。医疗保障经办政务服务执行全省统一事项清单、全市新修订办事指南，全部</w:t>
      </w:r>
      <w:r>
        <w:rPr>
          <w:szCs w:val="32"/>
        </w:rPr>
        <w:t>纳入省一体化政务服务平台运行和管理，13个服务事项实现“一件事一次办或集成联办”，5个高频医保服务事项实现“跨省通办”“省内通办”，全市依申请医保政务服务事项网上可办率100%，全程网办事项85%。建成市中心医院医保服务站，累计开通门诊统筹定点医药机构293家。</w:t>
      </w:r>
      <w:r>
        <w:rPr>
          <w:bCs/>
          <w:szCs w:val="32"/>
        </w:rPr>
        <w:t>二是扩大异地就医联网医药机构覆盖面。</w:t>
      </w:r>
      <w:r>
        <w:rPr>
          <w:szCs w:val="32"/>
        </w:rPr>
        <w:t>开通生育医疗费用省内异地直接结算业务，跨省异地门诊慢特病直接结算扩大至10个病种。截至12月底，全市定点医药机构接入国家、省级异地就医平台率分别达到82.53%、96.51%。</w:t>
      </w:r>
      <w:r>
        <w:rPr>
          <w:bCs/>
          <w:szCs w:val="32"/>
        </w:rPr>
        <w:t>三是应用推广医保电子凭证和医保移动支付</w:t>
      </w:r>
      <w:r>
        <w:rPr>
          <w:szCs w:val="32"/>
        </w:rPr>
        <w:t>。截至12月底，全市医保电子凭证累计激活99.99万人、激活率92.85%、月平均结算率65.58%，超额完成省局年度目标任务。全市8家定点医疗机构上线医保移动支付，累计结算8.06万笔、925万元。</w:t>
      </w:r>
    </w:p>
    <w:p>
      <w:pPr>
        <w:widowControl/>
        <w:adjustRightInd w:val="0"/>
        <w:snapToGrid w:val="0"/>
        <w:spacing w:line="578" w:lineRule="exact"/>
        <w:ind w:firstLineChars="200" w:firstLine="640"/>
        <w:contextualSpacing/>
        <w:jc w:val="left"/>
        <w:rPr>
          <w:rFonts w:eastAsia="黑体"/>
          <w:color w:val="000000"/>
          <w:kern w:val="0"/>
          <w:szCs w:val="32"/>
          <w:shd w:val="clear" w:color="auto" w:fill="FFFFFF"/>
        </w:rPr>
      </w:pPr>
      <w:r>
        <w:rPr>
          <w:rFonts w:eastAsia="黑体"/>
          <w:color w:val="000000"/>
          <w:kern w:val="0"/>
          <w:szCs w:val="32"/>
          <w:shd w:val="clear" w:color="auto" w:fill="FFFFFF"/>
        </w:rPr>
        <w:t>三、部门预算绩效分析</w:t>
      </w:r>
    </w:p>
    <w:p>
      <w:pPr>
        <w:adjustRightInd w:val="0"/>
        <w:snapToGrid w:val="0"/>
        <w:spacing w:line="578" w:lineRule="exact"/>
        <w:ind w:firstLineChars="200" w:firstLine="640"/>
        <w:contextualSpacing/>
        <w:jc w:val="left"/>
        <w:rPr>
          <w:color w:val="000000"/>
          <w:kern w:val="0"/>
          <w:szCs w:val="32"/>
          <w:shd w:val="clear" w:color="auto" w:fill="FFFFFF"/>
          <w:lang w:val="zh-CN"/>
        </w:rPr>
      </w:pPr>
      <w:r>
        <w:rPr>
          <w:rFonts w:eastAsia="楷体_GB2312"/>
          <w:b/>
          <w:bCs/>
          <w:color w:val="000000"/>
          <w:kern w:val="0"/>
          <w:szCs w:val="32"/>
          <w:shd w:val="clear" w:color="auto" w:fill="FFFFFF"/>
          <w:lang w:val="zh-CN"/>
        </w:rPr>
        <w:t>（一）部门预算总体绩效分析。</w:t>
      </w:r>
    </w:p>
    <w:p>
      <w:pPr>
        <w:adjustRightInd w:val="0"/>
        <w:snapToGrid w:val="0"/>
        <w:spacing w:line="578" w:lineRule="exact"/>
        <w:ind w:firstLineChars="200" w:firstLine="640"/>
        <w:contextualSpacing/>
        <w:jc w:val="left"/>
        <w:rPr>
          <w:color w:val="000000"/>
          <w:kern w:val="0"/>
          <w:szCs w:val="32"/>
          <w:shd w:val="clear" w:color="auto" w:fill="FFFFFF"/>
          <w:lang w:val="zh-CN"/>
        </w:rPr>
      </w:pPr>
      <w:r>
        <w:rPr>
          <w:rFonts w:eastAsia="楷体_GB2312"/>
          <w:color w:val="000000"/>
          <w:kern w:val="0"/>
          <w:szCs w:val="32"/>
          <w:shd w:val="clear" w:color="auto" w:fill="FFFFFF"/>
        </w:rPr>
        <w:t>1.</w:t>
      </w:r>
      <w:r>
        <w:rPr>
          <w:rFonts w:eastAsia="楷体_GB2312"/>
          <w:color w:val="000000"/>
          <w:kern w:val="0"/>
          <w:szCs w:val="32"/>
          <w:shd w:val="clear" w:color="auto" w:fill="FFFFFF"/>
          <w:lang w:val="zh-CN"/>
        </w:rPr>
        <w:t>履职效能。总分</w:t>
      </w:r>
      <w:r>
        <w:rPr>
          <w:rFonts w:eastAsia="楷体_GB2312" w:hint="eastAsia"/>
          <w:color w:val="000000"/>
          <w:kern w:val="0"/>
          <w:szCs w:val="32"/>
          <w:shd w:val="clear" w:color="auto" w:fill="FFFFFF"/>
          <w:lang w:val="zh-CN"/>
        </w:rPr>
        <w:t>15分，</w:t>
      </w:r>
      <w:r>
        <w:rPr>
          <w:rFonts w:hint="eastAsia"/>
          <w:color w:val="000000"/>
          <w:kern w:val="0"/>
          <w:szCs w:val="32"/>
          <w:shd w:val="clear" w:color="auto" w:fill="FFFFFF"/>
          <w:lang w:val="zh-CN"/>
        </w:rPr>
        <w:t>自评</w:t>
      </w:r>
      <w:r>
        <w:rPr>
          <w:color w:val="000000"/>
          <w:kern w:val="0"/>
          <w:szCs w:val="32"/>
          <w:shd w:val="clear" w:color="auto" w:fill="FFFFFF"/>
          <w:lang w:val="zh-CN"/>
        </w:rPr>
        <w:t>得分</w:t>
      </w:r>
      <w:r>
        <w:rPr>
          <w:rFonts w:hint="eastAsia"/>
          <w:color w:val="000000"/>
          <w:kern w:val="0"/>
          <w:szCs w:val="32"/>
          <w:shd w:val="clear" w:color="auto" w:fill="FFFFFF"/>
          <w:lang w:val="zh-CN"/>
        </w:rPr>
        <w:t>15分，（1）我部门2024年人员工资正常发放，经费正常报销，保障了医保工作人员正常履职，机构正常运转。（2）医保法治宣传和培训为2次，提升了医保法治能力。（3）</w:t>
      </w:r>
      <w:r>
        <w:rPr>
          <w:bCs/>
          <w:snapToGrid w:val="0"/>
          <w:szCs w:val="32"/>
        </w:rPr>
        <w:t>查处定点医药机构735家次并追回本金及处违约金、罚款等共计3084.40万元，处理违法违规使用医保基金的参保人员10人并追回本金并处罚款共计18.58万元，解除定点医药机构28家，暂停结算4家，国家线索核查率100%，追回本金并处违约金、罚款等共计99.05万元。</w:t>
      </w:r>
    </w:p>
    <w:p>
      <w:pPr>
        <w:adjustRightInd w:val="0"/>
        <w:snapToGrid w:val="0"/>
        <w:spacing w:line="578" w:lineRule="exact"/>
        <w:ind w:firstLineChars="200" w:firstLine="640"/>
        <w:contextualSpacing/>
        <w:jc w:val="left"/>
        <w:rPr>
          <w:color w:val="000000"/>
          <w:kern w:val="0"/>
          <w:szCs w:val="32"/>
          <w:shd w:val="clear" w:color="auto" w:fill="FFFFFF"/>
          <w:lang w:val="zh-CN"/>
        </w:rPr>
      </w:pPr>
      <w:r>
        <w:rPr>
          <w:rFonts w:eastAsia="楷体_GB2312"/>
          <w:color w:val="000000"/>
          <w:kern w:val="0"/>
          <w:szCs w:val="32"/>
          <w:shd w:val="clear" w:color="auto" w:fill="FFFFFF"/>
        </w:rPr>
        <w:t>2.</w:t>
      </w:r>
      <w:r>
        <w:rPr>
          <w:rFonts w:eastAsia="楷体_GB2312"/>
          <w:color w:val="000000"/>
          <w:kern w:val="0"/>
          <w:szCs w:val="32"/>
          <w:shd w:val="clear" w:color="auto" w:fill="FFFFFF"/>
          <w:lang w:val="zh-CN"/>
        </w:rPr>
        <w:t>预算管理。</w:t>
      </w:r>
      <w:r>
        <w:rPr>
          <w:color w:val="000000"/>
          <w:kern w:val="0"/>
          <w:szCs w:val="32"/>
          <w:shd w:val="clear" w:color="auto" w:fill="FFFFFF"/>
          <w:lang w:val="zh-CN"/>
        </w:rPr>
        <w:t>总分</w:t>
      </w:r>
      <w:r>
        <w:rPr>
          <w:rFonts w:hint="eastAsia"/>
          <w:color w:val="000000"/>
          <w:kern w:val="0"/>
          <w:szCs w:val="32"/>
          <w:shd w:val="clear" w:color="auto" w:fill="FFFFFF"/>
          <w:lang w:val="zh-CN"/>
        </w:rPr>
        <w:t>25分，</w:t>
      </w:r>
      <w:r>
        <w:rPr>
          <w:color w:val="000000"/>
          <w:kern w:val="0"/>
          <w:szCs w:val="32"/>
          <w:shd w:val="clear" w:color="auto" w:fill="FFFFFF"/>
          <w:lang w:val="zh-CN"/>
        </w:rPr>
        <w:t>自评得分</w:t>
      </w:r>
      <w:r>
        <w:rPr>
          <w:rFonts w:hint="eastAsia"/>
          <w:color w:val="000000"/>
          <w:kern w:val="0"/>
          <w:szCs w:val="32"/>
          <w:shd w:val="clear" w:color="auto" w:fill="FFFFFF"/>
          <w:lang w:val="zh-CN"/>
        </w:rPr>
        <w:t>18.94分。其中：（1）</w:t>
      </w:r>
      <w:r>
        <w:rPr>
          <w:color w:val="000000"/>
          <w:kern w:val="0"/>
          <w:szCs w:val="32"/>
          <w:shd w:val="clear" w:color="auto" w:fill="FFFFFF"/>
          <w:lang w:val="zh-CN"/>
        </w:rPr>
        <w:t>预算编制质量总分</w:t>
      </w:r>
      <w:r>
        <w:rPr>
          <w:rFonts w:hint="eastAsia"/>
          <w:color w:val="000000"/>
          <w:kern w:val="0"/>
          <w:szCs w:val="32"/>
          <w:shd w:val="clear" w:color="auto" w:fill="FFFFFF"/>
          <w:lang w:val="zh-CN"/>
        </w:rPr>
        <w:t>8分，</w:t>
      </w:r>
      <w:r>
        <w:rPr>
          <w:color w:val="000000"/>
          <w:kern w:val="0"/>
          <w:szCs w:val="32"/>
          <w:shd w:val="clear" w:color="auto" w:fill="FFFFFF"/>
          <w:lang w:val="zh-CN"/>
        </w:rPr>
        <w:t>自评得分</w:t>
      </w:r>
      <w:r>
        <w:rPr>
          <w:rFonts w:hint="eastAsia"/>
          <w:color w:val="000000"/>
          <w:kern w:val="0"/>
          <w:szCs w:val="32"/>
          <w:shd w:val="clear" w:color="auto" w:fill="FFFFFF"/>
          <w:lang w:val="zh-CN"/>
        </w:rPr>
        <w:t>2.83分。主要原因是年初预算时项目预算较少，大部分项目为年中追加，</w:t>
      </w:r>
      <w:r>
        <w:t>使得</w:t>
      </w:r>
      <w:r>
        <w:rPr>
          <w:rFonts w:hint="eastAsia"/>
          <w:color w:val="000000"/>
          <w:kern w:val="0"/>
          <w:szCs w:val="32"/>
          <w:shd w:val="clear" w:color="auto" w:fill="FFFFFF"/>
          <w:lang w:val="zh-CN"/>
        </w:rPr>
        <w:t>年初预算与决算的偏离度较大。（2）</w:t>
      </w:r>
      <w:r>
        <w:rPr>
          <w:color w:val="000000"/>
          <w:kern w:val="0"/>
          <w:szCs w:val="32"/>
          <w:shd w:val="clear" w:color="auto" w:fill="FFFFFF"/>
          <w:lang w:val="zh-CN"/>
        </w:rPr>
        <w:t>单位收入统筹总分</w:t>
      </w:r>
      <w:r>
        <w:rPr>
          <w:rFonts w:hint="eastAsia"/>
          <w:color w:val="000000"/>
          <w:kern w:val="0"/>
          <w:szCs w:val="32"/>
          <w:shd w:val="clear" w:color="auto" w:fill="FFFFFF"/>
          <w:lang w:val="zh-CN"/>
        </w:rPr>
        <w:t>4分，自评得分4分，2024年非税收入为1480.25万元，远高于年初预算收入且实际执行综合补助比例低于财政核定的综合补助比例。（3）</w:t>
      </w:r>
      <w:r>
        <w:rPr>
          <w:color w:val="000000"/>
          <w:kern w:val="0"/>
          <w:szCs w:val="32"/>
          <w:shd w:val="clear" w:color="auto" w:fill="FFFFFF"/>
          <w:lang w:val="zh-CN"/>
        </w:rPr>
        <w:t>支出执行进度总分</w:t>
      </w:r>
      <w:r>
        <w:rPr>
          <w:rFonts w:hint="eastAsia"/>
          <w:color w:val="000000"/>
          <w:kern w:val="0"/>
          <w:szCs w:val="32"/>
          <w:shd w:val="clear" w:color="auto" w:fill="FFFFFF"/>
          <w:lang w:val="zh-CN"/>
        </w:rPr>
        <w:t>6分，自评得分5.16分，项目支出需按照支付条件支付，</w:t>
      </w:r>
      <w:r>
        <w:t>使得总体支出执行进度低于时间进度。</w:t>
      </w:r>
      <w:r>
        <w:rPr>
          <w:rFonts w:hint="eastAsia"/>
          <w:color w:val="000000"/>
          <w:kern w:val="0"/>
          <w:szCs w:val="32"/>
          <w:shd w:val="clear" w:color="auto" w:fill="FFFFFF"/>
          <w:lang w:val="zh-CN"/>
        </w:rPr>
        <w:t>（4）</w:t>
      </w:r>
      <w:r>
        <w:rPr>
          <w:color w:val="000000"/>
          <w:kern w:val="0"/>
          <w:szCs w:val="32"/>
          <w:shd w:val="clear" w:color="auto" w:fill="FFFFFF"/>
          <w:lang w:val="zh-CN"/>
        </w:rPr>
        <w:t>预算年终结余总分</w:t>
      </w:r>
      <w:r>
        <w:rPr>
          <w:rFonts w:hint="eastAsia"/>
          <w:color w:val="000000"/>
          <w:kern w:val="0"/>
          <w:szCs w:val="32"/>
          <w:shd w:val="clear" w:color="auto" w:fill="FFFFFF"/>
          <w:lang w:val="zh-CN"/>
        </w:rPr>
        <w:t>2分，自评得分1.95分，年终存在部分预算指标未使用完的情况。（5）</w:t>
      </w:r>
      <w:r>
        <w:rPr>
          <w:color w:val="000000"/>
          <w:kern w:val="0"/>
          <w:szCs w:val="32"/>
          <w:shd w:val="clear" w:color="auto" w:fill="FFFFFF"/>
          <w:lang w:val="zh-CN"/>
        </w:rPr>
        <w:t>严控一般性支出</w:t>
      </w:r>
      <w:r>
        <w:rPr>
          <w:rFonts w:hint="eastAsia"/>
          <w:color w:val="000000"/>
          <w:kern w:val="0"/>
          <w:szCs w:val="32"/>
          <w:shd w:val="clear" w:color="auto" w:fill="FFFFFF"/>
          <w:lang w:val="zh-CN"/>
        </w:rPr>
        <w:t>总分5分，自评得分5分</w:t>
      </w:r>
      <w:r>
        <w:rPr>
          <w:color w:val="000000"/>
          <w:kern w:val="0"/>
          <w:szCs w:val="32"/>
          <w:shd w:val="clear" w:color="auto" w:fill="FFFFFF"/>
          <w:lang w:val="zh-CN"/>
        </w:rPr>
        <w:t>。</w:t>
      </w:r>
      <w:r>
        <w:rPr>
          <w:rFonts w:hint="eastAsia"/>
          <w:color w:val="000000"/>
          <w:kern w:val="0"/>
          <w:szCs w:val="32"/>
          <w:shd w:val="clear" w:color="auto" w:fill="FFFFFF"/>
          <w:lang w:val="zh-CN"/>
        </w:rPr>
        <w:t>一般性支出财政拨款年初预算561.18万元较上年824.70万元实现压减31.95%，一般性支出财政拨款预算执行974.39万元较上年1027.22万元实现压减5.14%。</w:t>
      </w:r>
    </w:p>
    <w:p>
      <w:pPr>
        <w:adjustRightInd w:val="0"/>
        <w:snapToGrid w:val="0"/>
        <w:spacing w:line="578" w:lineRule="exact"/>
        <w:ind w:firstLineChars="200" w:firstLine="640"/>
        <w:contextualSpacing/>
        <w:jc w:val="left"/>
        <w:rPr>
          <w:rFonts w:eastAsia="楷体_GB2312"/>
          <w:color w:val="000000"/>
          <w:kern w:val="0"/>
          <w:szCs w:val="32"/>
          <w:shd w:val="clear" w:color="auto" w:fill="FFFFFF"/>
          <w:lang w:val="zh-CN"/>
        </w:rPr>
      </w:pPr>
      <w:r>
        <w:rPr>
          <w:rFonts w:eastAsia="楷体_GB2312"/>
          <w:color w:val="000000"/>
          <w:kern w:val="0"/>
          <w:szCs w:val="32"/>
          <w:shd w:val="clear" w:color="auto" w:fill="FFFFFF"/>
        </w:rPr>
        <w:t>3.</w:t>
      </w:r>
      <w:r>
        <w:rPr>
          <w:rFonts w:eastAsia="楷体_GB2312"/>
          <w:color w:val="000000"/>
          <w:kern w:val="0"/>
          <w:szCs w:val="32"/>
          <w:shd w:val="clear" w:color="auto" w:fill="FFFFFF"/>
          <w:lang w:val="zh-CN"/>
        </w:rPr>
        <w:t>财务管理。</w:t>
      </w:r>
      <w:r>
        <w:rPr>
          <w:color w:val="000000"/>
          <w:kern w:val="0"/>
          <w:szCs w:val="32"/>
          <w:shd w:val="clear" w:color="auto" w:fill="FFFFFF"/>
          <w:lang w:val="zh-CN"/>
        </w:rPr>
        <w:t>总分</w:t>
      </w:r>
      <w:r>
        <w:rPr>
          <w:rFonts w:hint="eastAsia"/>
          <w:color w:val="000000"/>
          <w:kern w:val="0"/>
          <w:szCs w:val="32"/>
          <w:shd w:val="clear" w:color="auto" w:fill="FFFFFF"/>
          <w:lang w:val="zh-CN"/>
        </w:rPr>
        <w:t>10分，</w:t>
      </w:r>
      <w:r>
        <w:rPr>
          <w:color w:val="000000"/>
          <w:kern w:val="0"/>
          <w:szCs w:val="32"/>
          <w:shd w:val="clear" w:color="auto" w:fill="FFFFFF"/>
          <w:lang w:val="zh-CN"/>
        </w:rPr>
        <w:t>自评得分</w:t>
      </w:r>
      <w:r>
        <w:rPr>
          <w:rFonts w:hint="eastAsia"/>
          <w:color w:val="000000"/>
          <w:kern w:val="0"/>
          <w:szCs w:val="32"/>
          <w:shd w:val="clear" w:color="auto" w:fill="FFFFFF"/>
          <w:lang w:val="zh-CN"/>
        </w:rPr>
        <w:t>10分。其中：（1）</w:t>
      </w:r>
      <w:r>
        <w:rPr>
          <w:color w:val="000000"/>
          <w:kern w:val="0"/>
          <w:szCs w:val="32"/>
          <w:shd w:val="clear" w:color="auto" w:fill="FFFFFF"/>
          <w:lang w:val="zh-CN"/>
        </w:rPr>
        <w:t>财务管理制度总分</w:t>
      </w:r>
      <w:r>
        <w:rPr>
          <w:rFonts w:hint="eastAsia"/>
          <w:color w:val="000000"/>
          <w:kern w:val="0"/>
          <w:szCs w:val="32"/>
          <w:shd w:val="clear" w:color="auto" w:fill="FFFFFF"/>
          <w:lang w:val="zh-CN"/>
        </w:rPr>
        <w:t>4分，自评得分4分，我部门建立了财务管理制度，并按规定执行。（2）</w:t>
      </w:r>
      <w:r>
        <w:rPr>
          <w:color w:val="000000"/>
          <w:kern w:val="0"/>
          <w:szCs w:val="32"/>
          <w:shd w:val="clear" w:color="auto" w:fill="FFFFFF"/>
          <w:lang w:val="zh-CN"/>
        </w:rPr>
        <w:t>财务岗位设置总分</w:t>
      </w:r>
      <w:r>
        <w:rPr>
          <w:rFonts w:hint="eastAsia"/>
          <w:color w:val="000000"/>
          <w:kern w:val="0"/>
          <w:szCs w:val="32"/>
          <w:shd w:val="clear" w:color="auto" w:fill="FFFFFF"/>
          <w:lang w:val="zh-CN"/>
        </w:rPr>
        <w:t>2分，自评得分2分，我部门财务岗位设置合理，并按规定执行。（3）</w:t>
      </w:r>
      <w:r>
        <w:rPr>
          <w:color w:val="000000"/>
          <w:kern w:val="0"/>
          <w:szCs w:val="32"/>
          <w:shd w:val="clear" w:color="auto" w:fill="FFFFFF"/>
          <w:lang w:val="zh-CN"/>
        </w:rPr>
        <w:t>资金使用规范</w:t>
      </w:r>
      <w:r>
        <w:rPr>
          <w:rFonts w:hint="eastAsia"/>
          <w:color w:val="000000"/>
          <w:kern w:val="0"/>
          <w:szCs w:val="32"/>
          <w:shd w:val="clear" w:color="auto" w:fill="FFFFFF"/>
          <w:lang w:val="zh-CN"/>
        </w:rPr>
        <w:t>总分4分，自评得分4分，我部门资金使用按规定执行，资金使用规范有序</w:t>
      </w:r>
      <w:r>
        <w:rPr>
          <w:color w:val="000000"/>
          <w:kern w:val="0"/>
          <w:szCs w:val="32"/>
          <w:shd w:val="clear" w:color="auto" w:fill="FFFFFF"/>
          <w:lang w:val="zh-CN"/>
        </w:rPr>
        <w:t>。</w:t>
      </w:r>
    </w:p>
    <w:p>
      <w:pPr>
        <w:adjustRightInd w:val="0"/>
        <w:snapToGrid w:val="0"/>
        <w:spacing w:line="578" w:lineRule="exact"/>
        <w:ind w:firstLineChars="200" w:firstLine="640"/>
        <w:contextualSpacing/>
        <w:jc w:val="left"/>
        <w:rPr>
          <w:rFonts w:eastAsia="楷体_GB2312"/>
          <w:color w:val="000000"/>
          <w:kern w:val="0"/>
          <w:szCs w:val="32"/>
          <w:shd w:val="clear" w:color="auto" w:fill="FFFFFF"/>
          <w:lang w:val="zh-CN"/>
        </w:rPr>
      </w:pPr>
      <w:r>
        <w:rPr>
          <w:rFonts w:eastAsia="楷体_GB2312"/>
          <w:color w:val="000000"/>
          <w:kern w:val="0"/>
          <w:szCs w:val="32"/>
          <w:shd w:val="clear" w:color="auto" w:fill="FFFFFF"/>
        </w:rPr>
        <w:t>4.</w:t>
      </w:r>
      <w:r>
        <w:rPr>
          <w:rFonts w:eastAsia="楷体_GB2312"/>
          <w:color w:val="000000"/>
          <w:kern w:val="0"/>
          <w:szCs w:val="32"/>
          <w:shd w:val="clear" w:color="auto" w:fill="FFFFFF"/>
          <w:lang w:val="zh-CN"/>
        </w:rPr>
        <w:t>资产管理。</w:t>
      </w:r>
      <w:r>
        <w:rPr>
          <w:color w:val="000000"/>
          <w:kern w:val="0"/>
          <w:szCs w:val="32"/>
          <w:shd w:val="clear" w:color="auto" w:fill="FFFFFF"/>
          <w:lang w:val="zh-CN"/>
        </w:rPr>
        <w:t>总分</w:t>
      </w:r>
      <w:r>
        <w:rPr>
          <w:rFonts w:hint="eastAsia"/>
          <w:color w:val="000000"/>
          <w:kern w:val="0"/>
          <w:szCs w:val="32"/>
          <w:shd w:val="clear" w:color="auto" w:fill="FFFFFF"/>
          <w:lang w:val="zh-CN"/>
        </w:rPr>
        <w:t>9分，</w:t>
      </w:r>
      <w:r>
        <w:rPr>
          <w:color w:val="000000"/>
          <w:kern w:val="0"/>
          <w:szCs w:val="32"/>
          <w:shd w:val="clear" w:color="auto" w:fill="FFFFFF"/>
          <w:lang w:val="zh-CN"/>
        </w:rPr>
        <w:t>自评得分</w:t>
      </w:r>
      <w:r>
        <w:rPr>
          <w:rFonts w:hint="eastAsia"/>
          <w:color w:val="000000"/>
          <w:kern w:val="0"/>
          <w:szCs w:val="32"/>
          <w:shd w:val="clear" w:color="auto" w:fill="FFFFFF"/>
          <w:lang w:val="zh-CN"/>
        </w:rPr>
        <w:t>6.6分。其中：（1）</w:t>
      </w:r>
      <w:r>
        <w:rPr>
          <w:color w:val="000000"/>
          <w:kern w:val="0"/>
          <w:szCs w:val="32"/>
          <w:shd w:val="clear" w:color="auto" w:fill="FFFFFF"/>
          <w:lang w:val="zh-CN"/>
        </w:rPr>
        <w:t>人均资产变化率总分</w:t>
      </w:r>
      <w:r>
        <w:rPr>
          <w:rFonts w:hint="eastAsia"/>
          <w:color w:val="000000"/>
          <w:kern w:val="0"/>
          <w:szCs w:val="32"/>
          <w:shd w:val="clear" w:color="auto" w:fill="FFFFFF"/>
          <w:lang w:val="zh-CN"/>
        </w:rPr>
        <w:t>3分，自评得分3分，我部门2024年人均资产变化率为-2.2%，小于0，小于</w:t>
      </w:r>
      <w:r>
        <w:rPr>
          <w:rFonts w:hint="eastAsia"/>
          <w:kern w:val="0"/>
          <w:szCs w:val="32"/>
          <w:shd w:val="clear" w:color="auto" w:fill="FFFFFF"/>
          <w:lang w:val="zh-CN"/>
        </w:rPr>
        <w:t>市级行政事业单位人均资产变化率</w:t>
      </w:r>
      <w:r>
        <w:rPr>
          <w:rFonts w:hint="eastAsia"/>
          <w:color w:val="000000"/>
          <w:kern w:val="0"/>
          <w:szCs w:val="32"/>
          <w:shd w:val="clear" w:color="auto" w:fill="FFFFFF"/>
          <w:lang w:val="zh-CN"/>
        </w:rPr>
        <w:t>15.358%。（2）</w:t>
      </w:r>
      <w:r>
        <w:rPr>
          <w:color w:val="000000"/>
          <w:kern w:val="0"/>
          <w:szCs w:val="32"/>
          <w:shd w:val="clear" w:color="auto" w:fill="FFFFFF"/>
          <w:lang w:val="zh-CN"/>
        </w:rPr>
        <w:t>资产利用率总分</w:t>
      </w:r>
      <w:r>
        <w:rPr>
          <w:rFonts w:hint="eastAsia"/>
          <w:color w:val="000000"/>
          <w:kern w:val="0"/>
          <w:szCs w:val="32"/>
          <w:shd w:val="clear" w:color="auto" w:fill="FFFFFF"/>
          <w:lang w:val="zh-CN"/>
        </w:rPr>
        <w:t>3分，自评得分</w:t>
      </w:r>
      <w:r>
        <w:rPr>
          <w:rFonts w:hint="eastAsia"/>
          <w:kern w:val="0"/>
          <w:szCs w:val="32"/>
          <w:shd w:val="clear" w:color="auto" w:fill="FFFFFF"/>
          <w:lang w:val="zh-CN"/>
        </w:rPr>
        <w:t>0.6</w:t>
      </w:r>
      <w:r>
        <w:rPr>
          <w:rFonts w:hint="eastAsia"/>
          <w:color w:val="000000"/>
          <w:kern w:val="0"/>
          <w:szCs w:val="32"/>
          <w:shd w:val="clear" w:color="auto" w:fill="FFFFFF"/>
          <w:lang w:val="zh-CN"/>
        </w:rPr>
        <w:t>分，我部门2024年办公家具超最低使用年限资产利用率为0，小于市级行政事业单位平均值50.64%的0.6倍，得0.3分；我部门2024年办公设备超最低使用年限资产利用率为2.35%，小于市级行政事业单位平均值17.51%的0.6倍，得0.3分。</w:t>
      </w:r>
      <w:r>
        <w:rPr>
          <w:color w:val="000000"/>
          <w:kern w:val="0"/>
          <w:szCs w:val="32"/>
          <w:shd w:val="clear" w:color="auto" w:fill="FFFFFF"/>
          <w:lang w:val="zh-CN"/>
        </w:rPr>
        <w:t>（</w:t>
      </w:r>
      <w:r>
        <w:rPr>
          <w:rFonts w:hint="eastAsia"/>
          <w:color w:val="000000"/>
          <w:kern w:val="0"/>
          <w:szCs w:val="32"/>
          <w:shd w:val="clear" w:color="auto" w:fill="FFFFFF"/>
          <w:lang w:val="zh-CN"/>
        </w:rPr>
        <w:t>3</w:t>
      </w:r>
      <w:r>
        <w:rPr>
          <w:color w:val="000000"/>
          <w:kern w:val="0"/>
          <w:szCs w:val="32"/>
          <w:shd w:val="clear" w:color="auto" w:fill="FFFFFF"/>
          <w:lang w:val="zh-CN"/>
        </w:rPr>
        <w:t>）资产盘活率总分</w:t>
      </w:r>
      <w:r>
        <w:rPr>
          <w:rFonts w:hint="eastAsia"/>
          <w:color w:val="000000"/>
          <w:kern w:val="0"/>
          <w:szCs w:val="32"/>
          <w:shd w:val="clear" w:color="auto" w:fill="FFFFFF"/>
          <w:lang w:val="zh-CN"/>
        </w:rPr>
        <w:t>3分，自评得分3分，我部门两年均无闲置的资产。</w:t>
      </w:r>
    </w:p>
    <w:p>
      <w:pPr>
        <w:adjustRightInd w:val="0"/>
        <w:snapToGrid w:val="0"/>
        <w:spacing w:line="578" w:lineRule="exact"/>
        <w:ind w:firstLineChars="200" w:firstLine="640"/>
        <w:contextualSpacing/>
        <w:jc w:val="left"/>
        <w:rPr>
          <w:rFonts w:eastAsia="楷体_GB2312"/>
          <w:color w:val="000000"/>
          <w:kern w:val="0"/>
          <w:szCs w:val="32"/>
          <w:shd w:val="clear" w:color="auto" w:fill="FFFFFF"/>
          <w:lang w:val="zh-CN"/>
        </w:rPr>
      </w:pPr>
      <w:r>
        <w:rPr>
          <w:rFonts w:eastAsia="楷体_GB2312"/>
          <w:color w:val="000000"/>
          <w:kern w:val="0"/>
          <w:szCs w:val="32"/>
          <w:shd w:val="clear" w:color="auto" w:fill="FFFFFF"/>
        </w:rPr>
        <w:t>5.</w:t>
      </w:r>
      <w:r>
        <w:rPr>
          <w:rFonts w:eastAsia="楷体_GB2312"/>
          <w:color w:val="000000"/>
          <w:kern w:val="0"/>
          <w:szCs w:val="32"/>
          <w:shd w:val="clear" w:color="auto" w:fill="FFFFFF"/>
          <w:lang w:val="zh-CN"/>
        </w:rPr>
        <w:t>采购管理。</w:t>
      </w:r>
      <w:r>
        <w:rPr>
          <w:color w:val="000000"/>
          <w:kern w:val="0"/>
          <w:szCs w:val="32"/>
          <w:shd w:val="clear" w:color="auto" w:fill="FFFFFF"/>
          <w:lang w:val="zh-CN"/>
        </w:rPr>
        <w:t>总分</w:t>
      </w:r>
      <w:r>
        <w:rPr>
          <w:rFonts w:hint="eastAsia"/>
          <w:color w:val="000000"/>
          <w:kern w:val="0"/>
          <w:szCs w:val="32"/>
          <w:shd w:val="clear" w:color="auto" w:fill="FFFFFF"/>
          <w:lang w:val="zh-CN"/>
        </w:rPr>
        <w:t>6分，</w:t>
      </w:r>
      <w:r>
        <w:rPr>
          <w:color w:val="000000"/>
          <w:kern w:val="0"/>
          <w:szCs w:val="32"/>
          <w:shd w:val="clear" w:color="auto" w:fill="FFFFFF"/>
          <w:lang w:val="zh-CN"/>
        </w:rPr>
        <w:t>自评得分</w:t>
      </w:r>
      <w:r>
        <w:rPr>
          <w:rFonts w:hint="eastAsia"/>
          <w:color w:val="000000"/>
          <w:kern w:val="0"/>
          <w:szCs w:val="32"/>
          <w:shd w:val="clear" w:color="auto" w:fill="FFFFFF"/>
          <w:lang w:val="zh-CN"/>
        </w:rPr>
        <w:t>6分。其中：（1）</w:t>
      </w:r>
      <w:r>
        <w:rPr>
          <w:color w:val="000000"/>
          <w:kern w:val="0"/>
          <w:szCs w:val="32"/>
          <w:shd w:val="clear" w:color="auto" w:fill="FFFFFF"/>
          <w:lang w:val="zh-CN"/>
        </w:rPr>
        <w:t>支持中小企业发展总分</w:t>
      </w:r>
      <w:r>
        <w:rPr>
          <w:rFonts w:hint="eastAsia"/>
          <w:color w:val="000000"/>
          <w:kern w:val="0"/>
          <w:szCs w:val="32"/>
          <w:shd w:val="clear" w:color="auto" w:fill="FFFFFF"/>
          <w:lang w:val="zh-CN"/>
        </w:rPr>
        <w:t>3分，自评得分3分，我部门2024年政府采购支出为130.29万元，其中政府采购授予中小企业合同金额为66.78万元，占比51.25%。（2）</w:t>
      </w:r>
      <w:r>
        <w:rPr>
          <w:color w:val="000000"/>
          <w:kern w:val="0"/>
          <w:szCs w:val="32"/>
          <w:shd w:val="clear" w:color="auto" w:fill="FFFFFF"/>
          <w:lang w:val="zh-CN"/>
        </w:rPr>
        <w:t>采购执行率总分</w:t>
      </w:r>
      <w:r>
        <w:rPr>
          <w:rFonts w:hint="eastAsia"/>
          <w:color w:val="000000"/>
          <w:kern w:val="0"/>
          <w:szCs w:val="32"/>
          <w:shd w:val="clear" w:color="auto" w:fill="FFFFFF"/>
          <w:lang w:val="zh-CN"/>
        </w:rPr>
        <w:t>3分，自评得分3分，我部门2024年政府采购执行率为100%</w:t>
      </w:r>
      <w:r>
        <w:rPr>
          <w:color w:val="000000"/>
          <w:kern w:val="0"/>
          <w:szCs w:val="32"/>
          <w:shd w:val="clear" w:color="auto" w:fill="FFFFFF"/>
          <w:lang w:val="zh-CN"/>
        </w:rPr>
        <w:t>。</w:t>
      </w:r>
    </w:p>
    <w:p>
      <w:pPr>
        <w:widowControl/>
        <w:adjustRightInd w:val="0"/>
        <w:snapToGrid w:val="0"/>
        <w:spacing w:line="578" w:lineRule="exact"/>
        <w:ind w:firstLineChars="200" w:firstLine="640"/>
        <w:contextualSpacing/>
        <w:jc w:val="left"/>
        <w:rPr>
          <w:color w:val="000000"/>
          <w:kern w:val="0"/>
          <w:szCs w:val="32"/>
          <w:shd w:val="clear" w:color="auto" w:fill="FFFFFF"/>
        </w:rPr>
      </w:pPr>
      <w:r>
        <w:rPr>
          <w:rFonts w:eastAsia="楷体_GB2312"/>
          <w:b/>
          <w:bCs/>
          <w:color w:val="000000"/>
          <w:kern w:val="0"/>
          <w:szCs w:val="32"/>
          <w:shd w:val="clear" w:color="auto" w:fill="FFFFFF"/>
          <w:lang w:val="zh-CN"/>
        </w:rPr>
        <w:t>（二）部门预算项目绩效分析。</w:t>
      </w:r>
    </w:p>
    <w:p>
      <w:pPr>
        <w:adjustRightInd w:val="0"/>
        <w:snapToGrid w:val="0"/>
        <w:spacing w:line="578" w:lineRule="exact"/>
        <w:ind w:firstLineChars="200" w:firstLine="640"/>
        <w:contextualSpacing/>
        <w:jc w:val="left"/>
        <w:rPr>
          <w:color w:val="000000"/>
          <w:kern w:val="0"/>
          <w:szCs w:val="32"/>
          <w:shd w:val="clear" w:color="auto" w:fill="FFFFFF"/>
          <w:lang w:val="zh-CN"/>
        </w:rPr>
      </w:pPr>
      <w:r>
        <w:rPr>
          <w:color w:val="000000"/>
          <w:kern w:val="0"/>
          <w:szCs w:val="32"/>
          <w:shd w:val="clear" w:color="auto" w:fill="FFFFFF"/>
        </w:rPr>
        <w:t>常年项目绩效分析。</w:t>
      </w:r>
      <w:r>
        <w:rPr>
          <w:color w:val="000000"/>
          <w:kern w:val="0"/>
          <w:szCs w:val="32"/>
          <w:shd w:val="clear" w:color="auto" w:fill="FFFFFF"/>
          <w:lang w:val="zh-CN"/>
        </w:rPr>
        <w:t>该类项目总数</w:t>
      </w:r>
      <w:r>
        <w:rPr>
          <w:rFonts w:hint="eastAsia"/>
          <w:color w:val="000000"/>
          <w:kern w:val="0"/>
          <w:szCs w:val="32"/>
          <w:shd w:val="clear" w:color="auto" w:fill="FFFFFF"/>
          <w:lang w:val="zh-CN"/>
        </w:rPr>
        <w:t>10</w:t>
      </w:r>
      <w:r>
        <w:rPr>
          <w:color w:val="000000"/>
          <w:kern w:val="0"/>
          <w:szCs w:val="32"/>
          <w:shd w:val="clear" w:color="auto" w:fill="FFFFFF"/>
          <w:lang w:val="zh-CN"/>
        </w:rPr>
        <w:t>个，涉及预算总金额</w:t>
      </w:r>
      <w:r>
        <w:rPr>
          <w:rFonts w:hint="eastAsia"/>
          <w:color w:val="000000"/>
          <w:kern w:val="0"/>
          <w:szCs w:val="32"/>
          <w:shd w:val="clear" w:color="auto" w:fill="FFFFFF"/>
          <w:lang w:val="zh-CN"/>
        </w:rPr>
        <w:t>350.79</w:t>
      </w:r>
      <w:r>
        <w:rPr>
          <w:color w:val="000000"/>
          <w:kern w:val="0"/>
          <w:szCs w:val="32"/>
          <w:shd w:val="clear" w:color="auto" w:fill="FFFFFF"/>
          <w:lang w:val="zh-CN"/>
        </w:rPr>
        <w:t>万元，1</w:t>
      </w:r>
      <w:r>
        <w:rPr>
          <w:rFonts w:hint="eastAsia"/>
          <w:color w:val="000000"/>
          <w:kern w:val="0"/>
          <w:szCs w:val="32"/>
          <w:shd w:val="clear" w:color="auto" w:fill="FFFFFF"/>
          <w:lang w:val="zh-CN"/>
        </w:rPr>
        <w:t>—</w:t>
      </w:r>
      <w:r>
        <w:rPr>
          <w:color w:val="000000"/>
          <w:kern w:val="0"/>
          <w:szCs w:val="32"/>
          <w:shd w:val="clear" w:color="auto" w:fill="FFFFFF"/>
          <w:lang w:val="zh-CN"/>
        </w:rPr>
        <w:t>1</w:t>
      </w:r>
      <w:r>
        <w:rPr>
          <w:color w:val="000000"/>
          <w:kern w:val="0"/>
          <w:szCs w:val="32"/>
          <w:shd w:val="clear" w:color="auto" w:fill="FFFFFF"/>
        </w:rPr>
        <w:t>2</w:t>
      </w:r>
      <w:r>
        <w:rPr>
          <w:color w:val="000000"/>
          <w:kern w:val="0"/>
          <w:szCs w:val="32"/>
          <w:shd w:val="clear" w:color="auto" w:fill="FFFFFF"/>
          <w:lang w:val="zh-CN"/>
        </w:rPr>
        <w:t>月预算执行总体进度为</w:t>
      </w:r>
      <w:r>
        <w:rPr>
          <w:rFonts w:hint="eastAsia"/>
          <w:color w:val="000000"/>
          <w:kern w:val="0"/>
          <w:szCs w:val="32"/>
          <w:shd w:val="clear" w:color="auto" w:fill="FFFFFF"/>
          <w:lang w:val="zh-CN"/>
        </w:rPr>
        <w:t>93.76</w:t>
      </w:r>
      <w:r>
        <w:rPr>
          <w:color w:val="000000"/>
          <w:kern w:val="0"/>
          <w:szCs w:val="32"/>
          <w:shd w:val="clear" w:color="auto" w:fill="FFFFFF"/>
          <w:lang w:val="zh-CN"/>
        </w:rPr>
        <w:t>%，其中：预算结余率大于</w:t>
      </w:r>
      <w:r>
        <w:rPr>
          <w:color w:val="000000"/>
          <w:kern w:val="0"/>
          <w:szCs w:val="32"/>
          <w:shd w:val="clear" w:color="auto" w:fill="FFFFFF"/>
        </w:rPr>
        <w:t>10%</w:t>
      </w:r>
      <w:r>
        <w:rPr>
          <w:color w:val="000000"/>
          <w:kern w:val="0"/>
          <w:szCs w:val="32"/>
          <w:shd w:val="clear" w:color="auto" w:fill="FFFFFF"/>
          <w:lang w:val="zh-CN"/>
        </w:rPr>
        <w:t>的项目共计</w:t>
      </w:r>
      <w:r>
        <w:rPr>
          <w:rFonts w:hint="eastAsia"/>
          <w:color w:val="000000"/>
          <w:kern w:val="0"/>
          <w:szCs w:val="32"/>
          <w:shd w:val="clear" w:color="auto" w:fill="FFFFFF"/>
          <w:lang w:val="zh-CN"/>
        </w:rPr>
        <w:t>0</w:t>
      </w:r>
      <w:r>
        <w:rPr>
          <w:color w:val="000000"/>
          <w:kern w:val="0"/>
          <w:szCs w:val="32"/>
          <w:shd w:val="clear" w:color="auto" w:fill="FFFFFF"/>
          <w:lang w:val="zh-CN"/>
        </w:rPr>
        <w:t>个。</w:t>
      </w:r>
    </w:p>
    <w:p>
      <w:pPr>
        <w:adjustRightInd w:val="0"/>
        <w:snapToGrid w:val="0"/>
        <w:spacing w:line="578" w:lineRule="exact"/>
        <w:ind w:firstLineChars="200" w:firstLine="640"/>
        <w:contextualSpacing/>
        <w:jc w:val="left"/>
        <w:rPr>
          <w:color w:val="000000"/>
          <w:kern w:val="0"/>
          <w:szCs w:val="32"/>
          <w:shd w:val="clear" w:color="auto" w:fill="FFFFFF"/>
          <w:lang w:val="zh-CN"/>
        </w:rPr>
      </w:pPr>
      <w:r>
        <w:rPr>
          <w:color w:val="000000"/>
          <w:kern w:val="0"/>
          <w:szCs w:val="32"/>
          <w:shd w:val="clear" w:color="auto" w:fill="FFFFFF"/>
        </w:rPr>
        <w:t>阶段（</w:t>
      </w:r>
      <w:r>
        <w:rPr>
          <w:rFonts w:hint="eastAsia"/>
          <w:color w:val="000000"/>
          <w:kern w:val="0"/>
          <w:szCs w:val="32"/>
          <w:shd w:val="clear" w:color="auto" w:fill="FFFFFF"/>
        </w:rPr>
        <w:t>含</w:t>
      </w:r>
      <w:r>
        <w:rPr>
          <w:color w:val="000000"/>
          <w:kern w:val="0"/>
          <w:szCs w:val="32"/>
          <w:shd w:val="clear" w:color="auto" w:fill="FFFFFF"/>
        </w:rPr>
        <w:t>一次性）项目绩效分析。</w:t>
      </w:r>
      <w:r>
        <w:rPr>
          <w:color w:val="000000"/>
          <w:kern w:val="0"/>
          <w:szCs w:val="32"/>
          <w:shd w:val="clear" w:color="auto" w:fill="FFFFFF"/>
          <w:lang w:val="zh-CN"/>
        </w:rPr>
        <w:t>该类项目总数</w:t>
      </w:r>
      <w:r>
        <w:rPr>
          <w:rFonts w:hint="eastAsia"/>
          <w:color w:val="000000"/>
          <w:kern w:val="0"/>
          <w:szCs w:val="32"/>
          <w:shd w:val="clear" w:color="auto" w:fill="FFFFFF"/>
          <w:lang w:val="zh-CN"/>
        </w:rPr>
        <w:t>2</w:t>
      </w:r>
      <w:r>
        <w:rPr>
          <w:color w:val="000000"/>
          <w:kern w:val="0"/>
          <w:szCs w:val="32"/>
          <w:shd w:val="clear" w:color="auto" w:fill="FFFFFF"/>
          <w:lang w:val="zh-CN"/>
        </w:rPr>
        <w:t>个，涉及预算总金额</w:t>
      </w:r>
      <w:r>
        <w:rPr>
          <w:rFonts w:hint="eastAsia"/>
          <w:color w:val="000000"/>
          <w:kern w:val="0"/>
          <w:szCs w:val="32"/>
          <w:shd w:val="clear" w:color="auto" w:fill="FFFFFF"/>
          <w:lang w:val="zh-CN"/>
        </w:rPr>
        <w:t>131.76</w:t>
      </w:r>
      <w:r>
        <w:rPr>
          <w:color w:val="000000"/>
          <w:kern w:val="0"/>
          <w:szCs w:val="32"/>
          <w:shd w:val="clear" w:color="auto" w:fill="FFFFFF"/>
          <w:lang w:val="zh-CN"/>
        </w:rPr>
        <w:t>万元，1</w:t>
      </w:r>
      <w:r>
        <w:rPr>
          <w:rFonts w:hint="eastAsia"/>
          <w:color w:val="000000"/>
          <w:kern w:val="0"/>
          <w:szCs w:val="32"/>
          <w:shd w:val="clear" w:color="auto" w:fill="FFFFFF"/>
          <w:lang w:val="zh-CN"/>
        </w:rPr>
        <w:t>—</w:t>
      </w:r>
      <w:r>
        <w:rPr>
          <w:color w:val="000000"/>
          <w:kern w:val="0"/>
          <w:szCs w:val="32"/>
          <w:shd w:val="clear" w:color="auto" w:fill="FFFFFF"/>
          <w:lang w:val="zh-CN"/>
        </w:rPr>
        <w:t>1</w:t>
      </w:r>
      <w:r>
        <w:rPr>
          <w:color w:val="000000"/>
          <w:kern w:val="0"/>
          <w:szCs w:val="32"/>
          <w:shd w:val="clear" w:color="auto" w:fill="FFFFFF"/>
        </w:rPr>
        <w:t>2</w:t>
      </w:r>
      <w:r>
        <w:rPr>
          <w:color w:val="000000"/>
          <w:kern w:val="0"/>
          <w:szCs w:val="32"/>
          <w:shd w:val="clear" w:color="auto" w:fill="FFFFFF"/>
          <w:lang w:val="zh-CN"/>
        </w:rPr>
        <w:t>月预算执行总体进度为</w:t>
      </w:r>
      <w:r>
        <w:rPr>
          <w:rFonts w:hint="eastAsia"/>
          <w:color w:val="000000"/>
          <w:kern w:val="0"/>
          <w:szCs w:val="32"/>
          <w:shd w:val="clear" w:color="auto" w:fill="FFFFFF"/>
          <w:lang w:val="zh-CN"/>
        </w:rPr>
        <w:t>100</w:t>
      </w:r>
      <w:r>
        <w:rPr>
          <w:color w:val="000000"/>
          <w:kern w:val="0"/>
          <w:szCs w:val="32"/>
          <w:shd w:val="clear" w:color="auto" w:fill="FFFFFF"/>
          <w:lang w:val="zh-CN"/>
        </w:rPr>
        <w:t>%，其中：预算结余率大于</w:t>
      </w:r>
      <w:r>
        <w:rPr>
          <w:color w:val="000000"/>
          <w:kern w:val="0"/>
          <w:szCs w:val="32"/>
          <w:shd w:val="clear" w:color="auto" w:fill="FFFFFF"/>
        </w:rPr>
        <w:t>10%</w:t>
      </w:r>
      <w:r>
        <w:rPr>
          <w:color w:val="000000"/>
          <w:kern w:val="0"/>
          <w:szCs w:val="32"/>
          <w:shd w:val="clear" w:color="auto" w:fill="FFFFFF"/>
          <w:lang w:val="zh-CN"/>
        </w:rPr>
        <w:t>的项目共计</w:t>
      </w:r>
      <w:r>
        <w:rPr>
          <w:rFonts w:hint="eastAsia"/>
          <w:color w:val="000000"/>
          <w:kern w:val="0"/>
          <w:szCs w:val="32"/>
          <w:shd w:val="clear" w:color="auto" w:fill="FFFFFF"/>
          <w:lang w:val="zh-CN"/>
        </w:rPr>
        <w:t>0</w:t>
      </w:r>
      <w:r>
        <w:rPr>
          <w:color w:val="000000"/>
          <w:kern w:val="0"/>
          <w:szCs w:val="32"/>
          <w:shd w:val="clear" w:color="auto" w:fill="FFFFFF"/>
          <w:lang w:val="zh-CN"/>
        </w:rPr>
        <w:t>个。</w:t>
      </w:r>
    </w:p>
    <w:p>
      <w:pPr>
        <w:adjustRightInd w:val="0"/>
        <w:snapToGrid w:val="0"/>
        <w:spacing w:line="578" w:lineRule="exact"/>
        <w:ind w:firstLineChars="200" w:firstLine="640"/>
        <w:contextualSpacing/>
        <w:jc w:val="left"/>
        <w:rPr>
          <w:rFonts w:eastAsia="楷体_GB2312"/>
          <w:color w:val="000000"/>
          <w:kern w:val="0"/>
          <w:szCs w:val="32"/>
          <w:shd w:val="clear" w:color="auto" w:fill="FFFFFF"/>
          <w:lang w:val="zh-CN"/>
        </w:rPr>
      </w:pPr>
      <w:r>
        <w:rPr>
          <w:rFonts w:eastAsia="楷体_GB2312"/>
          <w:color w:val="000000"/>
          <w:kern w:val="0"/>
          <w:szCs w:val="32"/>
          <w:shd w:val="clear" w:color="auto" w:fill="FFFFFF"/>
        </w:rPr>
        <w:t>1.</w:t>
      </w:r>
      <w:r>
        <w:rPr>
          <w:rFonts w:eastAsia="楷体_GB2312"/>
          <w:color w:val="000000"/>
          <w:kern w:val="0"/>
          <w:szCs w:val="32"/>
          <w:shd w:val="clear" w:color="auto" w:fill="FFFFFF"/>
          <w:lang w:val="zh-CN"/>
        </w:rPr>
        <w:t>项目决策。</w:t>
      </w:r>
      <w:r>
        <w:rPr>
          <w:color w:val="000000"/>
          <w:kern w:val="0"/>
          <w:szCs w:val="32"/>
          <w:shd w:val="clear" w:color="auto" w:fill="FFFFFF"/>
          <w:lang w:val="zh-CN"/>
        </w:rPr>
        <w:t>总分</w:t>
      </w:r>
      <w:r>
        <w:rPr>
          <w:rFonts w:hint="eastAsia"/>
          <w:color w:val="000000"/>
          <w:kern w:val="0"/>
          <w:szCs w:val="32"/>
          <w:shd w:val="clear" w:color="auto" w:fill="FFFFFF"/>
          <w:lang w:val="zh-CN"/>
        </w:rPr>
        <w:t>12分，</w:t>
      </w:r>
      <w:r>
        <w:rPr>
          <w:color w:val="000000"/>
          <w:kern w:val="0"/>
          <w:szCs w:val="32"/>
          <w:shd w:val="clear" w:color="auto" w:fill="FFFFFF"/>
          <w:lang w:val="zh-CN"/>
        </w:rPr>
        <w:t>自评得分</w:t>
      </w:r>
      <w:r>
        <w:rPr>
          <w:rFonts w:hint="eastAsia"/>
          <w:color w:val="000000"/>
          <w:kern w:val="0"/>
          <w:szCs w:val="32"/>
          <w:shd w:val="clear" w:color="auto" w:fill="FFFFFF"/>
          <w:lang w:val="zh-CN"/>
        </w:rPr>
        <w:t>12分。其中：（1）</w:t>
      </w:r>
      <w:r>
        <w:rPr>
          <w:color w:val="000000"/>
          <w:kern w:val="0"/>
          <w:szCs w:val="32"/>
          <w:shd w:val="clear" w:color="auto" w:fill="FFFFFF"/>
          <w:lang w:val="zh-CN"/>
        </w:rPr>
        <w:t>决策程序总分</w:t>
      </w:r>
      <w:r>
        <w:rPr>
          <w:rFonts w:hint="eastAsia"/>
          <w:color w:val="000000"/>
          <w:kern w:val="0"/>
          <w:szCs w:val="32"/>
          <w:shd w:val="clear" w:color="auto" w:fill="FFFFFF"/>
          <w:lang w:val="zh-CN"/>
        </w:rPr>
        <w:t>4分，自评得分4分，我部门2024年预算项目设立均按规定履行评估论证、申报程序，程序合规。（2）</w:t>
      </w:r>
      <w:r>
        <w:rPr>
          <w:color w:val="000000"/>
          <w:kern w:val="0"/>
          <w:szCs w:val="32"/>
          <w:shd w:val="clear" w:color="auto" w:fill="FFFFFF"/>
          <w:lang w:val="zh-CN"/>
        </w:rPr>
        <w:t>目标设置总分</w:t>
      </w:r>
      <w:r>
        <w:rPr>
          <w:rFonts w:hint="eastAsia"/>
          <w:color w:val="000000"/>
          <w:kern w:val="0"/>
          <w:szCs w:val="32"/>
          <w:shd w:val="clear" w:color="auto" w:fill="FFFFFF"/>
          <w:lang w:val="zh-CN"/>
        </w:rPr>
        <w:t>4分，自评得分4分，我部门2024年预算项目绩效目标与计划期内的任务量、预算安排的资金量相匹配，绩效目标设置科学合理、规范完整、量化细化、预算匹配。（3）</w:t>
      </w:r>
      <w:r>
        <w:rPr>
          <w:color w:val="000000"/>
          <w:kern w:val="0"/>
          <w:szCs w:val="32"/>
          <w:shd w:val="clear" w:color="auto" w:fill="FFFFFF"/>
          <w:lang w:val="zh-CN"/>
        </w:rPr>
        <w:t>项目入库总分</w:t>
      </w:r>
      <w:r>
        <w:rPr>
          <w:rFonts w:hint="eastAsia"/>
          <w:color w:val="000000"/>
          <w:kern w:val="0"/>
          <w:szCs w:val="32"/>
          <w:shd w:val="clear" w:color="auto" w:fill="FFFFFF"/>
          <w:lang w:val="zh-CN"/>
        </w:rPr>
        <w:t>4分，自评得分4分，我部门2024年预算项目均在规定时间完成项目入库</w:t>
      </w:r>
      <w:r>
        <w:rPr>
          <w:color w:val="000000"/>
          <w:kern w:val="0"/>
          <w:szCs w:val="32"/>
          <w:shd w:val="clear" w:color="auto" w:fill="FFFFFF"/>
          <w:lang w:val="zh-CN"/>
        </w:rPr>
        <w:t>。</w:t>
      </w:r>
    </w:p>
    <w:p>
      <w:pPr>
        <w:adjustRightInd w:val="0"/>
        <w:snapToGrid w:val="0"/>
        <w:spacing w:line="578" w:lineRule="exact"/>
        <w:ind w:firstLineChars="200" w:firstLine="640"/>
        <w:contextualSpacing/>
        <w:jc w:val="left"/>
        <w:rPr>
          <w:rFonts w:eastAsia="楷体_GB2312"/>
          <w:color w:val="000000"/>
          <w:kern w:val="0"/>
          <w:szCs w:val="32"/>
          <w:shd w:val="clear" w:color="auto" w:fill="FFFFFF"/>
          <w:lang w:val="zh-CN"/>
        </w:rPr>
      </w:pPr>
      <w:r>
        <w:rPr>
          <w:rFonts w:eastAsia="楷体_GB2312"/>
          <w:color w:val="000000"/>
          <w:kern w:val="0"/>
          <w:szCs w:val="32"/>
          <w:shd w:val="clear" w:color="auto" w:fill="FFFFFF"/>
        </w:rPr>
        <w:t>2.项目执行</w:t>
      </w:r>
      <w:r>
        <w:rPr>
          <w:rFonts w:eastAsia="楷体_GB2312"/>
          <w:color w:val="000000"/>
          <w:kern w:val="0"/>
          <w:szCs w:val="32"/>
          <w:shd w:val="clear" w:color="auto" w:fill="FFFFFF"/>
          <w:lang w:val="zh-CN"/>
        </w:rPr>
        <w:t>。</w:t>
      </w:r>
      <w:r>
        <w:rPr>
          <w:color w:val="000000"/>
          <w:kern w:val="0"/>
          <w:szCs w:val="32"/>
          <w:shd w:val="clear" w:color="auto" w:fill="FFFFFF"/>
          <w:lang w:val="zh-CN"/>
        </w:rPr>
        <w:t>总分</w:t>
      </w:r>
      <w:r>
        <w:rPr>
          <w:rFonts w:hint="eastAsia"/>
          <w:color w:val="000000"/>
          <w:kern w:val="0"/>
          <w:szCs w:val="32"/>
          <w:shd w:val="clear" w:color="auto" w:fill="FFFFFF"/>
          <w:lang w:val="zh-CN"/>
        </w:rPr>
        <w:t>12分，</w:t>
      </w:r>
      <w:r>
        <w:rPr>
          <w:color w:val="000000"/>
          <w:kern w:val="0"/>
          <w:szCs w:val="32"/>
          <w:shd w:val="clear" w:color="auto" w:fill="FFFFFF"/>
          <w:lang w:val="zh-CN"/>
        </w:rPr>
        <w:t>自评得分</w:t>
      </w:r>
      <w:r>
        <w:rPr>
          <w:rFonts w:hint="eastAsia"/>
          <w:color w:val="000000"/>
          <w:kern w:val="0"/>
          <w:szCs w:val="32"/>
          <w:shd w:val="clear" w:color="auto" w:fill="FFFFFF"/>
          <w:lang w:val="zh-CN"/>
        </w:rPr>
        <w:t>12分。其中：（1）</w:t>
      </w:r>
      <w:r>
        <w:rPr>
          <w:color w:val="000000"/>
          <w:kern w:val="0"/>
          <w:szCs w:val="32"/>
          <w:shd w:val="clear" w:color="auto" w:fill="FFFFFF"/>
          <w:lang w:val="zh-CN"/>
        </w:rPr>
        <w:t>资金执行同向总分</w:t>
      </w:r>
      <w:r>
        <w:rPr>
          <w:rFonts w:hint="eastAsia"/>
          <w:color w:val="000000"/>
          <w:kern w:val="0"/>
          <w:szCs w:val="32"/>
          <w:shd w:val="clear" w:color="auto" w:fill="FFFFFF"/>
          <w:lang w:val="zh-CN"/>
        </w:rPr>
        <w:t>4分，自评得分4分，我部门2024年预算项目实际列支内容均与绩效目标设置方向相符。</w:t>
      </w:r>
      <w:r>
        <w:rPr>
          <w:color w:val="000000"/>
          <w:kern w:val="0"/>
          <w:szCs w:val="32"/>
          <w:shd w:val="clear" w:color="auto" w:fill="FFFFFF"/>
          <w:lang w:val="zh-CN"/>
        </w:rPr>
        <w:t>（</w:t>
      </w:r>
      <w:r>
        <w:rPr>
          <w:rFonts w:hint="eastAsia"/>
          <w:color w:val="000000"/>
          <w:kern w:val="0"/>
          <w:szCs w:val="32"/>
          <w:shd w:val="clear" w:color="auto" w:fill="FFFFFF"/>
          <w:lang w:val="zh-CN"/>
        </w:rPr>
        <w:t>2</w:t>
      </w:r>
      <w:r>
        <w:rPr>
          <w:color w:val="000000"/>
          <w:kern w:val="0"/>
          <w:szCs w:val="32"/>
          <w:shd w:val="clear" w:color="auto" w:fill="FFFFFF"/>
          <w:lang w:val="zh-CN"/>
        </w:rPr>
        <w:t>）项目调整总分</w:t>
      </w:r>
      <w:r>
        <w:rPr>
          <w:rFonts w:hint="eastAsia"/>
          <w:color w:val="000000"/>
          <w:kern w:val="0"/>
          <w:szCs w:val="32"/>
          <w:shd w:val="clear" w:color="auto" w:fill="FFFFFF"/>
          <w:lang w:val="zh-CN"/>
        </w:rPr>
        <w:t>4分，自评得分4分，我部门2024年预算项目均采取对应调整措施，</w:t>
      </w:r>
      <w:r>
        <w:rPr>
          <w:color w:val="000000"/>
          <w:kern w:val="0"/>
          <w:szCs w:val="32"/>
          <w:shd w:val="clear" w:color="auto" w:fill="FFFFFF"/>
          <w:lang w:val="zh-CN"/>
        </w:rPr>
        <w:t>项目总体执行较好。（</w:t>
      </w:r>
      <w:r>
        <w:rPr>
          <w:rFonts w:hint="eastAsia"/>
          <w:color w:val="000000"/>
          <w:kern w:val="0"/>
          <w:szCs w:val="32"/>
          <w:shd w:val="clear" w:color="auto" w:fill="FFFFFF"/>
          <w:lang w:val="zh-CN"/>
        </w:rPr>
        <w:t>3</w:t>
      </w:r>
      <w:r>
        <w:rPr>
          <w:color w:val="000000"/>
          <w:kern w:val="0"/>
          <w:szCs w:val="32"/>
          <w:shd w:val="clear" w:color="auto" w:fill="FFFFFF"/>
          <w:lang w:val="zh-CN"/>
        </w:rPr>
        <w:t>）执行结果总分</w:t>
      </w:r>
      <w:r>
        <w:rPr>
          <w:rFonts w:hint="eastAsia"/>
          <w:color w:val="000000"/>
          <w:kern w:val="0"/>
          <w:szCs w:val="32"/>
          <w:shd w:val="clear" w:color="auto" w:fill="FFFFFF"/>
          <w:lang w:val="zh-CN"/>
        </w:rPr>
        <w:t>4分，自评得分4分，我部门2024年预算</w:t>
      </w:r>
      <w:r>
        <w:rPr>
          <w:color w:val="000000"/>
          <w:kern w:val="0"/>
          <w:szCs w:val="32"/>
          <w:shd w:val="clear" w:color="auto" w:fill="FFFFFF"/>
          <w:lang w:val="zh-CN"/>
        </w:rPr>
        <w:t>项目总体执行</w:t>
      </w:r>
      <w:r>
        <w:rPr>
          <w:rFonts w:hint="eastAsia"/>
          <w:color w:val="000000"/>
          <w:kern w:val="0"/>
          <w:szCs w:val="32"/>
          <w:shd w:val="clear" w:color="auto" w:fill="FFFFFF"/>
          <w:lang w:val="zh-CN"/>
        </w:rPr>
        <w:t>进度</w:t>
      </w:r>
      <w:r>
        <w:rPr>
          <w:color w:val="000000"/>
          <w:kern w:val="0"/>
          <w:szCs w:val="32"/>
          <w:shd w:val="clear" w:color="auto" w:fill="FFFFFF"/>
          <w:lang w:val="zh-CN"/>
        </w:rPr>
        <w:t>为</w:t>
      </w:r>
      <w:r>
        <w:rPr>
          <w:rFonts w:hint="eastAsia"/>
          <w:color w:val="000000"/>
          <w:kern w:val="0"/>
          <w:szCs w:val="32"/>
          <w:shd w:val="clear" w:color="auto" w:fill="FFFFFF"/>
          <w:lang w:val="zh-CN"/>
        </w:rPr>
        <w:t>95.47%，所有项目预算执行进度均大于90%</w:t>
      </w:r>
      <w:r>
        <w:rPr>
          <w:color w:val="000000"/>
          <w:kern w:val="0"/>
          <w:szCs w:val="32"/>
          <w:shd w:val="clear" w:color="auto" w:fill="FFFFFF"/>
          <w:lang w:val="zh-CN"/>
        </w:rPr>
        <w:t>。</w:t>
      </w:r>
    </w:p>
    <w:p>
      <w:pPr>
        <w:adjustRightInd w:val="0"/>
        <w:snapToGrid w:val="0"/>
        <w:spacing w:line="578" w:lineRule="exact"/>
        <w:ind w:firstLineChars="200" w:firstLine="640"/>
        <w:contextualSpacing/>
        <w:jc w:val="left"/>
        <w:rPr>
          <w:rFonts w:eastAsia="楷体_GB2312"/>
          <w:color w:val="000000"/>
          <w:kern w:val="0"/>
          <w:szCs w:val="32"/>
          <w:shd w:val="clear" w:color="auto" w:fill="FFFFFF"/>
          <w:lang w:val="zh-CN"/>
        </w:rPr>
      </w:pPr>
      <w:r>
        <w:rPr>
          <w:rFonts w:eastAsia="楷体_GB2312"/>
          <w:color w:val="000000"/>
          <w:kern w:val="0"/>
          <w:szCs w:val="32"/>
          <w:shd w:val="clear" w:color="auto" w:fill="FFFFFF"/>
        </w:rPr>
        <w:t>3.</w:t>
      </w:r>
      <w:r>
        <w:rPr>
          <w:rFonts w:eastAsia="楷体_GB2312"/>
          <w:color w:val="000000"/>
          <w:kern w:val="0"/>
          <w:szCs w:val="32"/>
          <w:shd w:val="clear" w:color="auto" w:fill="FFFFFF"/>
          <w:lang w:val="zh-CN"/>
        </w:rPr>
        <w:t>目标实现。</w:t>
      </w:r>
      <w:r>
        <w:rPr>
          <w:color w:val="000000"/>
          <w:kern w:val="0"/>
          <w:szCs w:val="32"/>
          <w:shd w:val="clear" w:color="auto" w:fill="FFFFFF"/>
          <w:lang w:val="zh-CN"/>
        </w:rPr>
        <w:t>总分</w:t>
      </w:r>
      <w:r>
        <w:rPr>
          <w:rFonts w:hint="eastAsia"/>
          <w:color w:val="000000"/>
          <w:kern w:val="0"/>
          <w:szCs w:val="32"/>
          <w:shd w:val="clear" w:color="auto" w:fill="FFFFFF"/>
          <w:lang w:val="zh-CN"/>
        </w:rPr>
        <w:t>11分，</w:t>
      </w:r>
      <w:r>
        <w:rPr>
          <w:color w:val="000000"/>
          <w:kern w:val="0"/>
          <w:szCs w:val="32"/>
          <w:shd w:val="clear" w:color="auto" w:fill="FFFFFF"/>
          <w:lang w:val="zh-CN"/>
        </w:rPr>
        <w:t>自评得分</w:t>
      </w:r>
      <w:r>
        <w:rPr>
          <w:rFonts w:hint="eastAsia"/>
          <w:color w:val="000000"/>
          <w:kern w:val="0"/>
          <w:szCs w:val="32"/>
          <w:shd w:val="clear" w:color="auto" w:fill="FFFFFF"/>
          <w:lang w:val="zh-CN"/>
        </w:rPr>
        <w:t>11分。其中：（1）</w:t>
      </w:r>
      <w:r>
        <w:rPr>
          <w:color w:val="000000"/>
          <w:kern w:val="0"/>
          <w:szCs w:val="32"/>
          <w:shd w:val="clear" w:color="auto" w:fill="FFFFFF"/>
          <w:lang w:val="zh-CN"/>
        </w:rPr>
        <w:t>目标完成总分</w:t>
      </w:r>
      <w:r>
        <w:rPr>
          <w:rFonts w:hint="eastAsia"/>
          <w:color w:val="000000"/>
          <w:kern w:val="0"/>
          <w:szCs w:val="32"/>
          <w:shd w:val="clear" w:color="auto" w:fill="FFFFFF"/>
          <w:lang w:val="zh-CN"/>
        </w:rPr>
        <w:t>4分，自评得分4分，我部门2024年预算项目绩效目标数量指标完成率为100%。</w:t>
      </w:r>
      <w:r>
        <w:rPr>
          <w:color w:val="000000"/>
          <w:kern w:val="0"/>
          <w:szCs w:val="32"/>
          <w:shd w:val="clear" w:color="auto" w:fill="FFFFFF"/>
          <w:lang w:val="zh-CN"/>
        </w:rPr>
        <w:t>（</w:t>
      </w:r>
      <w:r>
        <w:rPr>
          <w:rFonts w:hint="eastAsia"/>
          <w:color w:val="000000"/>
          <w:kern w:val="0"/>
          <w:szCs w:val="32"/>
          <w:shd w:val="clear" w:color="auto" w:fill="FFFFFF"/>
          <w:lang w:val="zh-CN"/>
        </w:rPr>
        <w:t>2</w:t>
      </w:r>
      <w:r>
        <w:rPr>
          <w:color w:val="000000"/>
          <w:kern w:val="0"/>
          <w:szCs w:val="32"/>
          <w:shd w:val="clear" w:color="auto" w:fill="FFFFFF"/>
          <w:lang w:val="zh-CN"/>
        </w:rPr>
        <w:t>）目标偏离总分</w:t>
      </w:r>
      <w:r>
        <w:rPr>
          <w:rFonts w:hint="eastAsia"/>
          <w:color w:val="000000"/>
          <w:kern w:val="0"/>
          <w:szCs w:val="32"/>
          <w:shd w:val="clear" w:color="auto" w:fill="FFFFFF"/>
          <w:lang w:val="zh-CN"/>
        </w:rPr>
        <w:t>4分，自评得分4分，我部门2024年预算项目绩效目标数量指标实现程度与预期目标无偏离超过30%情况。</w:t>
      </w:r>
      <w:r>
        <w:rPr>
          <w:color w:val="000000"/>
          <w:kern w:val="0"/>
          <w:szCs w:val="32"/>
          <w:shd w:val="clear" w:color="auto" w:fill="FFFFFF"/>
          <w:lang w:val="zh-CN"/>
        </w:rPr>
        <w:t>（</w:t>
      </w:r>
      <w:r>
        <w:rPr>
          <w:rFonts w:hint="eastAsia"/>
          <w:color w:val="000000"/>
          <w:kern w:val="0"/>
          <w:szCs w:val="32"/>
          <w:shd w:val="clear" w:color="auto" w:fill="FFFFFF"/>
          <w:lang w:val="zh-CN"/>
        </w:rPr>
        <w:t>3</w:t>
      </w:r>
      <w:r>
        <w:rPr>
          <w:color w:val="000000"/>
          <w:kern w:val="0"/>
          <w:szCs w:val="32"/>
          <w:shd w:val="clear" w:color="auto" w:fill="FFFFFF"/>
          <w:lang w:val="zh-CN"/>
        </w:rPr>
        <w:t>）实现效果总分</w:t>
      </w:r>
      <w:r>
        <w:rPr>
          <w:rFonts w:hint="eastAsia"/>
          <w:color w:val="000000"/>
          <w:kern w:val="0"/>
          <w:szCs w:val="32"/>
          <w:shd w:val="clear" w:color="auto" w:fill="FFFFFF"/>
          <w:lang w:val="zh-CN"/>
        </w:rPr>
        <w:t>4分，自评得分4分，我部门2024年预算项目绩效目标效益指标实施效果为100%</w:t>
      </w:r>
      <w:r>
        <w:rPr>
          <w:color w:val="000000"/>
          <w:kern w:val="0"/>
          <w:szCs w:val="32"/>
          <w:shd w:val="clear" w:color="auto" w:fill="FFFFFF"/>
          <w:lang w:val="zh-CN"/>
        </w:rPr>
        <w:t>。</w:t>
      </w:r>
    </w:p>
    <w:p>
      <w:pPr>
        <w:pStyle w:val="33"/>
        <w:widowControl/>
        <w:adjustRightInd w:val="0"/>
        <w:snapToGrid w:val="0"/>
        <w:spacing w:line="580" w:lineRule="exact"/>
        <w:ind w:left="320"/>
        <w:contextualSpacing/>
        <w:jc w:val="left"/>
        <w:rPr>
          <w:bCs/>
          <w:szCs w:val="32"/>
        </w:rPr>
      </w:pPr>
      <w:r>
        <w:rPr>
          <w:rFonts w:eastAsia="楷体_GB2312"/>
          <w:b/>
          <w:bCs/>
          <w:color w:val="000000"/>
          <w:kern w:val="0"/>
          <w:szCs w:val="32"/>
          <w:shd w:val="clear" w:color="auto" w:fill="FFFFFF"/>
          <w:lang w:val="zh-CN"/>
        </w:rPr>
        <w:t>（三）</w:t>
      </w:r>
      <w:r>
        <w:rPr>
          <w:rFonts w:eastAsia="楷体_GB2312"/>
          <w:b/>
          <w:bCs/>
          <w:szCs w:val="32"/>
          <w:lang w:val="zh-CN"/>
        </w:rPr>
        <w:t>绩效结果应用情况。</w:t>
      </w:r>
      <w:r>
        <w:rPr>
          <w:bCs/>
          <w:szCs w:val="32"/>
        </w:rPr>
        <w:t>我局预算绩效目标由各科室和市医保信息中心的预算汇总编制形成，</w:t>
      </w:r>
      <w:r>
        <w:rPr>
          <w:rFonts w:hint="eastAsia"/>
          <w:bCs/>
          <w:szCs w:val="32"/>
        </w:rPr>
        <w:t>定期</w:t>
      </w:r>
      <w:r>
        <w:rPr>
          <w:bCs/>
          <w:szCs w:val="32"/>
        </w:rPr>
        <w:t>对202</w:t>
      </w:r>
      <w:r>
        <w:rPr>
          <w:rFonts w:hint="eastAsia"/>
          <w:bCs/>
          <w:szCs w:val="32"/>
        </w:rPr>
        <w:t>4</w:t>
      </w:r>
      <w:r>
        <w:rPr>
          <w:bCs/>
          <w:szCs w:val="32"/>
        </w:rPr>
        <w:t>年项目绩效完成情况开展自评。完成了202</w:t>
      </w:r>
      <w:r>
        <w:rPr>
          <w:rFonts w:hint="eastAsia"/>
          <w:bCs/>
          <w:szCs w:val="32"/>
        </w:rPr>
        <w:t>3</w:t>
      </w:r>
      <w:r>
        <w:rPr>
          <w:bCs/>
          <w:szCs w:val="32"/>
        </w:rPr>
        <w:t>年部门整体和项目绩效自评，自评情况已向社会公开，并按要求反馈市级财政部门，对绩效管理过程中发现的问题及时纠偏，绩效结果得到充分应用。</w:t>
      </w:r>
    </w:p>
    <w:p>
      <w:pPr>
        <w:snapToGrid w:val="0"/>
        <w:spacing w:line="600" w:lineRule="exact"/>
        <w:ind w:firstLineChars="200" w:firstLine="640"/>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pStyle w:val="32"/>
        <w:widowControl w:val="0"/>
        <w:shd w:val="clear" w:color="auto" w:fill="FFFFFF"/>
        <w:spacing w:before="0" w:beforeAutospacing="0" w:after="0" w:afterAutospacing="0" w:line="360" w:lineRule="auto"/>
        <w:ind w:firstLineChars="200" w:firstLine="640"/>
        <w:jc w:val="both"/>
        <w:rPr>
          <w:rFonts w:ascii="Times New Roman" w:eastAsia="仿宋_GB2312" w:cs="Times New Roman" w:hAnsi="Times New Roman"/>
          <w:sz w:val="32"/>
          <w:szCs w:val="32"/>
        </w:rPr>
      </w:pPr>
      <w:r>
        <w:rPr>
          <w:rFonts w:eastAsia="楷体_GB2312"/>
          <w:b/>
          <w:bCs/>
          <w:color w:val="000000"/>
          <w:sz w:val="32"/>
          <w:szCs w:val="32"/>
          <w:shd w:val="clear" w:color="auto" w:fill="FFFFFF"/>
          <w:lang w:val="zh-CN"/>
        </w:rPr>
        <w:t>（一）评价结论。</w:t>
      </w:r>
      <w:r>
        <w:rPr>
          <w:rFonts w:ascii="Times New Roman" w:eastAsia="仿宋_GB2312" w:cs="Times New Roman" w:hAnsi="Times New Roman"/>
          <w:sz w:val="32"/>
          <w:szCs w:val="32"/>
        </w:rPr>
        <w:t>202</w:t>
      </w:r>
      <w:r>
        <w:rPr>
          <w:rFonts w:ascii="Times New Roman" w:eastAsia="仿宋_GB2312" w:cs="Times New Roman" w:hAnsi="Times New Roman" w:hint="eastAsia"/>
          <w:sz w:val="32"/>
          <w:szCs w:val="32"/>
        </w:rPr>
        <w:t>4</w:t>
      </w:r>
      <w:r>
        <w:rPr>
          <w:rFonts w:ascii="Times New Roman" w:eastAsia="仿宋_GB2312" w:cs="Times New Roman" w:hAnsi="Times New Roman"/>
          <w:sz w:val="32"/>
          <w:szCs w:val="32"/>
        </w:rPr>
        <w:t>年，我局</w:t>
      </w:r>
      <w:r>
        <w:rPr>
          <w:rFonts w:ascii="Times New Roman" w:eastAsia="仿宋_GB2312" w:cs="Times New Roman" w:hAnsi="Times New Roman"/>
          <w:sz w:val="32"/>
          <w:szCs w:val="32"/>
          <w:shd w:val="clear" w:color="auto" w:fill="FFFFFF"/>
        </w:rPr>
        <w:t>以习近平新时代中国特色社会主义思想为指导，</w:t>
      </w:r>
      <w:r>
        <w:rPr>
          <w:rFonts w:ascii="Times New Roman" w:eastAsia="仿宋_GB2312" w:cs="Times New Roman" w:hAnsi="Times New Roman"/>
          <w:sz w:val="32"/>
          <w:szCs w:val="32"/>
        </w:rPr>
        <w:t>认真落实国家、省集采部署，积极开展医药服务价格调整工作</w:t>
      </w:r>
      <w:r>
        <w:rPr>
          <w:rFonts w:ascii="Times New Roman" w:eastAsia="仿宋_GB2312" w:cs="Times New Roman" w:hAnsi="Times New Roman"/>
          <w:bCs/>
          <w:sz w:val="32"/>
          <w:szCs w:val="32"/>
          <w:shd w:val="clear" w:color="auto" w:fill="FFFFFF"/>
        </w:rPr>
        <w:t>，深入推进按疾病诊断相关分组（DRG）付费国家示范点建设，着力打造便捷高效的医保经办管理服务体系</w:t>
      </w:r>
      <w:r>
        <w:rPr>
          <w:rFonts w:ascii="Times New Roman" w:eastAsia="仿宋_GB2312" w:cs="Times New Roman" w:hAnsi="Times New Roman"/>
          <w:bCs/>
          <w:sz w:val="32"/>
          <w:szCs w:val="32"/>
        </w:rPr>
        <w:t>，不断加大基金监管工作力度，严厉打击欺诈骗保行为，进一步完善医保信息平台建设，有效提升了医疗保障服务能力，</w:t>
      </w:r>
      <w:r>
        <w:rPr>
          <w:rFonts w:ascii="Times New Roman" w:eastAsia="仿宋_GB2312" w:cs="Times New Roman" w:hAnsi="Times New Roman"/>
          <w:sz w:val="32"/>
          <w:szCs w:val="32"/>
        </w:rPr>
        <w:t>按预期绩效目标圆满完成了各项医保工作任务，实现了保运转，惠民生、促发展、推改革的总体目标。绩效自评得分</w:t>
      </w:r>
      <w:r>
        <w:rPr>
          <w:rFonts w:ascii="Times New Roman" w:eastAsia="仿宋_GB2312" w:cs="Times New Roman" w:hAnsi="Times New Roman" w:hint="eastAsia"/>
          <w:sz w:val="32"/>
          <w:szCs w:val="32"/>
        </w:rPr>
        <w:t>91.54</w:t>
      </w:r>
      <w:r>
        <w:rPr>
          <w:rFonts w:ascii="Times New Roman" w:eastAsia="仿宋_GB2312" w:cs="Times New Roman" w:hAnsi="Times New Roman"/>
          <w:sz w:val="32"/>
          <w:szCs w:val="32"/>
        </w:rPr>
        <w:t>分，绩效评价自评为优秀。</w:t>
      </w:r>
    </w:p>
    <w:p>
      <w:pPr>
        <w:spacing w:line="360" w:lineRule="auto"/>
        <w:ind w:firstLineChars="196" w:firstLine="627"/>
        <w:rPr>
          <w:rFonts w:eastAsia="方正楷体简体"/>
          <w:b/>
          <w:szCs w:val="32"/>
        </w:rPr>
      </w:pPr>
      <w:r>
        <w:rPr>
          <w:rFonts w:eastAsia="楷体_GB2312"/>
          <w:b/>
          <w:bCs/>
          <w:color w:val="000000"/>
          <w:kern w:val="0"/>
          <w:szCs w:val="32"/>
          <w:shd w:val="clear" w:color="auto" w:fill="FFFFFF"/>
          <w:lang w:val="zh-CN"/>
        </w:rPr>
        <w:t>（二）存在问题。</w:t>
      </w:r>
      <w:r>
        <w:rPr>
          <w:szCs w:val="32"/>
        </w:rPr>
        <w:t>202</w:t>
      </w:r>
      <w:r>
        <w:rPr>
          <w:rFonts w:hint="eastAsia"/>
          <w:szCs w:val="32"/>
        </w:rPr>
        <w:t>4</w:t>
      </w:r>
      <w:r>
        <w:rPr>
          <w:szCs w:val="32"/>
        </w:rPr>
        <w:t>年，预算管理和资产管理自评出现了被扣分的情况。</w:t>
      </w:r>
      <w:r>
        <w:rPr>
          <w:rFonts w:hint="eastAsia"/>
          <w:szCs w:val="32"/>
        </w:rPr>
        <w:t>1.</w:t>
      </w:r>
      <w:r>
        <w:rPr>
          <w:szCs w:val="32"/>
        </w:rPr>
        <w:t>预算管理被扣分的原因</w:t>
      </w:r>
      <w:r>
        <w:rPr>
          <w:rFonts w:hint="eastAsia"/>
          <w:szCs w:val="32"/>
        </w:rPr>
        <w:t>:</w:t>
      </w:r>
      <w:r>
        <w:rPr>
          <w:szCs w:val="32"/>
        </w:rPr>
        <w:t>一是</w:t>
      </w:r>
      <w:r>
        <w:rPr>
          <w:rFonts w:hint="eastAsia"/>
          <w:szCs w:val="32"/>
        </w:rPr>
        <w:t>财政</w:t>
      </w:r>
      <w:r>
        <w:rPr>
          <w:szCs w:val="32"/>
        </w:rPr>
        <w:t>拨款收入年初预算数与决算数相比差异较大</w:t>
      </w:r>
      <w:r>
        <w:rPr>
          <w:rFonts w:hint="eastAsia"/>
          <w:szCs w:val="32"/>
        </w:rPr>
        <w:t>，</w:t>
      </w:r>
      <w:r>
        <w:rPr>
          <w:szCs w:val="32"/>
        </w:rPr>
        <w:t>大部分项目支出年初时均未安排预算，</w:t>
      </w:r>
      <w:r>
        <w:rPr>
          <w:rFonts w:hint="eastAsia"/>
          <w:color w:val="000000"/>
          <w:kern w:val="0"/>
          <w:szCs w:val="32"/>
          <w:shd w:val="clear" w:color="auto" w:fill="FFFFFF"/>
          <w:lang w:val="zh-CN"/>
        </w:rPr>
        <w:t>均为年中追加，</w:t>
      </w:r>
      <w:r>
        <w:t>使得</w:t>
      </w:r>
      <w:r>
        <w:rPr>
          <w:rFonts w:hint="eastAsia"/>
          <w:color w:val="000000"/>
          <w:kern w:val="0"/>
          <w:szCs w:val="32"/>
          <w:shd w:val="clear" w:color="auto" w:fill="FFFFFF"/>
          <w:lang w:val="zh-CN"/>
        </w:rPr>
        <w:t>年初预算与决算的偏离度较大；</w:t>
      </w:r>
      <w:r>
        <w:rPr>
          <w:rFonts w:hint="eastAsia"/>
          <w:szCs w:val="32"/>
        </w:rPr>
        <w:t>二是</w:t>
      </w:r>
      <w:r>
        <w:rPr>
          <w:rFonts w:hint="eastAsia"/>
          <w:color w:val="000000"/>
          <w:kern w:val="0"/>
          <w:szCs w:val="32"/>
          <w:shd w:val="clear" w:color="auto" w:fill="FFFFFF"/>
          <w:lang w:val="zh-CN"/>
        </w:rPr>
        <w:t>项目支出需按照支付条件支付，</w:t>
      </w:r>
      <w:r>
        <w:t>使得总体支出执行进度低于时间进度</w:t>
      </w:r>
      <w:r>
        <w:rPr>
          <w:rFonts w:hint="eastAsia"/>
        </w:rPr>
        <w:t>；</w:t>
      </w:r>
      <w:r>
        <w:rPr>
          <w:rFonts w:hint="eastAsia"/>
          <w:color w:val="000000"/>
          <w:kern w:val="0"/>
          <w:szCs w:val="32"/>
          <w:shd w:val="clear" w:color="auto" w:fill="FFFFFF"/>
          <w:lang w:val="zh-CN"/>
        </w:rPr>
        <w:t>三是年终存在部分预算指标未完全使用的情况。2.</w:t>
      </w:r>
      <w:r>
        <w:rPr>
          <w:rFonts w:hint="eastAsia"/>
          <w:szCs w:val="32"/>
        </w:rPr>
        <w:t>资产</w:t>
      </w:r>
      <w:r>
        <w:rPr>
          <w:szCs w:val="32"/>
        </w:rPr>
        <w:t>管理被扣分的原因</w:t>
      </w:r>
      <w:r>
        <w:rPr>
          <w:rFonts w:hint="eastAsia"/>
          <w:szCs w:val="32"/>
        </w:rPr>
        <w:t>:我部门成立于2019年，办公家具和设备均为2019年及以后采购，超最低使用年限资产较少，部门资产利用率大幅低于市级行政事业单位平均值。</w:t>
      </w:r>
    </w:p>
    <w:p>
      <w:pPr>
        <w:widowControl/>
        <w:adjustRightInd w:val="0"/>
        <w:snapToGrid w:val="0"/>
        <w:spacing w:line="578" w:lineRule="exact"/>
        <w:ind w:firstLineChars="200" w:firstLine="640"/>
        <w:contextualSpacing/>
        <w:jc w:val="left"/>
        <w:rPr>
          <w:color w:val="000000"/>
          <w:kern w:val="0"/>
          <w:szCs w:val="32"/>
          <w:shd w:val="clear" w:color="auto" w:fill="FFFFFF"/>
          <w:lang w:val="zh-CN"/>
        </w:rPr>
      </w:pPr>
      <w:r>
        <w:rPr>
          <w:rFonts w:eastAsia="楷体_GB2312"/>
          <w:b/>
          <w:bCs/>
          <w:color w:val="000000"/>
          <w:kern w:val="0"/>
          <w:szCs w:val="32"/>
          <w:shd w:val="clear" w:color="auto" w:fill="FFFFFF"/>
          <w:lang w:val="zh-CN"/>
        </w:rPr>
        <w:t>（三）改进建议。</w:t>
      </w:r>
      <w:r>
        <w:rPr>
          <w:rFonts w:eastAsia="楷体_GB2312" w:hint="eastAsia"/>
          <w:bCs/>
          <w:color w:val="000000"/>
          <w:kern w:val="0"/>
          <w:szCs w:val="32"/>
          <w:shd w:val="clear" w:color="auto" w:fill="FFFFFF"/>
          <w:lang w:val="zh-CN"/>
        </w:rPr>
        <w:t>1.</w:t>
      </w:r>
      <w:r>
        <w:rPr>
          <w:rFonts w:hint="eastAsia"/>
          <w:szCs w:val="32"/>
        </w:rPr>
        <w:t>对于财政</w:t>
      </w:r>
      <w:r>
        <w:rPr>
          <w:szCs w:val="32"/>
        </w:rPr>
        <w:t>拨款收入年初预算数与决算数相比差异较大</w:t>
      </w:r>
      <w:r>
        <w:rPr>
          <w:rFonts w:hint="eastAsia"/>
          <w:szCs w:val="32"/>
        </w:rPr>
        <w:t>，建议财政审核年初预算时尽量将刚性项目预算支出安排上，以缩小年初预算数与决算数的差异。2.确保项目支付达到支付条件时，尽早支付，</w:t>
      </w:r>
      <w:r>
        <w:t>使得总体支出执行进度</w:t>
      </w:r>
      <w:r>
        <w:rPr>
          <w:rFonts w:hint="eastAsia"/>
        </w:rPr>
        <w:t>高于</w:t>
      </w:r>
      <w:r>
        <w:t>时间进度。</w:t>
      </w:r>
      <w:r>
        <w:rPr>
          <w:rFonts w:hint="eastAsia"/>
        </w:rPr>
        <w:t>3.科学编制预算和合理使用预算指标，确保</w:t>
      </w:r>
      <w:r>
        <w:rPr>
          <w:rFonts w:hint="eastAsia"/>
          <w:color w:val="000000"/>
          <w:kern w:val="0"/>
          <w:szCs w:val="32"/>
          <w:shd w:val="clear" w:color="auto" w:fill="FFFFFF"/>
          <w:lang w:val="zh-CN"/>
        </w:rPr>
        <w:t>年终预算指标使用完毕。4.合理利用资产，确保资产发挥最大效用，提高部门资产利用率。</w:t>
      </w:r>
    </w:p>
    <w:p>
      <w:pPr>
        <w:widowControl/>
        <w:adjustRightInd w:val="0"/>
        <w:snapToGrid w:val="0"/>
        <w:spacing w:line="578" w:lineRule="exact"/>
        <w:ind w:firstLineChars="200" w:firstLine="640"/>
        <w:contextualSpacing/>
        <w:jc w:val="left"/>
        <w:rPr>
          <w:szCs w:val="32"/>
        </w:rPr>
      </w:pPr>
      <w:r>
        <w:rPr>
          <w:color w:val="000000"/>
          <w:kern w:val="0"/>
          <w:szCs w:val="32"/>
          <w:shd w:val="clear" w:color="auto" w:fill="FFFFFF"/>
        </w:rPr>
        <w:t>附表：</w:t>
      </w:r>
      <w:r>
        <w:rPr>
          <w:rFonts w:hint="eastAsia"/>
          <w:color w:val="000000"/>
          <w:kern w:val="0"/>
          <w:szCs w:val="32"/>
          <w:shd w:val="clear" w:color="auto" w:fill="FFFFFF"/>
        </w:rPr>
        <w:t>1.</w:t>
      </w:r>
      <w:r>
        <w:rPr>
          <w:rFonts w:hint="eastAsia"/>
          <w:szCs w:val="32"/>
        </w:rPr>
        <w:t>部门预算绩效自评打分表</w:t>
      </w:r>
    </w:p>
    <w:p>
      <w:pPr>
        <w:spacing w:line="578" w:lineRule="exact"/>
        <w:ind w:firstLineChars="500" w:firstLine="1600"/>
        <w:rPr>
          <w:color w:val="000000"/>
          <w:kern w:val="0"/>
          <w:szCs w:val="32"/>
          <w:shd w:val="clear" w:color="auto" w:fill="FFFFFF"/>
        </w:rPr>
      </w:pPr>
      <w:r>
        <w:rPr>
          <w:rFonts w:hint="eastAsia"/>
          <w:szCs w:val="32"/>
        </w:rPr>
        <w:t>2.</w:t>
      </w:r>
      <w:r>
        <w:rPr>
          <w:color w:val="000000"/>
          <w:kern w:val="0"/>
          <w:szCs w:val="32"/>
          <w:shd w:val="clear" w:color="auto" w:fill="FFFFFF"/>
        </w:rPr>
        <w:t>部门整体绩效目标完成情况自评表</w:t>
      </w:r>
    </w:p>
    <w:p>
      <w:pPr>
        <w:spacing w:line="578" w:lineRule="exact"/>
        <w:ind w:firstLineChars="800" w:firstLine="2560"/>
        <w:jc w:val="right"/>
        <w:rPr>
          <w:color w:val="000000"/>
          <w:kern w:val="0"/>
          <w:szCs w:val="32"/>
          <w:shd w:val="clear" w:color="auto" w:fill="FFFFFF"/>
        </w:rPr>
      </w:pPr>
      <w:r>
        <w:rPr>
          <w:rFonts w:hint="eastAsia"/>
          <w:color w:val="000000"/>
          <w:kern w:val="0"/>
          <w:szCs w:val="32"/>
          <w:shd w:val="clear" w:color="auto" w:fill="FFFFFF"/>
        </w:rPr>
        <w:t>攀枝花市医疗保障局</w:t>
      </w:r>
    </w:p>
    <w:p>
      <w:pPr>
        <w:spacing w:line="578" w:lineRule="exact"/>
        <w:ind w:firstLineChars="1900" w:firstLine="6080"/>
        <w:jc w:val="left"/>
        <w:rPr>
          <w:rFonts w:eastAsia="黑体"/>
        </w:rPr>
      </w:pPr>
      <w:r>
        <w:rPr>
          <w:rFonts w:hint="eastAsia"/>
          <w:color w:val="000000"/>
          <w:kern w:val="0"/>
          <w:szCs w:val="32"/>
          <w:shd w:val="clear" w:color="auto" w:fill="FFFFFF"/>
        </w:rPr>
        <w:t>2025年4月15日</w:t>
      </w:r>
      <w:r>
        <w:rPr>
          <w:color w:val="000000"/>
          <w:kern w:val="0"/>
          <w:szCs w:val="32"/>
          <w:shd w:val="clear" w:color="auto" w:fill="FFFFFF"/>
        </w:rPr>
        <w:br w:type="page"/>
      </w:r>
      <w:r>
        <w:rPr>
          <w:rFonts w:eastAsia="黑体"/>
        </w:rPr>
        <w:t>附表</w:t>
      </w:r>
      <w:r>
        <w:rPr>
          <w:rFonts w:eastAsia="黑体" w:hint="eastAsia"/>
        </w:rPr>
        <w:t>1</w:t>
      </w:r>
    </w:p>
    <w:p>
      <w:pPr>
        <w:widowControl/>
        <w:spacing w:line="600" w:lineRule="exact"/>
        <w:jc w:val="center"/>
        <w:textAlignment w:val="center"/>
        <w:rPr>
          <w:rFonts w:eastAsia="方正小标宋简体"/>
          <w:color w:val="000000"/>
          <w:kern w:val="0"/>
          <w:sz w:val="44"/>
          <w:szCs w:val="44"/>
        </w:rPr>
      </w:pPr>
      <w:r>
        <w:rPr>
          <w:rFonts w:eastAsia="方正小标宋简体" w:hint="eastAsia"/>
          <w:color w:val="000000"/>
          <w:kern w:val="0"/>
          <w:sz w:val="44"/>
          <w:szCs w:val="44"/>
        </w:rPr>
        <w:t>部门预算绩效自评打分表</w:t>
      </w:r>
    </w:p>
    <w:tbl>
      <w:tblPr>
        <w:jc w:val="center"/>
        <w:tblW w:w="1081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004"/>
        <w:gridCol w:w="1462"/>
        <w:gridCol w:w="1665"/>
        <w:gridCol w:w="720"/>
        <w:gridCol w:w="4734"/>
        <w:gridCol w:w="756"/>
        <w:gridCol w:w="478"/>
      </w:tblGrid>
      <w:tr>
        <w:trPr>
          <w:trHeight w:val="23"/>
        </w:trPr>
        <w:tc>
          <w:tcPr>
            <w:tcW w:w="48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黑体" w:eastAsia="黑体" w:cs="黑体" w:hAnsi="宋体"/>
                <w:color w:val="000000"/>
                <w:sz w:val="24"/>
              </w:rPr>
            </w:pPr>
            <w:r>
              <w:rPr>
                <w:rFonts w:ascii="黑体" w:eastAsia="黑体" w:cs="黑体" w:hAnsi="宋体" w:hint="eastAsia"/>
                <w:color w:val="000000"/>
                <w:kern w:val="0"/>
                <w:sz w:val="24"/>
              </w:rPr>
              <w:t>绩效评价指标指标分值</w:t>
            </w:r>
          </w:p>
        </w:tc>
        <w:tc>
          <w:tcPr>
            <w:tcW w:w="4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黑体" w:eastAsia="黑体" w:cs="黑体" w:hAnsi="宋体"/>
                <w:color w:val="000000"/>
                <w:sz w:val="24"/>
              </w:rPr>
            </w:pPr>
            <w:r>
              <w:rPr>
                <w:rFonts w:ascii="黑体" w:eastAsia="黑体" w:cs="黑体" w:hAnsi="宋体" w:hint="eastAsia"/>
                <w:color w:val="000000"/>
                <w:kern w:val="0"/>
                <w:sz w:val="24"/>
              </w:rPr>
              <w:t>指标解释</w:t>
            </w:r>
          </w:p>
        </w:tc>
        <w:tc>
          <w:tcPr>
            <w:tcW w:w="756" w:type="dxa"/>
            <w:vMerge w:val="restart"/>
            <w:tcBorders>
              <w:top w:val="single" w:sz="4" w:space="0" w:color="000000"/>
              <w:left w:val="single" w:sz="4" w:space="0" w:color="000000"/>
              <w:right w:val="single" w:sz="4" w:space="0" w:color="000000"/>
            </w:tcBorders>
            <w:shd w:val="clear" w:color="auto" w:fill="auto"/>
            <w:vAlign w:val="center"/>
          </w:tcPr>
          <w:p>
            <w:pPr>
              <w:widowControl/>
              <w:spacing w:line="240" w:lineRule="exact"/>
              <w:jc w:val="center"/>
              <w:textAlignment w:val="center"/>
              <w:rPr>
                <w:rFonts w:ascii="黑体" w:eastAsia="黑体" w:cs="黑体" w:hAnsi="宋体"/>
                <w:color w:val="000000"/>
                <w:kern w:val="0"/>
                <w:sz w:val="24"/>
              </w:rPr>
            </w:pPr>
            <w:r>
              <w:rPr>
                <w:rFonts w:ascii="黑体" w:eastAsia="黑体" w:cs="黑体" w:hAnsi="宋体" w:hint="eastAsia"/>
                <w:color w:val="000000"/>
                <w:kern w:val="0"/>
                <w:sz w:val="24"/>
              </w:rPr>
              <w:t>自评得分</w:t>
            </w:r>
          </w:p>
        </w:tc>
        <w:tc>
          <w:tcPr>
            <w:tcW w:w="478" w:type="dxa"/>
            <w:vMerge w:val="restart"/>
            <w:tcBorders>
              <w:top w:val="single" w:sz="4" w:space="0" w:color="000000"/>
              <w:left w:val="single" w:sz="4" w:space="0" w:color="000000"/>
              <w:right w:val="single" w:sz="4" w:space="0" w:color="000000"/>
            </w:tcBorders>
            <w:shd w:val="clear" w:color="auto" w:fill="auto"/>
            <w:vAlign w:val="center"/>
          </w:tcPr>
          <w:p>
            <w:pPr>
              <w:widowControl/>
              <w:spacing w:line="240" w:lineRule="exact"/>
              <w:jc w:val="center"/>
              <w:textAlignment w:val="center"/>
              <w:rPr>
                <w:rFonts w:ascii="黑体" w:eastAsia="黑体" w:cs="黑体" w:hAnsi="宋体"/>
                <w:color w:val="000000"/>
                <w:kern w:val="0"/>
                <w:sz w:val="24"/>
              </w:rPr>
            </w:pPr>
            <w:r>
              <w:rPr>
                <w:rFonts w:ascii="黑体" w:eastAsia="黑体" w:cs="黑体" w:hAnsi="宋体" w:hint="eastAsia"/>
                <w:color w:val="000000"/>
                <w:kern w:val="0"/>
                <w:sz w:val="24"/>
              </w:rPr>
              <w:t>备注</w:t>
            </w:r>
          </w:p>
        </w:tc>
      </w:tr>
      <w:tr>
        <w:trPr>
          <w:trHeight w:val="23"/>
        </w:trPr>
        <w:tc>
          <w:tcPr>
            <w:tcW w:w="1004" w:type="dxa"/>
            <w:tcBorders>
              <w:top w:val="single" w:sz="4" w:space="0" w:color="000000"/>
              <w:left w:val="single" w:sz="4" w:space="0" w:color="000000"/>
              <w:bottom w:val="single" w:sz="4" w:space="0" w:color="000000"/>
              <w:right w:val="nil"/>
            </w:tcBorders>
            <w:shd w:val="clear" w:color="auto" w:fill="auto"/>
            <w:vAlign w:val="center"/>
          </w:tcPr>
          <w:p>
            <w:pPr>
              <w:widowControl/>
              <w:spacing w:line="240" w:lineRule="exact"/>
              <w:jc w:val="center"/>
              <w:textAlignment w:val="center"/>
              <w:rPr>
                <w:rFonts w:ascii="黑体" w:eastAsia="黑体" w:cs="黑体" w:hAnsi="宋体"/>
                <w:color w:val="000000"/>
                <w:sz w:val="24"/>
              </w:rPr>
            </w:pPr>
            <w:r>
              <w:rPr>
                <w:rFonts w:ascii="黑体" w:eastAsia="黑体" w:cs="黑体" w:hAnsi="宋体" w:hint="eastAsia"/>
                <w:color w:val="000000"/>
                <w:kern w:val="0"/>
                <w:sz w:val="24"/>
              </w:rPr>
              <w:t>一级指标</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黑体" w:eastAsia="黑体" w:cs="黑体" w:hAnsi="宋体"/>
                <w:color w:val="000000"/>
                <w:sz w:val="24"/>
              </w:rPr>
            </w:pPr>
            <w:r>
              <w:rPr>
                <w:rFonts w:ascii="黑体" w:eastAsia="黑体" w:cs="黑体" w:hAnsi="宋体" w:hint="eastAsia"/>
                <w:color w:val="000000"/>
                <w:kern w:val="0"/>
                <w:sz w:val="24"/>
              </w:rPr>
              <w:t>二级指标</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黑体" w:eastAsia="黑体" w:cs="黑体" w:hAnsi="宋体"/>
                <w:color w:val="000000"/>
                <w:sz w:val="24"/>
              </w:rPr>
            </w:pPr>
            <w:r>
              <w:rPr>
                <w:rFonts w:ascii="黑体" w:eastAsia="黑体" w:cs="黑体" w:hAnsi="宋体" w:hint="eastAsia"/>
                <w:color w:val="000000"/>
                <w:kern w:val="0"/>
                <w:sz w:val="24"/>
              </w:rPr>
              <w:t>三级指标</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黑体" w:eastAsia="黑体" w:cs="黑体" w:hAnsi="宋体"/>
                <w:color w:val="000000"/>
                <w:sz w:val="24"/>
              </w:rPr>
            </w:pPr>
            <w:r>
              <w:rPr>
                <w:rFonts w:ascii="黑体" w:eastAsia="黑体" w:cs="黑体" w:hAnsi="宋体" w:hint="eastAsia"/>
                <w:color w:val="000000"/>
                <w:kern w:val="0"/>
                <w:sz w:val="24"/>
              </w:rPr>
              <w:t>指标</w:t>
              <w:br/>
              <w:t>分值</w:t>
            </w:r>
          </w:p>
        </w:tc>
        <w:tc>
          <w:tcPr>
            <w:tcW w:w="47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56" w:type="dxa"/>
            <w:vMerge/>
            <w:tcBorders>
              <w:left w:val="single" w:sz="4" w:space="0" w:color="000000"/>
              <w:bottom w:val="single" w:sz="4" w:space="0" w:color="000000"/>
              <w:right w:val="single" w:sz="4" w:space="0" w:color="000000"/>
            </w:tcBorders>
            <w:shd w:val="clear" w:color="auto" w:fill="auto"/>
            <w:vAlign w:val="center"/>
          </w:tcPr>
          <w:p/>
        </w:tc>
        <w:tc>
          <w:tcPr>
            <w:tcW w:w="478" w:type="dxa"/>
            <w:vMerge/>
            <w:tcBorders>
              <w:left w:val="single" w:sz="4" w:space="0" w:color="000000"/>
              <w:bottom w:val="single" w:sz="4" w:space="0" w:color="000000"/>
              <w:right w:val="single" w:sz="4" w:space="0" w:color="000000"/>
            </w:tcBorders>
            <w:shd w:val="clear" w:color="auto" w:fill="auto"/>
            <w:vAlign w:val="center"/>
          </w:tcPr>
          <w:p/>
        </w:tc>
      </w:tr>
      <w:tr>
        <w:trPr>
          <w:trHeight w:val="23"/>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b/>
                <w:color w:val="000000"/>
                <w:sz w:val="24"/>
              </w:rPr>
            </w:pPr>
            <w:r>
              <w:rPr>
                <w:rFonts w:ascii="宋体" w:eastAsia="宋体" w:cs="宋体" w:hAnsi="宋体" w:hint="eastAsia"/>
                <w:b/>
                <w:color w:val="000000"/>
                <w:kern w:val="0"/>
                <w:sz w:val="24"/>
              </w:rPr>
              <w:t>总体绩效</w:t>
              <w:br/>
              <w:t>（65分）</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b/>
                <w:color w:val="000000"/>
                <w:sz w:val="24"/>
              </w:rPr>
            </w:pPr>
            <w:r>
              <w:rPr>
                <w:rFonts w:ascii="宋体" w:eastAsia="宋体" w:cs="宋体" w:hAnsi="宋体" w:hint="eastAsia"/>
                <w:b/>
                <w:color w:val="000000"/>
                <w:kern w:val="0"/>
                <w:sz w:val="24"/>
              </w:rPr>
              <w:t>履职效能</w:t>
              <w:br/>
              <w:t>（15分）</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履职效果</w:t>
            </w:r>
          </w:p>
        </w:tc>
        <w:tc>
          <w:tcPr>
            <w:tcW w:w="720" w:type="dxa"/>
            <w:tcBorders>
              <w:top w:val="nil"/>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15</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部门整体绩效目标中选定3-5个核心职能目标，反映该项职能目标完成效果情况</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15</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b/>
                <w:color w:val="000000"/>
                <w:sz w:val="24"/>
              </w:rPr>
            </w:pPr>
            <w:r>
              <w:rPr>
                <w:rFonts w:ascii="宋体" w:eastAsia="宋体" w:cs="宋体" w:hAnsi="宋体" w:hint="eastAsia"/>
                <w:b/>
                <w:color w:val="000000"/>
                <w:kern w:val="0"/>
                <w:sz w:val="24"/>
              </w:rPr>
              <w:t>预算管理</w:t>
              <w:br/>
              <w:t>（25分）</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预算编制质量</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8</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部门是否严格按要求编制年初部门预算，年初预算编制的科学性和准确性</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2.83</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单位收入统筹</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4</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部门统筹自有收入程度</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4</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支出执行进度</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6</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部门1至6月、1至10月预算执行情况</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5.16</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预算年终结余</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2</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部门整体年终预算结余情况</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1.95</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严控一般性支出</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5</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部门严控“三公”经费、会议、培训、差旅、办节办展、办公设备购置、信息网络及软件购置更新、课题经费等8项一般性支出情况</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5</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b/>
                <w:color w:val="000000"/>
                <w:sz w:val="24"/>
              </w:rPr>
            </w:pPr>
            <w:r>
              <w:rPr>
                <w:rFonts w:ascii="宋体" w:eastAsia="宋体" w:cs="宋体" w:hAnsi="宋体" w:hint="eastAsia"/>
                <w:b/>
                <w:color w:val="000000"/>
                <w:kern w:val="0"/>
                <w:sz w:val="24"/>
              </w:rPr>
              <w:t>财务管理</w:t>
              <w:br/>
              <w:t>（10分）</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财务管理制度</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4</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部门财务管理制度建立情况</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4</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财务岗位设置</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2</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部门财务岗位设置是否符合相关财务管理制度要求</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2</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资金使用规范</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4</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部门资金使用是否符合相关财务管理制度规定</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4</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b/>
                <w:color w:val="000000"/>
                <w:sz w:val="24"/>
              </w:rPr>
            </w:pPr>
            <w:r>
              <w:rPr>
                <w:rFonts w:ascii="宋体" w:eastAsia="宋体" w:cs="宋体" w:hAnsi="宋体" w:hint="eastAsia"/>
                <w:b/>
                <w:color w:val="000000"/>
                <w:kern w:val="0"/>
                <w:sz w:val="24"/>
              </w:rPr>
              <w:t>资产管理</w:t>
              <w:br/>
              <w:t>（9分）</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人均资产变化率</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3</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部门人均资产变化情况</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3</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资产利用率</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3</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部门资产超最低使用年限情况</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0.6</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b/>
                <w:color w:val="000000"/>
                <w:sz w:val="24"/>
              </w:rPr>
            </w:pPr>
            <w:r>
              <w:rPr>
                <w:rFonts w:ascii="宋体" w:eastAsia="宋体" w:cs="宋体" w:hAnsi="宋体" w:hint="eastAsia"/>
                <w:b/>
                <w:color w:val="000000"/>
                <w:kern w:val="0"/>
                <w:sz w:val="24"/>
              </w:rPr>
              <w:t>总体绩效</w:t>
              <w:br/>
              <w:t>（65分）</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b/>
                <w:color w:val="000000"/>
                <w:sz w:val="24"/>
              </w:rPr>
            </w:pPr>
            <w:r>
              <w:rPr>
                <w:rFonts w:ascii="宋体" w:eastAsia="宋体" w:cs="宋体" w:hAnsi="宋体" w:hint="eastAsia"/>
                <w:b/>
                <w:color w:val="000000"/>
                <w:kern w:val="0"/>
                <w:sz w:val="24"/>
              </w:rPr>
              <w:t>资产管理</w:t>
              <w:br/>
              <w:t>（9分）</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资产盘活率</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3</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部门闲置一年以上的资产盘活情况</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3</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b/>
                <w:color w:val="000000"/>
                <w:sz w:val="24"/>
              </w:rPr>
            </w:pPr>
            <w:r>
              <w:rPr>
                <w:rFonts w:ascii="宋体" w:eastAsia="宋体" w:cs="宋体" w:hAnsi="宋体" w:hint="eastAsia"/>
                <w:b/>
                <w:color w:val="000000"/>
                <w:kern w:val="0"/>
                <w:sz w:val="24"/>
              </w:rPr>
              <w:t>采购管理</w:t>
              <w:br/>
              <w:t>（6分）</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支持中小企业发展</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3</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部门是否严格执行政府采购促进中小企业发展相关管理办法</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3</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采购执行率</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3</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部门政府采购项目资金支付比例情况</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3</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b/>
                <w:color w:val="000000"/>
                <w:sz w:val="24"/>
              </w:rPr>
            </w:pPr>
            <w:r>
              <w:rPr>
                <w:rFonts w:ascii="宋体" w:eastAsia="宋体" w:cs="宋体" w:hAnsi="宋体" w:hint="eastAsia"/>
                <w:b/>
                <w:color w:val="000000"/>
                <w:kern w:val="0"/>
                <w:sz w:val="24"/>
              </w:rPr>
              <w:t>项目绩效</w:t>
              <w:br/>
              <w:t>（35分）</w:t>
            </w:r>
          </w:p>
        </w:tc>
        <w:tc>
          <w:tcPr>
            <w:tcW w:w="1462" w:type="dxa"/>
            <w:vMerge w:val="restart"/>
            <w:tcBorders>
              <w:top w:val="single" w:sz="4" w:space="0" w:color="000000"/>
              <w:left w:val="single" w:sz="4" w:space="0" w:color="000000"/>
              <w:bottom w:val="nil"/>
              <w:right w:val="single" w:sz="4" w:space="0" w:color="000000"/>
            </w:tcBorders>
            <w:shd w:val="clear" w:color="auto" w:fill="auto"/>
            <w:vAlign w:val="center"/>
          </w:tcPr>
          <w:p>
            <w:pPr>
              <w:widowControl/>
              <w:spacing w:line="240" w:lineRule="exact"/>
              <w:jc w:val="center"/>
              <w:textAlignment w:val="center"/>
              <w:rPr>
                <w:rFonts w:ascii="宋体" w:eastAsia="宋体" w:cs="宋体" w:hAnsi="宋体"/>
                <w:b/>
                <w:color w:val="000000"/>
                <w:sz w:val="24"/>
              </w:rPr>
            </w:pPr>
            <w:r>
              <w:rPr>
                <w:rFonts w:ascii="宋体" w:eastAsia="宋体" w:cs="宋体" w:hAnsi="宋体" w:hint="eastAsia"/>
                <w:b/>
                <w:color w:val="000000"/>
                <w:kern w:val="0"/>
                <w:sz w:val="24"/>
              </w:rPr>
              <w:t>项目决策</w:t>
              <w:br/>
              <w:t>（12分）</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决策程序</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4</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部门预算项目设立是否按规定履行评估论证、申报程序</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4</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2" w:type="dxa"/>
            <w:vMerge/>
            <w:tcBorders>
              <w:top w:val="single" w:sz="4" w:space="0" w:color="000000"/>
              <w:left w:val="single" w:sz="4" w:space="0" w:color="000000"/>
              <w:bottom w:val="nil"/>
              <w:right w:val="single" w:sz="4" w:space="0" w:color="000000"/>
            </w:tcBorders>
            <w:shd w:val="clear" w:color="auto" w:fill="auto"/>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目标设置</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4</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部门预算项目绩效目标与计划期内的任务量、预算安排的资金量匹配情况，绩效目标设置是否科学合理、规范完整、量化细化、预算匹配</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4</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2" w:type="dxa"/>
            <w:vMerge/>
            <w:tcBorders>
              <w:top w:val="single" w:sz="4" w:space="0" w:color="000000"/>
              <w:left w:val="single" w:sz="4" w:space="0" w:color="000000"/>
              <w:bottom w:val="nil"/>
              <w:right w:val="single" w:sz="4" w:space="0" w:color="000000"/>
            </w:tcBorders>
            <w:shd w:val="clear" w:color="auto" w:fill="auto"/>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项目入库</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4</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部门预算项目是否在规定时间完成项目入库</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4</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2" w:type="dxa"/>
            <w:vMerge w:val="restart"/>
            <w:tcBorders>
              <w:top w:val="single" w:sz="4" w:space="0" w:color="000000"/>
              <w:left w:val="single" w:sz="4" w:space="0" w:color="000000"/>
              <w:bottom w:val="nil"/>
              <w:right w:val="single" w:sz="4" w:space="0" w:color="000000"/>
            </w:tcBorders>
            <w:shd w:val="clear" w:color="auto" w:fill="auto"/>
            <w:vAlign w:val="center"/>
          </w:tcPr>
          <w:p>
            <w:pPr>
              <w:widowControl/>
              <w:spacing w:line="240" w:lineRule="exact"/>
              <w:jc w:val="center"/>
              <w:textAlignment w:val="center"/>
              <w:rPr>
                <w:rFonts w:ascii="宋体" w:eastAsia="宋体" w:cs="宋体" w:hAnsi="宋体"/>
                <w:b/>
                <w:color w:val="000000"/>
                <w:sz w:val="24"/>
              </w:rPr>
            </w:pPr>
            <w:r>
              <w:rPr>
                <w:rFonts w:ascii="宋体" w:eastAsia="宋体" w:cs="宋体" w:hAnsi="宋体" w:hint="eastAsia"/>
                <w:b/>
                <w:color w:val="000000"/>
                <w:kern w:val="0"/>
                <w:sz w:val="24"/>
              </w:rPr>
              <w:t>项目执行</w:t>
              <w:br/>
              <w:t>（12分）</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执行同向</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4</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部门预算项目实际列支内容是否与绩效目标设置方向相符</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4</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2" w:type="dxa"/>
            <w:vMerge/>
            <w:tcBorders>
              <w:top w:val="single" w:sz="4" w:space="0" w:color="000000"/>
              <w:left w:val="single" w:sz="4" w:space="0" w:color="000000"/>
              <w:bottom w:val="nil"/>
              <w:right w:val="single" w:sz="4" w:space="0" w:color="000000"/>
            </w:tcBorders>
            <w:shd w:val="clear" w:color="auto" w:fill="auto"/>
            <w:vAlign w:val="center"/>
          </w:tcPr>
          <w:p/>
        </w:tc>
        <w:tc>
          <w:tcPr>
            <w:tcW w:w="1665" w:type="dxa"/>
            <w:tcBorders>
              <w:top w:val="single" w:sz="4" w:space="0" w:color="000000"/>
              <w:left w:val="single" w:sz="4" w:space="0" w:color="000000"/>
              <w:bottom w:val="nil"/>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项目调整</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4</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部门预算项目是否采取对应调整措施</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4</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2" w:type="dxa"/>
            <w:vMerge/>
            <w:tcBorders>
              <w:top w:val="single" w:sz="4" w:space="0" w:color="000000"/>
              <w:left w:val="single" w:sz="4" w:space="0" w:color="000000"/>
              <w:bottom w:val="nil"/>
              <w:right w:val="single" w:sz="4" w:space="0" w:color="000000"/>
            </w:tcBorders>
            <w:shd w:val="clear" w:color="auto" w:fill="auto"/>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执行结果</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4</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部门预算项目预算执行情况</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4</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b/>
                <w:color w:val="000000"/>
                <w:sz w:val="24"/>
              </w:rPr>
            </w:pPr>
            <w:r>
              <w:rPr>
                <w:rFonts w:ascii="宋体" w:eastAsia="宋体" w:cs="宋体" w:hAnsi="宋体" w:hint="eastAsia"/>
                <w:b/>
                <w:color w:val="000000"/>
                <w:kern w:val="0"/>
                <w:sz w:val="24"/>
              </w:rPr>
              <w:t>目标实现</w:t>
              <w:br/>
              <w:t>（11分）</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目标完成</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4</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部门预算项目绩效目标数量指标完成情况</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4</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目标偏离</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4</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部门预算项目绩效目标数量指标实现程度与预期目标的偏离情况</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4</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实现效果</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3</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部门预算项目绩效目标效益指标实施效果</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3</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r>
        <w:trPr>
          <w:trHeight w:val="23"/>
        </w:trPr>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b/>
                <w:color w:val="000000"/>
                <w:sz w:val="24"/>
              </w:rPr>
            </w:pPr>
            <w:r>
              <w:rPr>
                <w:rFonts w:ascii="宋体" w:eastAsia="宋体" w:cs="宋体" w:hAnsi="宋体" w:hint="eastAsia"/>
                <w:b/>
                <w:color w:val="000000"/>
                <w:kern w:val="0"/>
                <w:sz w:val="24"/>
              </w:rPr>
              <w:t>扣分项</w:t>
              <w:br/>
              <w:t>（10分）</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被评价部门配合度</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sz w:val="24"/>
              </w:rPr>
            </w:pPr>
            <w:r>
              <w:rPr>
                <w:rFonts w:ascii="宋体" w:eastAsia="宋体" w:cs="宋体" w:hAnsi="宋体" w:hint="eastAsia"/>
                <w:color w:val="000000"/>
                <w:kern w:val="0"/>
                <w:sz w:val="24"/>
              </w:rPr>
              <w:t>-</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sz w:val="24"/>
              </w:rPr>
            </w:pPr>
            <w:r>
              <w:rPr>
                <w:rFonts w:ascii="宋体" w:eastAsia="宋体" w:cs="宋体" w:hAnsi="宋体" w:hint="eastAsia"/>
                <w:color w:val="000000"/>
                <w:kern w:val="0"/>
                <w:sz w:val="24"/>
              </w:rPr>
              <w:t>被评价对象工作配合情况</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eastAsia="宋体" w:cs="宋体" w:hAnsi="宋体"/>
                <w:color w:val="000000"/>
                <w:kern w:val="0"/>
                <w:sz w:val="24"/>
              </w:rPr>
            </w:pPr>
            <w:r>
              <w:rPr>
                <w:rFonts w:ascii="宋体" w:eastAsia="宋体" w:cs="宋体" w:hAnsi="宋体" w:hint="eastAsia"/>
                <w:color w:val="000000"/>
                <w:kern w:val="0"/>
                <w:sz w:val="24"/>
              </w:rPr>
              <w:t>0</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eastAsia="宋体" w:cs="宋体" w:hAnsi="宋体"/>
                <w:color w:val="000000"/>
                <w:kern w:val="0"/>
                <w:sz w:val="24"/>
              </w:rPr>
            </w:pPr>
          </w:p>
        </w:tc>
      </w:tr>
    </w:tbl>
    <w:p>
      <w:pPr>
        <w:pStyle w:val="15"/>
        <w:spacing w:line="20" w:lineRule="exact"/>
      </w:pPr>
    </w:p>
    <w:p>
      <w:pPr>
        <w:spacing w:line="578" w:lineRule="exact"/>
        <w:jc w:val="left"/>
        <w:rPr>
          <w:rFonts w:eastAsia="黑体"/>
        </w:rPr>
      </w:pPr>
      <w:r>
        <w:rPr>
          <w:rFonts w:eastAsia="黑体"/>
        </w:rPr>
        <w:t>附表</w:t>
      </w:r>
      <w:r>
        <w:rPr>
          <w:rFonts w:eastAsia="黑体" w:hint="eastAsia"/>
        </w:rPr>
        <w:t>2</w:t>
      </w:r>
    </w:p>
    <w:tbl>
      <w:tblPr>
        <w:jc w:val="center"/>
        <w:tblW w:w="10560"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1308"/>
        <w:gridCol w:w="1347"/>
        <w:gridCol w:w="1273"/>
        <w:gridCol w:w="1100"/>
        <w:gridCol w:w="1145"/>
        <w:gridCol w:w="1289"/>
        <w:gridCol w:w="1058"/>
        <w:gridCol w:w="2040"/>
      </w:tblGrid>
      <w:tr>
        <w:trPr>
          <w:trHeight w:hRule="exact" w:val="762"/>
        </w:trPr>
        <w:tc>
          <w:tcPr>
            <w:tcW w:w="10560" w:type="dxa"/>
            <w:gridSpan w:val="8"/>
            <w:shd w:val="clear" w:color="auto" w:fill="auto"/>
            <w:vAlign w:val="center"/>
          </w:tcPr>
          <w:p>
            <w:pPr>
              <w:widowControl/>
              <w:spacing w:line="600" w:lineRule="exact"/>
              <w:jc w:val="center"/>
              <w:textAlignment w:val="center"/>
              <w:rPr>
                <w:rFonts w:eastAsia="黑体"/>
                <w:color w:val="000000"/>
                <w:sz w:val="28"/>
                <w:szCs w:val="28"/>
              </w:rPr>
            </w:pPr>
            <w:r>
              <w:rPr>
                <w:rFonts w:eastAsia="方正小标宋简体"/>
                <w:color w:val="000000"/>
                <w:kern w:val="0"/>
                <w:sz w:val="44"/>
                <w:szCs w:val="44"/>
              </w:rPr>
              <w:t>部门整体绩效目标完成情况自评表</w:t>
            </w:r>
          </w:p>
        </w:tc>
      </w:tr>
      <w:tr>
        <w:trPr>
          <w:trHeight w:val="23"/>
        </w:trPr>
        <w:tc>
          <w:tcPr>
            <w:tcW w:w="10560" w:type="dxa"/>
            <w:gridSpan w:val="8"/>
            <w:shd w:val="clear" w:color="auto" w:fill="auto"/>
            <w:vAlign w:val="center"/>
          </w:tcPr>
          <w:p>
            <w:pPr>
              <w:widowControl/>
              <w:spacing w:line="300" w:lineRule="exact"/>
              <w:jc w:val="center"/>
              <w:textAlignment w:val="center"/>
              <w:rPr>
                <w:rFonts w:eastAsia="宋体"/>
                <w:color w:val="000000"/>
                <w:sz w:val="28"/>
                <w:szCs w:val="28"/>
              </w:rPr>
            </w:pPr>
            <w:r>
              <w:rPr>
                <w:rFonts w:eastAsia="宋体"/>
                <w:color w:val="000000"/>
                <w:kern w:val="0"/>
                <w:sz w:val="28"/>
                <w:szCs w:val="28"/>
              </w:rPr>
              <w:t>（202</w:t>
            </w:r>
            <w:r>
              <w:rPr>
                <w:rFonts w:eastAsia="宋体" w:hint="eastAsia"/>
                <w:color w:val="000000"/>
                <w:kern w:val="0"/>
                <w:sz w:val="28"/>
                <w:szCs w:val="28"/>
              </w:rPr>
              <w:t>4</w:t>
            </w:r>
            <w:r>
              <w:rPr>
                <w:rFonts w:eastAsia="宋体"/>
                <w:color w:val="000000"/>
                <w:kern w:val="0"/>
                <w:sz w:val="28"/>
                <w:szCs w:val="28"/>
              </w:rPr>
              <w:t>年度）</w:t>
            </w:r>
          </w:p>
        </w:tc>
      </w:tr>
      <w:tr>
        <w:trPr>
          <w:trHeight w:val="23"/>
        </w:trPr>
        <w:tc>
          <w:tcPr>
            <w:tcW w:w="10560" w:type="dxa"/>
            <w:gridSpan w:val="8"/>
            <w:tcBorders>
              <w:bottom w:val="single" w:sz="4" w:space="0" w:color="000000"/>
            </w:tcBorders>
            <w:shd w:val="clear" w:color="auto" w:fill="auto"/>
            <w:vAlign w:val="center"/>
          </w:tcPr>
          <w:p>
            <w:pPr>
              <w:widowControl/>
              <w:spacing w:line="300" w:lineRule="exact"/>
              <w:jc w:val="right"/>
              <w:textAlignment w:val="center"/>
              <w:rPr>
                <w:rFonts w:eastAsia="宋体"/>
                <w:color w:val="000000"/>
                <w:sz w:val="21"/>
                <w:szCs w:val="21"/>
              </w:rPr>
            </w:pPr>
            <w:r>
              <w:rPr>
                <w:rFonts w:eastAsia="宋体"/>
                <w:color w:val="000000"/>
                <w:kern w:val="0"/>
                <w:sz w:val="21"/>
                <w:szCs w:val="21"/>
              </w:rPr>
              <w:t>单位：万元</w:t>
            </w:r>
          </w:p>
        </w:tc>
      </w:tr>
      <w:tr>
        <w:trPr>
          <w:trHeight w:val="23"/>
        </w:trPr>
        <w:tc>
          <w:tcPr>
            <w:tcW w:w="39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rPr>
              <w:t>部门名称</w:t>
            </w:r>
          </w:p>
        </w:tc>
        <w:tc>
          <w:tcPr>
            <w:tcW w:w="66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r>
              <w:rPr>
                <w:rFonts w:eastAsia="宋体" w:hint="eastAsia"/>
                <w:color w:val="000000"/>
                <w:kern w:val="0"/>
                <w:sz w:val="24"/>
              </w:rPr>
              <w:t>攀枝花</w:t>
            </w:r>
            <w:r>
              <w:rPr>
                <w:rFonts w:eastAsia="宋体"/>
                <w:color w:val="000000"/>
                <w:kern w:val="0"/>
                <w:sz w:val="24"/>
              </w:rPr>
              <w:t>市医疗保障局</w:t>
            </w:r>
          </w:p>
        </w:tc>
      </w:tr>
      <w:tr>
        <w:trPr>
          <w:trHeight w:val="23"/>
        </w:trPr>
        <w:tc>
          <w:tcPr>
            <w:tcW w:w="1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rPr>
              <w:t>年度部门整体支出预算</w:t>
            </w: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rPr>
              <w:t>资金总额</w:t>
            </w:r>
          </w:p>
        </w:tc>
        <w:tc>
          <w:tcPr>
            <w:tcW w:w="2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rPr>
              <w:t>财政拨款</w:t>
            </w:r>
          </w:p>
        </w:tc>
        <w:tc>
          <w:tcPr>
            <w:tcW w:w="43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rPr>
              <w:t>其他资金</w:t>
            </w:r>
          </w:p>
        </w:tc>
      </w:tr>
      <w:tr>
        <w:trPr>
          <w:trHeight w:val="23"/>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r>
              <w:rPr>
                <w:rFonts w:eastAsia="宋体" w:hint="eastAsia"/>
                <w:color w:val="000000"/>
                <w:kern w:val="0"/>
                <w:sz w:val="24"/>
              </w:rPr>
              <w:t>998.64</w:t>
            </w:r>
          </w:p>
        </w:tc>
        <w:tc>
          <w:tcPr>
            <w:tcW w:w="2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r>
              <w:rPr>
                <w:rFonts w:eastAsia="宋体" w:hint="eastAsia"/>
                <w:color w:val="000000"/>
                <w:kern w:val="0"/>
                <w:sz w:val="24"/>
              </w:rPr>
              <w:t>974.39</w:t>
            </w:r>
          </w:p>
        </w:tc>
        <w:tc>
          <w:tcPr>
            <w:tcW w:w="43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p>
        </w:tc>
      </w:tr>
      <w:tr>
        <w:trPr>
          <w:trHeight w:val="23"/>
        </w:trPr>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kern w:val="0"/>
                <w:sz w:val="24"/>
              </w:rPr>
            </w:pPr>
            <w:r>
              <w:rPr>
                <w:rFonts w:eastAsia="宋体"/>
                <w:color w:val="000000"/>
                <w:kern w:val="0"/>
                <w:sz w:val="24"/>
              </w:rPr>
              <w:t>年度总体</w:t>
            </w:r>
          </w:p>
          <w:p>
            <w:pPr>
              <w:widowControl/>
              <w:spacing w:line="300" w:lineRule="exact"/>
              <w:jc w:val="center"/>
              <w:textAlignment w:val="center"/>
              <w:rPr>
                <w:rFonts w:eastAsia="宋体"/>
                <w:color w:val="000000"/>
                <w:sz w:val="24"/>
              </w:rPr>
            </w:pPr>
            <w:r>
              <w:rPr>
                <w:rFonts w:eastAsia="宋体"/>
                <w:color w:val="000000"/>
                <w:kern w:val="0"/>
                <w:sz w:val="24"/>
              </w:rPr>
              <w:t>目标</w:t>
            </w:r>
          </w:p>
        </w:tc>
        <w:tc>
          <w:tcPr>
            <w:tcW w:w="925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left"/>
              <w:textAlignment w:val="center"/>
              <w:rPr>
                <w:rFonts w:eastAsia="宋体"/>
                <w:color w:val="000000"/>
                <w:sz w:val="24"/>
              </w:rPr>
            </w:pPr>
            <w:r>
              <w:rPr>
                <w:rFonts w:eastAsia="宋体" w:hint="eastAsia"/>
                <w:color w:val="000000"/>
                <w:kern w:val="0"/>
                <w:sz w:val="24"/>
              </w:rPr>
              <w:t>1.充分发挥医保职能职责，不断完善医保政策，为参保群体提供优质服务；                                                                                    2.加强医保法制宣传和培训，做到依法行政，提高医保法</w:t>
            </w:r>
            <w:r>
              <w:rPr>
                <w:rFonts w:eastAsia="宋体"/>
                <w:color w:val="000000"/>
                <w:kern w:val="0"/>
                <w:sz w:val="24"/>
              </w:rPr>
              <w:t>治</w:t>
            </w:r>
            <w:r>
              <w:rPr>
                <w:rFonts w:eastAsia="宋体" w:hint="eastAsia"/>
                <w:color w:val="000000"/>
                <w:kern w:val="0"/>
                <w:sz w:val="24"/>
              </w:rPr>
              <w:t>建设的能力；                                                                                        3.保障付费方式改革、基金监管等工作的正常开展，提高医保综合治理能力。</w:t>
            </w:r>
          </w:p>
        </w:tc>
      </w:tr>
      <w:tr>
        <w:trPr>
          <w:trHeight w:val="23"/>
        </w:trPr>
        <w:tc>
          <w:tcPr>
            <w:tcW w:w="1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kern w:val="0"/>
                <w:sz w:val="24"/>
              </w:rPr>
            </w:pPr>
            <w:r>
              <w:rPr>
                <w:rFonts w:eastAsia="宋体"/>
                <w:color w:val="000000"/>
                <w:kern w:val="0"/>
                <w:sz w:val="24"/>
              </w:rPr>
              <w:t>年度主要</w:t>
            </w:r>
          </w:p>
          <w:p>
            <w:pPr>
              <w:widowControl/>
              <w:spacing w:line="300" w:lineRule="exact"/>
              <w:jc w:val="center"/>
              <w:textAlignment w:val="center"/>
              <w:rPr>
                <w:rFonts w:eastAsia="宋体"/>
                <w:color w:val="000000"/>
                <w:sz w:val="24"/>
              </w:rPr>
            </w:pPr>
            <w:r>
              <w:rPr>
                <w:rFonts w:eastAsia="宋体"/>
                <w:color w:val="000000"/>
                <w:kern w:val="0"/>
                <w:sz w:val="24"/>
              </w:rPr>
              <w:t>任务</w:t>
            </w: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rPr>
              <w:t>任务名称</w:t>
            </w:r>
          </w:p>
        </w:tc>
        <w:tc>
          <w:tcPr>
            <w:tcW w:w="66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rPr>
              <w:t>主要内容</w:t>
            </w:r>
          </w:p>
        </w:tc>
      </w:tr>
      <w:tr>
        <w:trPr>
          <w:trHeight w:val="23"/>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color w:val="000000"/>
                <w:sz w:val="24"/>
              </w:rPr>
            </w:pPr>
            <w:r>
              <w:rPr>
                <w:rFonts w:ascii="宋体" w:eastAsia="宋体" w:hint="eastAsia"/>
                <w:color w:val="000000"/>
                <w:sz w:val="24"/>
              </w:rPr>
              <w:t>运转支出</w:t>
            </w:r>
          </w:p>
        </w:tc>
        <w:tc>
          <w:tcPr>
            <w:tcW w:w="66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4"/>
              </w:rPr>
            </w:pPr>
            <w:r>
              <w:rPr>
                <w:rFonts w:ascii="宋体" w:eastAsia="宋体" w:hint="eastAsia"/>
                <w:color w:val="000000"/>
                <w:sz w:val="24"/>
              </w:rPr>
              <w:t>保障人员、公用经费等日常运转的正常支出。</w:t>
            </w:r>
          </w:p>
        </w:tc>
      </w:tr>
      <w:tr>
        <w:trPr>
          <w:trHeight w:val="23"/>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color w:val="000000"/>
                <w:sz w:val="24"/>
              </w:rPr>
            </w:pPr>
            <w:r>
              <w:rPr>
                <w:rFonts w:ascii="宋体" w:eastAsia="宋体" w:hint="eastAsia"/>
                <w:color w:val="000000"/>
                <w:sz w:val="24"/>
              </w:rPr>
              <w:t>项目支出</w:t>
            </w:r>
          </w:p>
        </w:tc>
        <w:tc>
          <w:tcPr>
            <w:tcW w:w="66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4"/>
              </w:rPr>
            </w:pPr>
            <w:r>
              <w:rPr>
                <w:rFonts w:ascii="宋体" w:eastAsia="宋体" w:hint="eastAsia"/>
                <w:color w:val="000000"/>
                <w:sz w:val="24"/>
              </w:rPr>
              <w:t>保障</w:t>
            </w:r>
            <w:r>
              <w:rPr>
                <w:rFonts w:ascii="宋体" w:eastAsia="宋体"/>
                <w:color w:val="000000"/>
                <w:sz w:val="24"/>
              </w:rPr>
              <w:t>法治</w:t>
            </w:r>
            <w:r>
              <w:rPr>
                <w:rFonts w:ascii="宋体" w:eastAsia="宋体" w:hint="eastAsia"/>
                <w:color w:val="000000"/>
                <w:sz w:val="24"/>
              </w:rPr>
              <w:t>建设、医药服务价格调整、基金监管等工作支出。</w:t>
            </w:r>
          </w:p>
        </w:tc>
      </w:tr>
      <w:tr>
        <w:trPr>
          <w:trHeight w:val="23"/>
        </w:trPr>
        <w:tc>
          <w:tcPr>
            <w:tcW w:w="1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kern w:val="0"/>
                <w:sz w:val="24"/>
              </w:rPr>
            </w:pPr>
            <w:r>
              <w:rPr>
                <w:rFonts w:eastAsia="宋体"/>
                <w:color w:val="000000"/>
                <w:kern w:val="0"/>
                <w:sz w:val="24"/>
              </w:rPr>
              <w:t>年度绩效</w:t>
            </w:r>
          </w:p>
          <w:p>
            <w:pPr>
              <w:widowControl/>
              <w:spacing w:line="300" w:lineRule="exact"/>
              <w:jc w:val="center"/>
              <w:textAlignment w:val="center"/>
              <w:rPr>
                <w:rFonts w:eastAsia="宋体"/>
                <w:color w:val="000000"/>
                <w:sz w:val="24"/>
              </w:rPr>
            </w:pPr>
            <w:r>
              <w:rPr>
                <w:rFonts w:eastAsia="宋体"/>
                <w:color w:val="000000"/>
                <w:kern w:val="0"/>
                <w:sz w:val="24"/>
              </w:rPr>
              <w:t>指标</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rPr>
              <w:t>一级指标</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rPr>
              <w:t>二级指标</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rPr>
              <w:t>三级指标</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kern w:val="0"/>
                <w:sz w:val="24"/>
              </w:rPr>
            </w:pPr>
            <w:r>
              <w:rPr>
                <w:rFonts w:eastAsia="宋体"/>
                <w:color w:val="000000"/>
                <w:kern w:val="0"/>
                <w:sz w:val="24"/>
              </w:rPr>
              <w:t>绩效指标</w:t>
            </w:r>
          </w:p>
          <w:p>
            <w:pPr>
              <w:widowControl/>
              <w:spacing w:line="300" w:lineRule="exact"/>
              <w:jc w:val="center"/>
              <w:textAlignment w:val="center"/>
              <w:rPr>
                <w:rFonts w:eastAsia="宋体"/>
                <w:color w:val="000000"/>
                <w:sz w:val="24"/>
              </w:rPr>
            </w:pPr>
            <w:r>
              <w:rPr>
                <w:rFonts w:eastAsia="宋体"/>
                <w:color w:val="000000"/>
                <w:kern w:val="0"/>
                <w:sz w:val="24"/>
              </w:rPr>
              <w:t>性质</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rPr>
              <w:t>绩效指标值</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rPr>
              <w:t>绩效度量单位</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kern w:val="0"/>
                <w:sz w:val="24"/>
              </w:rPr>
            </w:pPr>
            <w:r>
              <w:rPr>
                <w:rFonts w:eastAsia="宋体"/>
                <w:color w:val="000000"/>
                <w:kern w:val="0"/>
                <w:sz w:val="24"/>
              </w:rPr>
              <w:t>实际完成</w:t>
            </w:r>
          </w:p>
          <w:p>
            <w:pPr>
              <w:widowControl/>
              <w:spacing w:line="300" w:lineRule="exact"/>
              <w:jc w:val="center"/>
              <w:textAlignment w:val="center"/>
              <w:rPr>
                <w:rFonts w:eastAsia="宋体"/>
                <w:color w:val="000000"/>
                <w:sz w:val="24"/>
              </w:rPr>
            </w:pPr>
            <w:r>
              <w:rPr>
                <w:rFonts w:eastAsia="宋体"/>
                <w:color w:val="000000"/>
                <w:kern w:val="0"/>
                <w:sz w:val="24"/>
              </w:rPr>
              <w:t>指标值</w:t>
            </w:r>
          </w:p>
        </w:tc>
      </w:tr>
      <w:tr>
        <w:trPr>
          <w:trHeight w:val="23"/>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rPr>
              <w:t>产出指标</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rPr>
              <w:t>数量指标</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保障职工（含聘用人员）正常办公</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left"/>
              <w:textAlignment w:val="center"/>
              <w:rPr>
                <w:rFonts w:ascii="宋体" w:eastAsia="宋体"/>
                <w:color w:val="000000"/>
                <w:sz w:val="24"/>
              </w:rPr>
            </w:pPr>
            <w:r>
              <w:rPr>
                <w:rFonts w:ascii="宋体" w:eastAsia="宋体" w:hint="eastAsia"/>
                <w:color w:val="000000"/>
                <w:sz w:val="20"/>
                <w:szCs w:val="20"/>
              </w:rPr>
              <w:t>≥</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25</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ascii="宋体" w:eastAsia="宋体"/>
                <w:color w:val="000000"/>
                <w:sz w:val="24"/>
              </w:rPr>
            </w:pPr>
            <w:r>
              <w:rPr>
                <w:rFonts w:ascii="宋体" w:eastAsia="宋体" w:hint="eastAsia"/>
                <w:color w:val="000000"/>
                <w:kern w:val="0"/>
                <w:sz w:val="24"/>
              </w:rPr>
              <w:t>人</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ascii="宋体" w:eastAsia="宋体"/>
                <w:color w:val="000000"/>
                <w:sz w:val="24"/>
              </w:rPr>
            </w:pPr>
            <w:r>
              <w:rPr>
                <w:rFonts w:ascii="宋体" w:eastAsia="宋体" w:hint="eastAsia"/>
                <w:color w:val="000000"/>
                <w:kern w:val="0"/>
                <w:sz w:val="24"/>
              </w:rPr>
              <w:t>28</w:t>
            </w:r>
          </w:p>
        </w:tc>
      </w:tr>
      <w:tr>
        <w:trPr>
          <w:trHeight w:val="23"/>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医保法制宣传和培训</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left"/>
              <w:rPr>
                <w:rFonts w:ascii="宋体" w:eastAsia="宋体"/>
                <w:color w:val="000000"/>
                <w:sz w:val="24"/>
              </w:rPr>
            </w:pPr>
            <w:r>
              <w:rPr>
                <w:rFonts w:ascii="宋体" w:eastAsia="宋体" w:hint="eastAsia"/>
                <w:color w:val="000000"/>
                <w:sz w:val="20"/>
                <w:szCs w:val="20"/>
              </w:rPr>
              <w:t>≥</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2</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rPr>
                <w:rFonts w:ascii="宋体" w:eastAsia="宋体"/>
                <w:color w:val="000000"/>
                <w:sz w:val="24"/>
              </w:rPr>
            </w:pPr>
            <w:r>
              <w:rPr>
                <w:rFonts w:ascii="宋体" w:eastAsia="宋体"/>
                <w:color w:val="000000"/>
                <w:sz w:val="24"/>
              </w:rPr>
              <w:t>次</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rPr>
                <w:rFonts w:ascii="宋体" w:eastAsia="宋体"/>
                <w:color w:val="000000"/>
                <w:sz w:val="24"/>
              </w:rPr>
            </w:pPr>
            <w:r>
              <w:rPr>
                <w:rFonts w:ascii="宋体" w:eastAsia="宋体" w:hint="eastAsia"/>
                <w:color w:val="000000"/>
                <w:sz w:val="24"/>
              </w:rPr>
              <w:t>2</w:t>
            </w:r>
          </w:p>
        </w:tc>
      </w:tr>
      <w:tr>
        <w:trPr>
          <w:trHeight w:val="23"/>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定点医药机构监管数量</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left"/>
              <w:rPr>
                <w:rFonts w:ascii="宋体" w:eastAsia="宋体"/>
                <w:color w:val="000000"/>
                <w:sz w:val="24"/>
              </w:rPr>
            </w:pPr>
            <w:r>
              <w:rPr>
                <w:rFonts w:ascii="宋体" w:eastAsia="宋体" w:hint="eastAsia"/>
                <w:color w:val="000000"/>
                <w:sz w:val="20"/>
                <w:szCs w:val="20"/>
              </w:rPr>
              <w:t>≥</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704</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rPr>
                <w:rFonts w:ascii="宋体" w:eastAsia="宋体"/>
                <w:color w:val="000000"/>
                <w:sz w:val="24"/>
              </w:rPr>
            </w:pPr>
            <w:r>
              <w:rPr>
                <w:rFonts w:ascii="宋体" w:eastAsia="宋体"/>
                <w:color w:val="000000"/>
                <w:sz w:val="24"/>
              </w:rPr>
              <w:t>家</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rPr>
                <w:rFonts w:ascii="宋体" w:eastAsia="宋体"/>
                <w:color w:val="000000"/>
                <w:sz w:val="24"/>
              </w:rPr>
            </w:pPr>
            <w:r>
              <w:rPr>
                <w:rFonts w:ascii="宋体" w:eastAsia="宋体" w:hint="eastAsia"/>
                <w:color w:val="000000"/>
                <w:sz w:val="24"/>
              </w:rPr>
              <w:t>735</w:t>
            </w:r>
          </w:p>
        </w:tc>
      </w:tr>
      <w:tr>
        <w:trPr>
          <w:trHeight w:val="23"/>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3" w:type="dxa"/>
            <w:vMerge w:val="restart"/>
            <w:tcBorders>
              <w:top w:val="single" w:sz="4" w:space="0" w:color="000000"/>
              <w:left w:val="single" w:sz="4" w:space="0" w:color="000000"/>
              <w:right w:val="single" w:sz="4" w:space="0" w:color="000000"/>
            </w:tcBorders>
            <w:shd w:val="clear" w:color="auto" w:fill="auto"/>
            <w:vAlign w:val="center"/>
          </w:tcPr>
          <w:p>
            <w:pPr>
              <w:spacing w:line="300" w:lineRule="exact"/>
              <w:jc w:val="center"/>
              <w:textAlignment w:val="center"/>
              <w:rPr>
                <w:rFonts w:eastAsia="宋体"/>
                <w:color w:val="000000"/>
                <w:kern w:val="0"/>
                <w:sz w:val="24"/>
              </w:rPr>
            </w:pPr>
            <w:r>
              <w:rPr>
                <w:rFonts w:eastAsia="宋体"/>
                <w:color w:val="000000"/>
                <w:kern w:val="0"/>
                <w:sz w:val="24"/>
              </w:rPr>
              <w:t>质量指标</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日常开支</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left"/>
              <w:rPr>
                <w:rFonts w:ascii="宋体" w:eastAsia="宋体"/>
                <w:color w:val="000000"/>
                <w:sz w:val="24"/>
              </w:rPr>
            </w:pPr>
            <w:r>
              <w:rPr>
                <w:rFonts w:ascii="宋体" w:eastAsia="宋体"/>
                <w:color w:val="000000"/>
                <w:sz w:val="24"/>
              </w:rPr>
              <w:t>定性</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保障正常运转</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rPr>
                <w:rFonts w:ascii="宋体" w:eastAsia="宋体"/>
                <w:color w:val="000000"/>
                <w:sz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rPr>
                <w:rFonts w:ascii="宋体" w:eastAsia="宋体"/>
                <w:color w:val="000000"/>
                <w:sz w:val="24"/>
              </w:rPr>
            </w:pPr>
            <w:r>
              <w:rPr>
                <w:rFonts w:ascii="宋体" w:eastAsia="宋体" w:hint="eastAsia"/>
                <w:color w:val="000000"/>
                <w:sz w:val="20"/>
                <w:szCs w:val="20"/>
              </w:rPr>
              <w:t>正常运转</w:t>
            </w:r>
          </w:p>
        </w:tc>
      </w:tr>
      <w:tr>
        <w:trPr>
          <w:trHeight w:val="23"/>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3" w:type="dxa"/>
            <w:vMerge/>
            <w:tcBorders>
              <w:left w:val="single" w:sz="4" w:space="0" w:color="000000"/>
              <w:right w:val="single" w:sz="4" w:space="0" w:color="000000"/>
            </w:tcBorders>
            <w:shd w:val="clear" w:color="auto" w:fill="auto"/>
            <w:vAlign w:val="center"/>
          </w:tc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医保法制宣传和培训</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left"/>
              <w:rPr>
                <w:rFonts w:ascii="宋体" w:eastAsia="宋体"/>
                <w:color w:val="000000"/>
                <w:sz w:val="24"/>
              </w:rPr>
            </w:pPr>
            <w:r>
              <w:rPr>
                <w:rFonts w:ascii="宋体" w:eastAsia="宋体"/>
                <w:color w:val="000000"/>
                <w:sz w:val="24"/>
              </w:rPr>
              <w:t>定性</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提高依法行政能力</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rPr>
                <w:rFonts w:ascii="宋体" w:eastAsia="宋体"/>
                <w:color w:val="000000"/>
                <w:sz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rPr>
                <w:rFonts w:ascii="宋体" w:eastAsia="宋体"/>
                <w:color w:val="000000"/>
                <w:sz w:val="24"/>
              </w:rPr>
            </w:pPr>
            <w:r>
              <w:rPr>
                <w:rFonts w:ascii="宋体" w:eastAsia="宋体" w:hint="eastAsia"/>
                <w:color w:val="000000"/>
                <w:sz w:val="20"/>
                <w:szCs w:val="20"/>
              </w:rPr>
              <w:t>依法行政能力有所提高</w:t>
            </w:r>
          </w:p>
        </w:tc>
      </w:tr>
      <w:tr>
        <w:trPr>
          <w:trHeight w:val="23"/>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3" w:type="dxa"/>
            <w:vMerge/>
            <w:tcBorders>
              <w:left w:val="single" w:sz="4" w:space="0" w:color="000000"/>
              <w:bottom w:val="single" w:sz="4" w:space="0" w:color="000000"/>
              <w:right w:val="single" w:sz="4" w:space="0" w:color="000000"/>
            </w:tcBorders>
            <w:shd w:val="clear" w:color="auto" w:fill="auto"/>
            <w:vAlign w:val="center"/>
          </w:tc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定点医药机构监管</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left"/>
              <w:rPr>
                <w:rFonts w:ascii="宋体" w:eastAsia="宋体"/>
                <w:color w:val="000000"/>
                <w:sz w:val="24"/>
              </w:rPr>
            </w:pPr>
            <w:r>
              <w:rPr>
                <w:rFonts w:ascii="宋体" w:eastAsia="宋体"/>
                <w:color w:val="000000"/>
                <w:sz w:val="24"/>
              </w:rPr>
              <w:t>定性</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规范医疗服务行为</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rPr>
                <w:rFonts w:ascii="宋体" w:eastAsia="宋体"/>
                <w:color w:val="000000"/>
                <w:sz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rPr>
                <w:rFonts w:ascii="宋体" w:eastAsia="宋体"/>
                <w:color w:val="000000"/>
                <w:sz w:val="24"/>
              </w:rPr>
            </w:pPr>
            <w:r>
              <w:rPr>
                <w:rFonts w:ascii="宋体" w:eastAsia="宋体" w:hint="eastAsia"/>
                <w:color w:val="000000"/>
                <w:sz w:val="20"/>
                <w:szCs w:val="20"/>
              </w:rPr>
              <w:t>医疗服务行为得到规范</w:t>
            </w:r>
          </w:p>
        </w:tc>
      </w:tr>
      <w:tr>
        <w:trPr>
          <w:trHeight w:val="23"/>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rPr>
              <w:t>时效指标</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完成时效</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left"/>
              <w:rPr>
                <w:rFonts w:ascii="宋体" w:eastAsia="宋体"/>
                <w:color w:val="000000"/>
                <w:sz w:val="24"/>
              </w:rPr>
            </w:pPr>
            <w:r>
              <w:rPr>
                <w:rFonts w:ascii="宋体" w:eastAsia="宋体" w:hint="eastAsia"/>
                <w:color w:val="000000"/>
                <w:sz w:val="24"/>
              </w:rPr>
              <w:t>=</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2024</w:t>
            </w:r>
            <w:r>
              <w:rPr>
                <w:rFonts w:ascii="宋体" w:eastAsia="宋体" w:cs="宋体"/>
                <w:color w:val="000000"/>
                <w:sz w:val="20"/>
                <w:szCs w:val="20"/>
              </w:rPr>
              <w:t xml:space="preserve"> </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rPr>
                <w:rFonts w:ascii="宋体" w:eastAsia="宋体"/>
                <w:color w:val="000000"/>
                <w:sz w:val="24"/>
              </w:rPr>
            </w:pPr>
            <w:r>
              <w:rPr>
                <w:rFonts w:ascii="宋体" w:eastAsia="宋体"/>
                <w:color w:val="000000"/>
                <w:sz w:val="24"/>
              </w:rPr>
              <w:t>年</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rPr>
                <w:rFonts w:ascii="宋体" w:eastAsia="宋体"/>
                <w:color w:val="000000"/>
                <w:sz w:val="24"/>
              </w:rPr>
            </w:pPr>
            <w:r>
              <w:rPr>
                <w:rFonts w:ascii="宋体" w:eastAsia="宋体" w:hint="eastAsia"/>
                <w:color w:val="000000"/>
                <w:sz w:val="24"/>
              </w:rPr>
              <w:t>2024</w:t>
            </w:r>
          </w:p>
        </w:tc>
      </w:tr>
      <w:tr>
        <w:trPr>
          <w:trHeight w:val="23"/>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kern w:val="0"/>
                <w:sz w:val="24"/>
              </w:rPr>
            </w:pPr>
            <w:r>
              <w:rPr>
                <w:rFonts w:eastAsia="宋体" w:hint="eastAsia"/>
                <w:color w:val="000000"/>
                <w:kern w:val="0"/>
                <w:sz w:val="24"/>
              </w:rPr>
              <w:t>经济成本指标</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预算控制数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left"/>
              <w:rPr>
                <w:rFonts w:ascii="宋体" w:eastAsia="宋体"/>
                <w:color w:val="000000"/>
                <w:sz w:val="24"/>
              </w:rPr>
            </w:pPr>
            <w:r>
              <w:rPr>
                <w:rFonts w:ascii="宋体" w:eastAsia="宋体" w:hint="eastAsia"/>
                <w:color w:val="000000"/>
                <w:sz w:val="24"/>
              </w:rPr>
              <w:t>≤</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541.87</w:t>
            </w:r>
            <w:r>
              <w:rPr>
                <w:rFonts w:ascii="宋体" w:eastAsia="宋体" w:cs="宋体"/>
                <w:color w:val="000000"/>
                <w:sz w:val="20"/>
                <w:szCs w:val="20"/>
              </w:rPr>
              <w:t xml:space="preserve"> </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rPr>
                <w:rFonts w:ascii="宋体" w:eastAsia="宋体"/>
                <w:color w:val="000000"/>
                <w:sz w:val="24"/>
              </w:rPr>
            </w:pPr>
            <w:r>
              <w:rPr>
                <w:rFonts w:ascii="宋体" w:eastAsia="宋体"/>
                <w:color w:val="000000"/>
                <w:sz w:val="24"/>
              </w:rPr>
              <w:t>万元</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rPr>
                <w:rFonts w:ascii="宋体" w:eastAsia="宋体"/>
                <w:color w:val="000000"/>
                <w:sz w:val="24"/>
              </w:rPr>
            </w:pPr>
            <w:r>
              <w:rPr>
                <w:rFonts w:ascii="宋体" w:eastAsia="宋体" w:hint="eastAsia"/>
                <w:color w:val="000000"/>
                <w:sz w:val="24"/>
              </w:rPr>
              <w:t>974.39</w:t>
            </w:r>
            <w:r>
              <w:rPr>
                <w:rFonts w:ascii="宋体" w:eastAsia="宋体"/>
                <w:color w:val="000000"/>
                <w:sz w:val="24"/>
              </w:rPr>
              <w:t xml:space="preserve"> </w:t>
            </w:r>
          </w:p>
        </w:tc>
      </w:tr>
      <w:tr>
        <w:trPr>
          <w:trHeight w:val="23"/>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rPr>
              <w:t>效益指标</w:t>
            </w:r>
          </w:p>
        </w:tc>
        <w:tc>
          <w:tcPr>
            <w:tcW w:w="1273" w:type="dxa"/>
            <w:tcBorders>
              <w:top w:val="single" w:sz="4" w:space="0" w:color="000000"/>
              <w:left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kern w:val="0"/>
                <w:sz w:val="24"/>
              </w:rPr>
            </w:pPr>
            <w:r>
              <w:rPr>
                <w:rFonts w:eastAsia="宋体"/>
                <w:color w:val="000000"/>
                <w:kern w:val="0"/>
                <w:sz w:val="24"/>
              </w:rPr>
              <w:t>社会效益</w:t>
            </w:r>
          </w:p>
          <w:p>
            <w:pPr>
              <w:widowControl/>
              <w:spacing w:line="300" w:lineRule="exact"/>
              <w:jc w:val="center"/>
              <w:textAlignment w:val="center"/>
              <w:rPr>
                <w:rFonts w:eastAsia="宋体"/>
                <w:color w:val="000000"/>
                <w:sz w:val="24"/>
              </w:rPr>
            </w:pPr>
            <w:r>
              <w:rPr>
                <w:rFonts w:eastAsia="宋体"/>
                <w:color w:val="000000"/>
                <w:kern w:val="0"/>
                <w:sz w:val="24"/>
              </w:rPr>
              <w:t>指标</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服务参保人群</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left"/>
              <w:rPr>
                <w:rFonts w:ascii="宋体" w:eastAsia="宋体"/>
                <w:color w:val="000000"/>
                <w:sz w:val="24"/>
              </w:rPr>
            </w:pPr>
            <w:r>
              <w:rPr>
                <w:rFonts w:ascii="宋体" w:eastAsia="宋体"/>
                <w:color w:val="000000"/>
                <w:sz w:val="24"/>
              </w:rPr>
              <w:t>定性</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优质、高效</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rPr>
                <w:rFonts w:ascii="宋体" w:eastAsia="宋体"/>
                <w:color w:val="000000"/>
                <w:sz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rPr>
                <w:rFonts w:ascii="宋体" w:eastAsia="宋体"/>
                <w:color w:val="000000"/>
                <w:sz w:val="24"/>
              </w:rPr>
            </w:pPr>
            <w:r>
              <w:rPr>
                <w:rFonts w:ascii="宋体" w:eastAsia="宋体"/>
                <w:color w:val="000000"/>
                <w:sz w:val="24"/>
              </w:rPr>
              <w:t>优质、高效</w:t>
            </w:r>
          </w:p>
        </w:tc>
      </w:tr>
      <w:tr>
        <w:trPr>
          <w:trHeight w:val="439"/>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kern w:val="0"/>
                <w:sz w:val="24"/>
              </w:rPr>
            </w:pPr>
            <w:r>
              <w:rPr>
                <w:rFonts w:eastAsia="宋体" w:hint="eastAsia"/>
                <w:color w:val="000000"/>
                <w:kern w:val="0"/>
                <w:sz w:val="24"/>
              </w:rPr>
              <w:t>可持续影响指标</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医保</w:t>
            </w:r>
            <w:r>
              <w:rPr>
                <w:rFonts w:ascii="宋体" w:eastAsia="宋体"/>
                <w:color w:val="000000"/>
                <w:sz w:val="20"/>
                <w:szCs w:val="20"/>
              </w:rPr>
              <w:t>法治</w:t>
            </w:r>
            <w:bookmarkStart w:id="0" w:name="_GoBack"/>
            <w:bookmarkEnd w:id="0"/>
            <w:r>
              <w:rPr>
                <w:rFonts w:ascii="宋体" w:eastAsia="宋体" w:hint="eastAsia"/>
                <w:color w:val="000000"/>
                <w:sz w:val="20"/>
                <w:szCs w:val="20"/>
              </w:rPr>
              <w:t>建设</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left"/>
              <w:rPr>
                <w:rFonts w:ascii="宋体" w:eastAsia="宋体"/>
                <w:color w:val="000000"/>
                <w:sz w:val="24"/>
              </w:rPr>
            </w:pPr>
            <w:r>
              <w:rPr>
                <w:rFonts w:ascii="宋体" w:eastAsia="宋体"/>
                <w:color w:val="000000"/>
                <w:sz w:val="24"/>
              </w:rPr>
              <w:t>定性</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有效促进</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rPr>
                <w:rFonts w:ascii="宋体" w:eastAsia="宋体"/>
                <w:color w:val="000000"/>
                <w:sz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rPr>
                <w:rFonts w:ascii="宋体" w:eastAsia="宋体"/>
                <w:color w:val="000000"/>
                <w:sz w:val="24"/>
              </w:rPr>
            </w:pPr>
            <w:r>
              <w:rPr>
                <w:rFonts w:ascii="宋体" w:eastAsia="宋体"/>
                <w:color w:val="000000"/>
                <w:sz w:val="24"/>
              </w:rPr>
              <w:t>有效促进</w:t>
            </w:r>
          </w:p>
        </w:tc>
      </w:tr>
      <w:tr>
        <w:trPr>
          <w:trHeight w:val="23"/>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r>
              <w:rPr>
                <w:rFonts w:eastAsia="宋体" w:hint="eastAsia"/>
                <w:color w:val="000000"/>
                <w:kern w:val="0"/>
                <w:sz w:val="24"/>
              </w:rPr>
              <w:t>可持续影响指标</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基金监管能力</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left"/>
              <w:rPr>
                <w:rFonts w:ascii="宋体" w:eastAsia="宋体"/>
                <w:color w:val="000000"/>
                <w:sz w:val="24"/>
              </w:rPr>
            </w:pPr>
            <w:r>
              <w:rPr>
                <w:rFonts w:ascii="宋体" w:eastAsia="宋体"/>
                <w:color w:val="000000"/>
                <w:sz w:val="24"/>
              </w:rPr>
              <w:t>定性</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有所提升</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rPr>
                <w:rFonts w:ascii="宋体" w:eastAsia="宋体"/>
                <w:color w:val="000000"/>
                <w:sz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rPr>
                <w:rFonts w:ascii="宋体" w:eastAsia="宋体"/>
                <w:color w:val="000000"/>
                <w:sz w:val="24"/>
              </w:rPr>
            </w:pPr>
            <w:r>
              <w:rPr>
                <w:rFonts w:ascii="宋体" w:eastAsia="宋体"/>
                <w:color w:val="000000"/>
                <w:sz w:val="24"/>
              </w:rPr>
              <w:t>有所提升</w:t>
            </w:r>
          </w:p>
        </w:tc>
      </w:tr>
      <w:tr>
        <w:trPr>
          <w:trHeight w:val="23"/>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rPr>
              <w:t>满意度指标</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rPr>
              <w:t>满意度指标</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医疗保险参保人员满意度</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left"/>
              <w:rPr>
                <w:rFonts w:ascii="宋体" w:eastAsia="宋体"/>
                <w:color w:val="000000"/>
                <w:sz w:val="24"/>
              </w:rPr>
            </w:pPr>
            <w:r>
              <w:rPr>
                <w:rFonts w:ascii="宋体" w:eastAsia="宋体" w:hint="eastAsia"/>
                <w:color w:val="000000"/>
                <w:sz w:val="20"/>
                <w:szCs w:val="20"/>
              </w:rPr>
              <w:t>≥</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color w:val="000000"/>
                <w:sz w:val="20"/>
                <w:szCs w:val="20"/>
              </w:rPr>
            </w:pPr>
            <w:r>
              <w:rPr>
                <w:rFonts w:ascii="宋体" w:eastAsia="宋体" w:hint="eastAsia"/>
                <w:color w:val="000000"/>
                <w:sz w:val="20"/>
                <w:szCs w:val="20"/>
              </w:rPr>
              <w:t>80</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rPr>
                <w:rFonts w:ascii="宋体" w:eastAsia="宋体"/>
                <w:color w:val="000000"/>
                <w:sz w:val="24"/>
              </w:rPr>
            </w:pPr>
            <w:r>
              <w:rPr>
                <w:rFonts w:ascii="宋体" w:eastAsia="宋体" w:hint="eastAsia"/>
                <w:color w:val="000000"/>
                <w:sz w:val="24"/>
              </w:rPr>
              <w:t>%</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rPr>
                <w:rFonts w:ascii="宋体" w:eastAsia="宋体"/>
                <w:color w:val="000000"/>
                <w:sz w:val="24"/>
              </w:rPr>
            </w:pPr>
            <w:r>
              <w:rPr>
                <w:rFonts w:ascii="宋体" w:eastAsia="宋体" w:hint="eastAsia"/>
                <w:color w:val="000000"/>
                <w:sz w:val="24"/>
              </w:rPr>
              <w:t>100</w:t>
            </w:r>
          </w:p>
        </w:tc>
      </w:tr>
    </w:tbl>
    <w:p>
      <w:pPr>
        <w:rPr>
          <w:rFonts w:eastAsia="黑体"/>
          <w:sz w:val="24"/>
        </w:rPr>
      </w:pPr>
    </w:p>
    <w:sectPr>
      <w:headerReference w:type="default" r:id="rId2"/>
      <w:footerReference w:type="default" r:id="rId3"/>
      <w:pgSz w:w="11906" w:h="16838"/>
      <w:pgMar w:top="2098" w:right="1474" w:bottom="1984" w:left="1587" w:header="851" w:footer="992" w:gutter="0"/>
      <w:pgNumType w:fmt="numberInDash"/>
      <w:cols w:num="1" w:space="425"/>
      <w:docGrid w:type="lines" w:linePitch="435"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楷体_GB2312">
    <w:panose1 w:val="02010609030101010101"/>
    <w:charset w:val="86"/>
    <w:family w:val="modern"/>
    <w:pitch w:val="variable"/>
    <w:sig w:usb0="00000001" w:usb1="080E0000" w:usb2="00000010" w:usb3="00000000" w:csb0="00040000" w:csb1="00000000"/>
  </w:font>
  <w:font w:name="方正楷体简体">
    <w:altName w:val="微软雅黑"/>
    <w:panose1 w:val="03000509000000000000"/>
    <w:charset w:val="86"/>
    <w:family w:val="script"/>
    <w:pitch w:val="variable"/>
    <w:sig w:usb0="00000000" w:usb1="080E0000" w:usb2="00000010" w:usb3="00000000" w:csb0="00040000" w:csb1="00000000"/>
  </w:font>
  <w:font w:name="方正小标宋简体">
    <w:altName w:val="Arial Unicode MS"/>
    <w:panose1 w:val="03000509000000000000"/>
    <w:charset w:val="86"/>
    <w:family w:val="script"/>
    <w:pitch w:val="variable"/>
    <w:sig w:usb0="00000000" w:usb1="080E0000" w:usb2="00000010" w:usb3="00000000" w:csb0="00040000" w:csb1="00000000"/>
  </w:font>
  <w:font w:name="Lucida Sans">
    <w:panose1 w:val="020B0602030504020204"/>
    <w:charset w:val="00"/>
    <w:family w:val="auto"/>
    <w:pitch w:val="variable"/>
    <w:sig w:usb0="00000003" w:usb1="00000000" w:usb2="00000000" w:usb3="00000000" w:csb0="2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variable"/>
    <w:sig w:usb0="800002BF" w:usb1="38CF7CFA" w:usb2="00000016" w:usb3="00000000" w:csb0="00040001" w:csb1="00000000"/>
  </w:font>
  <w:font w:name="??">
    <w:altName w:val="Times New Roman"/>
    <w:panose1 w:val="00000000000000000000"/>
    <w:charset w:val="00"/>
    <w:family w:val="roman"/>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4090202050904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819911" cy="464134"/>
              <wp:effectExtent l="0" t="0" r="0" b="0"/>
              <wp:wrapNone/>
              <wp:docPr id="1" name="文本框 2"/>
              <wp:cNvGraphicFramePr>
                <a:graphicFrameLocks noChangeAspect="0"/>
              </wp:cNvGraphicFramePr>
              <a:graphic>
                <a:graphicData uri="http://schemas.microsoft.com/office/word/2010/wordprocessingShape">
                  <wps:wsp>
                    <wps:cNvSpPr/>
                    <wps:spPr>
                      <a:xfrm rot="0">
                        <a:off x="0" y="0"/>
                        <a:ext cx="819911" cy="464134"/>
                      </a:xfrm>
                      <a:prstGeom prst="rect"/>
                      <a:noFill/>
                      <a:ln w="9525" cmpd="sng" cap="flat">
                        <a:noFill/>
                        <a:prstDash val="solid"/>
                        <a:miter/>
                      </a:ln>
                    </wps:spPr>
                    <wps:txbx id="2">
                      <w:txbxContent>
                        <w:p>
                          <w:pPr>
                            <w:pStyle w:val="21"/>
                            <w:tabs>
                              <w:tab w:val="center" w:pos="4153"/>
                              <w:tab w:val="right" w:pos="8306"/>
                            </w:tabs>
                            <w:ind w:rightChars="141" w:right="451"/>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- 6 -</w:t>
                          </w:r>
                          <w:r>
                            <w:rPr>
                              <w:rFonts w:ascii="宋体" w:hAnsi="宋体"/>
                              <w:sz w:val="28"/>
                              <w:szCs w:val="28"/>
                            </w:rPr>
                            <w:fldChar w:fldCharType="end"/>
                          </w:r>
                        </w:p>
                        <w:p/>
                      </w:txbxContent>
                    </wps:txbx>
                    <wps:bodyPr vert="horz" wrap="none" lIns="0" tIns="0" rIns="0" bIns="0" anchor="t" anchorCtr="0" upright="1">
                      <a:spAutoFit/>
                    </wps:bodyPr>
                  </wps:wsp>
                </a:graphicData>
              </a:graphic>
            </wp:anchor>
          </w:drawing>
        </mc:Choice>
        <mc:Fallback>
          <w:pict>
            <v:shape type="#_x0000_t202" id="文本框 2 3" o:spid="_x0000_s3" filled="f" stroked="f" style="position:absolute;margin-left:404.79996pt;margin-top:0.0pt;width:64.55999pt;height:36.546013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1"/>
                      <w:tabs>
                        <w:tab w:val="center" w:pos="4153"/>
                        <w:tab w:val="right" w:pos="8306"/>
                      </w:tabs>
                      <w:ind w:rightChars="141" w:right="451"/>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- 6 -</w:t>
                    </w:r>
                    <w:r>
                      <w:rPr>
                        <w:rFonts w:ascii="宋体" w:hAnsi="宋体"/>
                        <w:sz w:val="28"/>
                        <w:szCs w:val="28"/>
                      </w:rPr>
                      <w:fldChar w:fldCharType="end"/>
                    </w:r>
                  </w:p>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bordersDoNotSurroundHeader/>
  <w:bordersDoNotSurroundFooter/>
  <w:defaultTabStop w:val="420"/>
  <w:drawingGridHorizontalSpacing w:val="160"/>
  <w:drawingGridVerticalSpacing w:val="435"/>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仿宋_GB2312" w:cs="Times New Roman" w:hAnsi="Times New Roman"/>
      <w:kern w:val="2"/>
      <w:sz w:val="32"/>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标题 5（有编号）（绿盟科技）"/>
    <w:next w:val="0"/>
    <w:pPr>
      <w:keepNext/>
      <w:keepLines/>
      <w:widowControl w:val="0"/>
      <w:spacing w:before="280" w:after="156" w:line="377" w:lineRule="auto"/>
      <w:outlineLvl w:val="4"/>
    </w:pPr>
    <w:rPr>
      <w:rFonts w:ascii="Arial" w:eastAsia="黑体" w:cs="Times New Roman" w:hAnsi="Arial"/>
      <w:b/>
      <w:kern w:val="2"/>
      <w:sz w:val="24"/>
      <w:szCs w:val="28"/>
      <w:lang w:val="en-US" w:eastAsia="zh-CN" w:bidi="ar-SA"/>
    </w:rPr>
  </w:style>
  <w:style w:type="paragraph" w:styleId="16">
    <w:name w:val="Normal Indent"/>
    <w:basedOn w:val="0"/>
    <w:next w:val="0"/>
    <w:pPr>
      <w:spacing w:beforeLines="50" w:before="50" w:line="360" w:lineRule="auto"/>
      <w:ind w:firstLineChars="200" w:firstLine="200"/>
    </w:pPr>
    <w:rPr>
      <w:rFonts w:eastAsia="仿宋"/>
      <w:sz w:val="24"/>
      <w:szCs w:val="23"/>
      <w:lang w:eastAsia="ar-SA"/>
    </w:rPr>
  </w:style>
  <w:style w:type="paragraph" w:styleId="17">
    <w:name w:val="Document Map"/>
    <w:basedOn w:val="0"/>
    <w:rPr>
      <w:rFonts w:ascii="宋体" w:eastAsia="宋体"/>
      <w:sz w:val="18"/>
      <w:szCs w:val="18"/>
    </w:rPr>
  </w:style>
  <w:style w:type="paragraph" w:styleId="18">
    <w:name w:val="Body Text"/>
    <w:basedOn w:val="0"/>
    <w:next w:val="0"/>
    <w:pPr>
      <w:spacing w:after="120"/>
    </w:pPr>
  </w:style>
  <w:style w:type="paragraph" w:styleId="19">
    <w:name w:val="Body Text Indent"/>
    <w:basedOn w:val="0"/>
    <w:pPr>
      <w:spacing w:after="120"/>
      <w:ind w:leftChars="200" w:left="200"/>
    </w:pPr>
    <w:rPr>
      <w:rFonts w:ascii="仿宋_GB2312"/>
      <w:szCs w:val="32"/>
    </w:rPr>
  </w:style>
  <w:style w:type="paragraph" w:styleId="20">
    <w:name w:val="Balloon Text"/>
    <w:basedOn w:val="0"/>
    <w:rPr>
      <w:sz w:val="18"/>
      <w:szCs w:val="18"/>
    </w:rPr>
  </w:style>
  <w:style w:type="paragraph" w:styleId="21">
    <w:name w:val="footer"/>
    <w:basedOn w:val="0"/>
    <w:pPr>
      <w:tabs>
        <w:tab w:val="center" w:pos="4153"/>
        <w:tab w:val="right" w:pos="8306"/>
      </w:tabs>
      <w:snapToGrid w:val="0"/>
      <w:jc w:val="left"/>
    </w:pPr>
    <w:rPr>
      <w:rFonts w:eastAsia="宋体"/>
      <w:sz w:val="18"/>
      <w:szCs w:val="18"/>
    </w:rPr>
  </w:style>
  <w:style w:type="paragraph" w:styleId="22">
    <w:name w:val="header"/>
    <w:basedOn w:val="0"/>
    <w:pPr>
      <w:pBdr>
        <w:bottom w:val="single" w:sz="6" w:space="1" w:color="auto"/>
      </w:pBdr>
      <w:tabs>
        <w:tab w:val="center" w:pos="4153"/>
        <w:tab w:val="right" w:pos="8306"/>
      </w:tabs>
      <w:snapToGrid w:val="0"/>
      <w:jc w:val="center"/>
    </w:pPr>
    <w:rPr>
      <w:rFonts w:eastAsia="宋体"/>
      <w:sz w:val="18"/>
      <w:szCs w:val="18"/>
    </w:rPr>
  </w:style>
  <w:style w:type="paragraph" w:styleId="23">
    <w:name w:val="toc 1"/>
    <w:basedOn w:val="0"/>
    <w:next w:val="0"/>
  </w:style>
  <w:style w:type="paragraph" w:styleId="24">
    <w:name w:val="Body Text First Indent 2"/>
    <w:basedOn w:val="19"/>
    <w:pPr>
      <w:ind w:firstLineChars="200" w:firstLine="200"/>
    </w:pPr>
  </w:style>
  <w:style w:type="character" w:styleId="25">
    <w:name w:val="page number"/>
    <w:basedOn w:val="10"/>
  </w:style>
  <w:style w:type="paragraph" w:customStyle="1" w:styleId="26">
    <w:name w:val="四号正文"/>
    <w:basedOn w:val="0"/>
    <w:pPr>
      <w:spacing w:line="360" w:lineRule="auto"/>
    </w:pPr>
    <w:rPr>
      <w:rFonts w:ascii="??" w:eastAsia="宋体" w:cs="宋体" w:hAnsi="??"/>
      <w:color w:val="000000"/>
      <w:kern w:val="0"/>
      <w:sz w:val="28"/>
      <w:szCs w:val="21"/>
    </w:rPr>
  </w:style>
  <w:style w:type="paragraph" w:customStyle="1" w:styleId="27">
    <w:name w:val="a"/>
    <w:basedOn w:val="0"/>
    <w:pPr>
      <w:widowControl/>
      <w:spacing w:before="100" w:beforeAutospacing="1" w:after="100" w:afterAutospacing="1"/>
      <w:jc w:val="left"/>
    </w:pPr>
    <w:rPr>
      <w:rFonts w:ascii="宋体" w:eastAsia="宋体" w:cs="宋体" w:hAnsi="宋体"/>
      <w:kern w:val="0"/>
      <w:sz w:val="24"/>
    </w:rPr>
  </w:style>
  <w:style w:type="character" w:customStyle="1" w:styleId="28">
    <w:name w:val="font31"/>
    <w:basedOn w:val="10"/>
    <w:rPr>
      <w:rFonts w:ascii="宋体" w:eastAsia="宋体" w:cs="宋体" w:hAnsi="宋体"/>
      <w:color w:val="000000"/>
      <w:sz w:val="24"/>
      <w:szCs w:val="24"/>
      <w:u w:val="none"/>
    </w:rPr>
  </w:style>
  <w:style w:type="character" w:customStyle="1" w:styleId="29">
    <w:name w:val="font51"/>
    <w:basedOn w:val="10"/>
    <w:rPr>
      <w:rFonts w:ascii="Wingdings 2" w:eastAsia="Wingdings 2" w:cs="Wingdings 2" w:hAnsi="Wingdings 2"/>
      <w:color w:val="000000"/>
      <w:sz w:val="18"/>
      <w:szCs w:val="18"/>
      <w:u w:val="none"/>
    </w:rPr>
  </w:style>
  <w:style w:type="character" w:customStyle="1" w:styleId="30">
    <w:name w:val="font01"/>
    <w:basedOn w:val="10"/>
    <w:rPr>
      <w:rFonts w:ascii="宋体" w:eastAsia="宋体" w:cs="宋体" w:hAnsi="宋体"/>
      <w:color w:val="000000"/>
      <w:sz w:val="18"/>
      <w:szCs w:val="18"/>
      <w:u w:val="none"/>
    </w:rPr>
  </w:style>
  <w:style w:type="character" w:customStyle="1" w:styleId="31">
    <w:name w:val="font41"/>
    <w:basedOn w:val="10"/>
    <w:rPr>
      <w:rFonts w:ascii="宋体" w:eastAsia="宋体" w:cs="宋体" w:hAnsi="宋体"/>
      <w:color w:val="000000"/>
      <w:sz w:val="18"/>
      <w:szCs w:val="18"/>
      <w:u w:val="none"/>
    </w:rPr>
  </w:style>
  <w:style w:type="paragraph" w:styleId="32">
    <w:name w:val="Normal (Web)"/>
    <w:basedOn w:val="0"/>
    <w:pPr>
      <w:widowControl/>
      <w:spacing w:before="100" w:beforeAutospacing="1" w:after="100" w:afterAutospacing="1"/>
      <w:jc w:val="left"/>
    </w:pPr>
    <w:rPr>
      <w:rFonts w:ascii="宋体" w:eastAsia="宋体" w:cs="宋体" w:hAnsi="宋体"/>
      <w:kern w:val="0"/>
      <w:sz w:val="24"/>
    </w:rPr>
  </w:style>
  <w:style w:type="paragraph" w:styleId="33">
    <w:name w:val="List Paragraph"/>
    <w:basedOn w:val="0"/>
    <w:pPr>
      <w:ind w:firstLineChars="200" w:firstLine="200"/>
    </w:pPr>
  </w:style>
  <w:style w:type="paragraph" w:styleId="34">
    <w:name w:val="Plain Text"/>
    <w:basedOn w:val="0"/>
    <w:rPr>
      <w:rFonts w:ascii="宋体" w:eastAsia="宋体" w:hAnsi="Courier New"/>
      <w:sz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3 5 12 0 0 1 0 0 0 3000 0 1 1 1 1"/>
    <sectPr/>
  </customProps>
</customData>
</file>

<file path=customXml/itemProps1.xml><?xml version="1.0" encoding="utf-8"?>
<ds:datastoreItem xmlns:ds="http://schemas.openxmlformats.org/officeDocument/2006/customXml" ds:itemID="{5E53C0BD-D68D-4AC4-8C94-B8F1233764F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345</TotalTime>
  <Application>Yozo_Office27021597764231179</Application>
  <Pages>14</Pages>
  <Words>0</Words>
  <Characters>6084</Characters>
  <Lines>0</Lines>
  <Paragraphs>57</Paragraphs>
  <CharactersWithSpaces>8113</CharactersWithSpaces>
  <Company>PSZX</Company>
</Properties>
</file>

<file path=docProps/core.xml><?xml version="1.0" encoding="utf-8"?>
<cp:coreProperties xmlns:cp="http://schemas.openxmlformats.org/package/2006/metadata/core-properties" xmlns:dc="http://purl.org/dc/elements/1.1/" xmlns:dcterms="http://purl.org/dc/terms/" xmlns:xsi="http://www.w3.org/2001/XMLSchema-instance">
  <dc:title>区域性就业培训基地建设项目</dc:title>
  <dc:creator>陈萍</dc:creator>
  <cp:lastModifiedBy>user</cp:lastModifiedBy>
  <cp:revision>219</cp:revision>
  <cp:lastPrinted>2025-03-04T19:05:00Z</cp:lastPrinted>
  <dcterms:created xsi:type="dcterms:W3CDTF">2025-03-27T08:07:00Z</dcterms:created>
  <dcterms:modified xsi:type="dcterms:W3CDTF">2025-05-26T12:24:54Z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2052-11.8.2.9793</vt:lpwstr>
  </property>
</Properties>
</file>