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rPr>
          <w:rFonts w:eastAsia="方正小标宋_GBK"/>
          <w:color w:val="000000"/>
          <w:sz w:val="44"/>
          <w:szCs w:val="44"/>
        </w:rPr>
      </w:pPr>
      <w:r>
        <w:rPr>
          <w:rFonts w:eastAsia="方正小标宋_GBK"/>
          <w:color w:val="000000"/>
          <w:sz w:val="44"/>
          <w:szCs w:val="44"/>
        </w:rPr>
        <w:t xml:space="preserve"> 攀枝花市医疗保障局</w:t>
      </w:r>
    </w:p>
    <w:p>
      <w:pPr>
        <w:adjustRightInd w:val="0"/>
        <w:snapToGrid w:val="0"/>
        <w:spacing w:line="600" w:lineRule="exact"/>
        <w:jc w:val="center"/>
        <w:rPr>
          <w:rFonts w:eastAsia="方正小标宋_GBK"/>
          <w:color w:val="000000"/>
          <w:sz w:val="44"/>
          <w:szCs w:val="44"/>
        </w:rPr>
      </w:pPr>
      <w:r>
        <w:rPr>
          <w:rFonts w:eastAsia="方正小标宋_GBK" w:hint="eastAsia"/>
          <w:color w:val="000000"/>
          <w:sz w:val="44"/>
          <w:szCs w:val="44"/>
          <w:lang w:val="en-US" w:eastAsia="zh-CN"/>
        </w:rPr>
        <w:t>关于</w:t>
      </w:r>
      <w:r>
        <w:rPr>
          <w:rFonts w:eastAsia="方正小标宋_GBK"/>
          <w:color w:val="000000"/>
          <w:sz w:val="44"/>
          <w:szCs w:val="44"/>
        </w:rPr>
        <w:t>202</w:t>
      </w:r>
      <w:r>
        <w:rPr>
          <w:rFonts w:eastAsia="方正小标宋_GBK" w:hint="eastAsia"/>
          <w:color w:val="000000"/>
          <w:sz w:val="44"/>
          <w:szCs w:val="44"/>
        </w:rPr>
        <w:t>4</w:t>
      </w:r>
      <w:r>
        <w:rPr>
          <w:rFonts w:eastAsia="方正小标宋_GBK"/>
          <w:color w:val="000000"/>
          <w:sz w:val="44"/>
          <w:szCs w:val="44"/>
        </w:rPr>
        <w:t>年</w:t>
      </w:r>
      <w:r>
        <w:rPr>
          <w:rFonts w:eastAsia="方正小标宋_GBK" w:hint="eastAsia"/>
          <w:color w:val="000000"/>
          <w:sz w:val="44"/>
          <w:szCs w:val="44"/>
        </w:rPr>
        <w:t>职工</w:t>
      </w:r>
      <w:r>
        <w:rPr>
          <w:rFonts w:eastAsia="方正小标宋_GBK"/>
          <w:color w:val="000000"/>
          <w:sz w:val="44"/>
          <w:szCs w:val="44"/>
        </w:rPr>
        <w:t>基本医疗保险</w:t>
      </w:r>
      <w:r>
        <w:rPr>
          <w:rFonts w:eastAsia="方正小标宋_GBK" w:hint="eastAsia"/>
          <w:color w:val="000000"/>
          <w:sz w:val="44"/>
          <w:szCs w:val="44"/>
        </w:rPr>
        <w:t>基</w:t>
      </w:r>
      <w:r>
        <w:rPr>
          <w:rFonts w:eastAsia="方正小标宋_GBK"/>
          <w:color w:val="000000"/>
          <w:sz w:val="44"/>
          <w:szCs w:val="44"/>
        </w:rPr>
        <w:t>金</w:t>
      </w:r>
      <w:r>
        <w:rPr>
          <w:rFonts w:eastAsia="方正小标宋_GBK" w:hint="eastAsia"/>
          <w:color w:val="000000"/>
          <w:sz w:val="44"/>
          <w:szCs w:val="44"/>
        </w:rPr>
        <w:t>预算</w:t>
      </w:r>
      <w:r>
        <w:rPr>
          <w:rFonts w:eastAsia="方正小标宋_GBK"/>
          <w:color w:val="000000"/>
          <w:sz w:val="44"/>
          <w:szCs w:val="44"/>
        </w:rPr>
        <w:t>绩效自评报告</w:t>
      </w:r>
    </w:p>
    <w:p>
      <w:pPr>
        <w:adjustRightInd w:val="0"/>
        <w:snapToGrid w:val="0"/>
        <w:spacing w:line="600" w:lineRule="exact"/>
        <w:jc w:val="center"/>
        <w:rPr>
          <w:rFonts w:eastAsia="方正小标宋_GBK"/>
          <w:color w:val="000000"/>
          <w:sz w:val="44"/>
          <w:szCs w:val="44"/>
        </w:rPr>
      </w:pPr>
    </w:p>
    <w:p>
      <w:pPr>
        <w:rPr>
          <w:rFonts w:eastAsia="仿宋_GB2312"/>
          <w:bCs/>
          <w:color w:val="000000"/>
          <w:sz w:val="32"/>
          <w:szCs w:val="32"/>
        </w:rPr>
      </w:pPr>
      <w:r>
        <w:rPr>
          <w:rFonts w:eastAsia="仿宋_GB2312"/>
          <w:bCs/>
          <w:color w:val="000000"/>
          <w:sz w:val="32"/>
          <w:szCs w:val="32"/>
        </w:rPr>
        <w:t>省医保</w:t>
      </w:r>
      <w:r>
        <w:rPr>
          <w:rFonts w:eastAsia="仿宋_GB2312" w:hint="eastAsia"/>
          <w:bCs/>
          <w:color w:val="000000"/>
          <w:sz w:val="32"/>
          <w:szCs w:val="32"/>
          <w:lang w:val="en-US" w:eastAsia="zh-CN"/>
        </w:rPr>
        <w:t>事务中心</w:t>
      </w:r>
      <w:r>
        <w:rPr>
          <w:rFonts w:eastAsia="仿宋_GB2312"/>
          <w:bCs/>
          <w:color w:val="000000"/>
          <w:sz w:val="32"/>
          <w:szCs w:val="32"/>
        </w:rPr>
        <w:t>：</w:t>
      </w:r>
    </w:p>
    <w:p>
      <w:pPr>
        <w:ind w:firstLine="630"/>
        <w:rPr>
          <w:rFonts w:eastAsia="仿宋_GB2312"/>
          <w:bCs/>
          <w:color w:val="000000"/>
          <w:sz w:val="32"/>
          <w:szCs w:val="32"/>
        </w:rPr>
      </w:pPr>
      <w:r>
        <w:rPr>
          <w:rFonts w:eastAsia="仿宋_GB2312"/>
          <w:bCs/>
          <w:color w:val="000000"/>
          <w:sz w:val="32"/>
          <w:szCs w:val="32"/>
        </w:rPr>
        <w:t>根据《</w:t>
      </w:r>
      <w:r>
        <w:rPr>
          <w:rFonts w:eastAsia="仿宋_GB2312" w:hint="eastAsia"/>
          <w:bCs/>
          <w:color w:val="000000"/>
          <w:sz w:val="32"/>
          <w:szCs w:val="32"/>
        </w:rPr>
        <w:t>四川省医疗保障局关于做好2024年度基本医疗保险基金预算绩效评价及2025年绩效运行监控的通知</w:t>
      </w:r>
      <w:r>
        <w:rPr>
          <w:rFonts w:eastAsia="仿宋_GB2312"/>
          <w:bCs/>
          <w:color w:val="000000"/>
          <w:sz w:val="32"/>
          <w:szCs w:val="32"/>
        </w:rPr>
        <w:t>》要求，现将</w:t>
      </w:r>
      <w:r>
        <w:rPr>
          <w:rFonts w:eastAsia="仿宋_GB2312" w:hint="eastAsia"/>
          <w:bCs/>
          <w:color w:val="000000"/>
          <w:sz w:val="32"/>
          <w:szCs w:val="32"/>
        </w:rPr>
        <w:t>攀枝花市2024年职工基本医疗保险基金预算绩效自评</w:t>
      </w:r>
      <w:r>
        <w:rPr>
          <w:rFonts w:eastAsia="仿宋_GB2312"/>
          <w:bCs/>
          <w:color w:val="000000"/>
          <w:sz w:val="32"/>
          <w:szCs w:val="32"/>
        </w:rPr>
        <w:t>有关情况报告如下。</w:t>
      </w:r>
    </w:p>
    <w:p>
      <w:pPr>
        <w:numPr>
          <w:ilvl w:val="0"/>
          <w:numId w:val="1"/>
        </w:numPr>
        <w:spacing w:line="596" w:lineRule="exact"/>
        <w:ind w:left="0" w:firstLineChars="200" w:firstLine="640"/>
        <w:rPr>
          <w:rFonts w:ascii="黑体" w:eastAsia="黑体" w:cs="黑体" w:hAnsi="黑体"/>
          <w:bCs/>
          <w:sz w:val="32"/>
          <w:szCs w:val="32"/>
        </w:rPr>
      </w:pPr>
      <w:r>
        <w:rPr>
          <w:rFonts w:ascii="黑体" w:eastAsia="黑体" w:cs="黑体" w:hAnsi="黑体" w:hint="eastAsia"/>
          <w:bCs/>
          <w:sz w:val="32"/>
          <w:szCs w:val="32"/>
        </w:rPr>
        <w:t>基本情况</w:t>
      </w:r>
    </w:p>
    <w:p>
      <w:pPr>
        <w:spacing w:line="596" w:lineRule="exact"/>
        <w:ind w:firstLineChars="200" w:firstLine="640"/>
        <w:rPr>
          <w:rFonts w:ascii="仿宋_GB2312" w:eastAsia="仿宋_GB2312" w:cs="仿宋_GB2312" w:hAnsi="仿宋_GB2312"/>
          <w:color w:val="000000"/>
          <w:sz w:val="32"/>
          <w:szCs w:val="32"/>
          <w:shd w:val="clear" w:color="auto" w:fill="FFFFFF"/>
        </w:rPr>
      </w:pPr>
      <w:r>
        <w:rPr>
          <w:rFonts w:ascii="仿宋_GB2312" w:eastAsia="仿宋_GB2312" w:cs="仿宋_GB2312" w:hAnsi="仿宋_GB2312" w:hint="eastAsia"/>
          <w:color w:val="000000"/>
          <w:sz w:val="32"/>
          <w:szCs w:val="32"/>
          <w:shd w:val="clear" w:color="auto" w:fill="FFFFFF"/>
        </w:rPr>
        <w:t>2024年，我市严格按照《中华人民共和国社会保险法》《中华人民共和国预算法》和《四川省社会保险基金预算绩效管理实施办法》编制基金预算，落实全面预算绩效管理要求，建立预算编制有目标、预算执行有监控、预算完成有评价、评价结果有应用的基金预算绩效管理链条，对医保基金预算编制、执行、调整、决算、监督实施全程绩效管理，将医保基金收入、支出、结余全部纳入预算绩效管理范围，实现预算和绩效管理一体化。2024年度我市职工基本医疗保险基金收支平衡，基金运行规范，参保人员社会保险待遇得到有效保障，基金使用效率逐步提升。</w:t>
      </w:r>
    </w:p>
    <w:p>
      <w:pPr>
        <w:numPr>
          <w:ilvl w:val="0"/>
          <w:numId w:val="1"/>
        </w:numPr>
        <w:spacing w:line="596" w:lineRule="exact"/>
        <w:ind w:left="0" w:firstLineChars="200" w:firstLine="640"/>
        <w:rPr>
          <w:rFonts w:ascii="黑体" w:eastAsia="黑体" w:cs="黑体" w:hAnsi="黑体"/>
          <w:bCs/>
          <w:sz w:val="32"/>
          <w:szCs w:val="32"/>
        </w:rPr>
      </w:pPr>
      <w:r>
        <w:rPr>
          <w:rFonts w:ascii="黑体" w:eastAsia="黑体" w:cs="黑体" w:hAnsi="黑体" w:hint="eastAsia"/>
          <w:bCs/>
          <w:sz w:val="32"/>
          <w:szCs w:val="32"/>
        </w:rPr>
        <w:t>绩效自评工作开展情况</w:t>
      </w:r>
    </w:p>
    <w:p>
      <w:pPr>
        <w:widowControl/>
        <w:ind w:firstLineChars="200" w:firstLine="640"/>
        <w:jc w:val="left"/>
        <w:rPr>
          <w:rFonts w:ascii="仿宋_GB2312" w:eastAsia="仿宋_GB2312" w:cs="仿宋_GB2312" w:hAnsi="仿宋_GB2312"/>
          <w:color w:val="000000"/>
          <w:sz w:val="32"/>
          <w:szCs w:val="32"/>
          <w:shd w:val="clear" w:color="auto" w:fill="FFFFFF"/>
        </w:rPr>
      </w:pPr>
      <w:r>
        <w:rPr>
          <w:rFonts w:ascii="仿宋_GB2312" w:eastAsia="仿宋_GB2312" w:cs="仿宋_GB2312" w:hAnsi="仿宋_GB2312" w:hint="eastAsia"/>
          <w:color w:val="000000"/>
          <w:sz w:val="32"/>
          <w:szCs w:val="32"/>
          <w:shd w:val="clear" w:color="auto" w:fill="FFFFFF"/>
        </w:rPr>
        <w:t>（一）前期准备。我市</w:t>
      </w:r>
      <w:r>
        <w:rPr>
          <w:rFonts w:ascii="仿宋_GB2312" w:eastAsia="仿宋_GB2312" w:cs="仿宋_GB2312" w:hAnsi="仿宋_GB2312"/>
          <w:color w:val="000000"/>
          <w:sz w:val="32"/>
          <w:szCs w:val="32"/>
          <w:shd w:val="clear" w:color="auto" w:fill="FFFFFF"/>
        </w:rPr>
        <w:t>根据中心各</w:t>
      </w:r>
      <w:r>
        <w:rPr>
          <w:rFonts w:ascii="仿宋_GB2312" w:eastAsia="仿宋_GB2312" w:cs="仿宋_GB2312" w:hAnsi="仿宋_GB2312" w:hint="eastAsia"/>
          <w:color w:val="000000"/>
          <w:sz w:val="32"/>
          <w:szCs w:val="32"/>
          <w:shd w:val="clear" w:color="auto" w:fill="FFFFFF"/>
        </w:rPr>
        <w:t>科室</w:t>
      </w:r>
      <w:r>
        <w:rPr>
          <w:rFonts w:ascii="仿宋_GB2312" w:eastAsia="仿宋_GB2312" w:cs="仿宋_GB2312" w:hAnsi="仿宋_GB2312"/>
          <w:color w:val="000000"/>
          <w:sz w:val="32"/>
          <w:szCs w:val="32"/>
          <w:shd w:val="clear" w:color="auto" w:fill="FFFFFF"/>
        </w:rPr>
        <w:t>职责，对绩效评价进行责任分工，基金财务</w:t>
      </w:r>
      <w:r>
        <w:rPr>
          <w:rFonts w:ascii="仿宋_GB2312" w:eastAsia="仿宋_GB2312" w:cs="仿宋_GB2312" w:hAnsi="仿宋_GB2312" w:hint="eastAsia"/>
          <w:color w:val="000000"/>
          <w:sz w:val="32"/>
          <w:szCs w:val="32"/>
          <w:shd w:val="clear" w:color="auto" w:fill="FFFFFF"/>
        </w:rPr>
        <w:t>科</w:t>
      </w:r>
      <w:r>
        <w:rPr>
          <w:rFonts w:ascii="仿宋_GB2312" w:eastAsia="仿宋_GB2312" w:cs="仿宋_GB2312" w:hAnsi="仿宋_GB2312"/>
          <w:color w:val="000000"/>
          <w:sz w:val="32"/>
          <w:szCs w:val="32"/>
          <w:shd w:val="clear" w:color="auto" w:fill="FFFFFF"/>
        </w:rPr>
        <w:t>进行汇总填报自评情况。</w:t>
      </w:r>
    </w:p>
    <w:p>
      <w:pPr>
        <w:widowControl/>
        <w:ind w:firstLineChars="200" w:firstLine="640"/>
        <w:jc w:val="left"/>
        <w:rPr>
          <w:rFonts w:ascii="仿宋_GB2312" w:eastAsia="仿宋_GB2312" w:cs="仿宋_GB2312" w:hAnsi="仿宋_GB2312"/>
          <w:color w:val="000000"/>
          <w:sz w:val="32"/>
          <w:szCs w:val="32"/>
          <w:shd w:val="clear" w:color="auto" w:fill="FFFFFF"/>
        </w:rPr>
      </w:pPr>
      <w:r>
        <w:rPr>
          <w:rFonts w:ascii="仿宋_GB2312" w:eastAsia="仿宋_GB2312" w:cs="仿宋_GB2312" w:hAnsi="仿宋_GB2312" w:hint="eastAsia"/>
          <w:color w:val="000000"/>
          <w:sz w:val="32"/>
          <w:szCs w:val="32"/>
          <w:shd w:val="clear" w:color="auto" w:fill="FFFFFF"/>
        </w:rPr>
        <w:t>（二）组织过程。</w:t>
      </w:r>
      <w:r>
        <w:rPr>
          <w:rFonts w:ascii="仿宋_GB2312" w:eastAsia="仿宋_GB2312" w:cs="仿宋_GB2312" w:hAnsi="仿宋_GB2312"/>
          <w:color w:val="000000"/>
          <w:sz w:val="32"/>
          <w:szCs w:val="32"/>
          <w:shd w:val="clear" w:color="auto" w:fill="FFFFFF"/>
        </w:rPr>
        <w:t>本次绩效评价主要采用目标比较法，运用定量分析和定性分析相结合的方式，通过资料分析、现场核验、满意度调查等方式对目标实现程度、政策产出效果等进行客观公正的测量、分析和评判。</w:t>
      </w:r>
    </w:p>
    <w:p>
      <w:pPr>
        <w:spacing w:line="596" w:lineRule="exact"/>
        <w:ind w:firstLineChars="200" w:firstLine="640"/>
        <w:rPr>
          <w:rFonts w:ascii="黑体" w:eastAsia="黑体" w:cs="黑体" w:hAnsi="黑体"/>
          <w:bCs/>
          <w:sz w:val="32"/>
          <w:szCs w:val="32"/>
        </w:rPr>
      </w:pPr>
      <w:r>
        <w:rPr>
          <w:rFonts w:ascii="黑体" w:eastAsia="黑体" w:cs="黑体" w:hAnsi="黑体" w:hint="eastAsia"/>
          <w:bCs/>
          <w:sz w:val="32"/>
          <w:szCs w:val="32"/>
        </w:rPr>
        <w:t>三、综合评价结论</w:t>
      </w:r>
    </w:p>
    <w:p>
      <w:pPr>
        <w:spacing w:line="560" w:lineRule="exact"/>
        <w:ind w:firstLineChars="200" w:firstLine="640"/>
      </w:pPr>
      <w:r>
        <w:rPr>
          <w:rFonts w:eastAsia="仿宋_GB2312"/>
          <w:color w:val="000000"/>
          <w:sz w:val="32"/>
          <w:szCs w:val="32"/>
        </w:rPr>
        <w:t>按照《</w:t>
      </w:r>
      <w:r>
        <w:rPr>
          <w:rFonts w:eastAsia="仿宋_GB2312" w:hint="eastAsia"/>
          <w:color w:val="000000"/>
          <w:sz w:val="32"/>
          <w:szCs w:val="32"/>
        </w:rPr>
        <w:t>2024年度</w:t>
      </w:r>
      <w:r>
        <w:rPr>
          <w:rFonts w:eastAsia="仿宋_GB2312"/>
          <w:color w:val="000000"/>
          <w:sz w:val="32"/>
          <w:szCs w:val="32"/>
        </w:rPr>
        <w:t>基本医疗保险基金预算绩效</w:t>
      </w:r>
      <w:r>
        <w:rPr>
          <w:rFonts w:eastAsia="仿宋_GB2312" w:hint="eastAsia"/>
          <w:color w:val="000000"/>
          <w:sz w:val="32"/>
          <w:szCs w:val="32"/>
        </w:rPr>
        <w:t>自评</w:t>
      </w:r>
      <w:r>
        <w:rPr>
          <w:rFonts w:eastAsia="仿宋_GB2312"/>
          <w:color w:val="000000"/>
          <w:sz w:val="32"/>
          <w:szCs w:val="32"/>
        </w:rPr>
        <w:t>表》进行自评</w:t>
      </w:r>
      <w:r>
        <w:rPr>
          <w:rFonts w:eastAsia="仿宋_GB2312" w:hint="eastAsia"/>
          <w:color w:val="000000"/>
          <w:sz w:val="32"/>
          <w:szCs w:val="32"/>
        </w:rPr>
        <w:t>，自评</w:t>
      </w:r>
      <w:r>
        <w:rPr>
          <w:rFonts w:eastAsia="仿宋_GB2312"/>
          <w:color w:val="000000"/>
          <w:sz w:val="32"/>
          <w:szCs w:val="32"/>
        </w:rPr>
        <w:t>得分为</w:t>
      </w:r>
      <w:r>
        <w:rPr>
          <w:rFonts w:eastAsia="仿宋_GB2312" w:hint="eastAsia"/>
          <w:color w:val="000000"/>
          <w:sz w:val="32"/>
          <w:szCs w:val="32"/>
        </w:rPr>
        <w:t>91.40</w:t>
      </w:r>
      <w:r>
        <w:rPr>
          <w:rFonts w:eastAsia="仿宋_GB2312"/>
          <w:color w:val="000000"/>
          <w:sz w:val="32"/>
          <w:szCs w:val="32"/>
        </w:rPr>
        <w:t>分。</w:t>
      </w:r>
      <w:r>
        <w:rPr>
          <w:rFonts w:eastAsia="仿宋_GB2312" w:hint="eastAsia"/>
          <w:b/>
          <w:bCs/>
          <w:color w:val="000000"/>
          <w:sz w:val="32"/>
          <w:szCs w:val="32"/>
        </w:rPr>
        <w:t>一是</w:t>
      </w:r>
      <w:r>
        <w:rPr>
          <w:rFonts w:eastAsia="仿宋_GB2312" w:hint="eastAsia"/>
          <w:sz w:val="32"/>
          <w:szCs w:val="32"/>
        </w:rPr>
        <w:t>我市以常住人口为基数计算基本医保综合参保率为89.26%，较目标值95%低5.74个百分点，自评扣3分。</w:t>
      </w:r>
      <w:r>
        <w:rPr>
          <w:rFonts w:eastAsia="仿宋_GB2312" w:hint="eastAsia"/>
          <w:b/>
          <w:bCs/>
          <w:sz w:val="32"/>
          <w:szCs w:val="32"/>
        </w:rPr>
        <w:t>二是</w:t>
      </w:r>
      <w:r>
        <w:rPr>
          <w:rFonts w:eastAsia="仿宋_GB2312"/>
          <w:color w:val="000000"/>
          <w:sz w:val="32"/>
          <w:szCs w:val="32"/>
        </w:rPr>
        <w:t>我市</w:t>
      </w:r>
      <w:r>
        <w:rPr>
          <w:rFonts w:eastAsia="仿宋_GB2312" w:hint="eastAsia"/>
          <w:color w:val="000000"/>
          <w:sz w:val="32"/>
          <w:szCs w:val="32"/>
        </w:rPr>
        <w:t>2024年收入预算完成率99.57%，较目标值100%-105%低0.43个百分点，自评扣0.6分。</w:t>
      </w:r>
      <w:r>
        <w:rPr>
          <w:rFonts w:eastAsia="仿宋_GB2312" w:hint="eastAsia"/>
          <w:b/>
          <w:bCs/>
          <w:color w:val="000000"/>
          <w:sz w:val="32"/>
          <w:szCs w:val="32"/>
        </w:rPr>
        <w:t>三是</w:t>
      </w:r>
      <w:r>
        <w:rPr>
          <w:rFonts w:eastAsia="仿宋_GB2312" w:hint="eastAsia"/>
          <w:color w:val="000000"/>
          <w:sz w:val="32"/>
          <w:szCs w:val="32"/>
        </w:rPr>
        <w:t>我市2024年社会保险待遇支出占基金支出比重89.73%，较目标值90%低0.27个百分点，自评扣5分。</w:t>
      </w:r>
    </w:p>
    <w:p>
      <w:pPr>
        <w:spacing w:line="59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四、绩效目标实现情况分析</w:t>
      </w:r>
    </w:p>
    <w:p>
      <w:pPr>
        <w:spacing w:line="596" w:lineRule="exact"/>
        <w:ind w:firstLineChars="200" w:firstLine="640"/>
        <w:rPr>
          <w:rFonts w:ascii="楷体_GB2312" w:eastAsia="楷体_GB2312" w:hAnsi="楷体"/>
          <w:sz w:val="32"/>
          <w:szCs w:val="32"/>
        </w:rPr>
      </w:pPr>
      <w:r>
        <w:rPr>
          <w:rFonts w:ascii="楷体_GB2312" w:eastAsia="楷体_GB2312" w:hAnsi="楷体" w:hint="eastAsia"/>
          <w:sz w:val="32"/>
          <w:szCs w:val="32"/>
        </w:rPr>
        <w:t>（一）预算执行情况分析。</w:t>
      </w:r>
    </w:p>
    <w:p>
      <w:pPr>
        <w:adjustRightInd w:val="0"/>
        <w:snapToGrid w:val="0"/>
        <w:spacing w:line="596" w:lineRule="exact"/>
        <w:ind w:firstLineChars="200" w:firstLine="640"/>
        <w:rPr>
          <w:rFonts w:eastAsia="仿宋_GB2312" w:hAnsi="仿宋_GB2312"/>
          <w:color w:val="000000"/>
          <w:sz w:val="32"/>
          <w:szCs w:val="32"/>
          <w:shd w:val="clear" w:color="auto" w:fill="FFFFFF"/>
        </w:rPr>
      </w:pPr>
      <w:r>
        <w:rPr>
          <w:rFonts w:eastAsia="仿宋_GB2312" w:hAnsi="仿宋_GB2312" w:hint="eastAsia"/>
          <w:color w:val="000000"/>
          <w:sz w:val="32"/>
          <w:szCs w:val="32"/>
          <w:shd w:val="clear" w:color="auto" w:fill="FFFFFF"/>
        </w:rPr>
        <w:t>1.收入预算执行情况分析。</w:t>
      </w:r>
    </w:p>
    <w:p>
      <w:pPr>
        <w:adjustRightInd w:val="0"/>
        <w:snapToGrid w:val="0"/>
        <w:spacing w:line="596" w:lineRule="exact"/>
        <w:ind w:firstLineChars="200" w:firstLine="640"/>
        <w:rPr>
          <w:rFonts w:eastAsia="仿宋_GB2312"/>
          <w:color w:val="000000"/>
          <w:sz w:val="32"/>
          <w:szCs w:val="32"/>
        </w:rPr>
      </w:pPr>
      <w:r>
        <w:rPr>
          <w:rFonts w:eastAsia="仿宋_GB2312" w:hint="eastAsia"/>
          <w:sz w:val="32"/>
          <w:szCs w:val="32"/>
        </w:rPr>
        <w:t>2024年我市职工基本医</w:t>
      </w:r>
      <w:r>
        <w:rPr>
          <w:rFonts w:eastAsia="仿宋_GB2312" w:hint="eastAsia"/>
          <w:color w:val="000000"/>
          <w:sz w:val="32"/>
          <w:szCs w:val="32"/>
        </w:rPr>
        <w:t>疗保险基金收入282,099.73万元，完成收入预算283,306.31万元的99.57%。预算执行略低的原因是：我市仁和区、西区2024年公务员个人医疗账户补充的2,360万元未按计划在2024年内到位（我市公务员个人医疗账户补充纳入财政年度预算，由市、县区财政根据财政实际运行情况向市级经办机构申报缴费，非硬性缴费收入）。下一步我市将持续加强预算编制管理，及时关注预算执行进度，合理进行预算调整，增加预算编制的准确性。</w:t>
      </w:r>
    </w:p>
    <w:p>
      <w:pPr>
        <w:adjustRightInd w:val="0"/>
        <w:snapToGrid w:val="0"/>
        <w:spacing w:line="596" w:lineRule="exact"/>
        <w:ind w:firstLineChars="200" w:firstLine="640"/>
        <w:rPr>
          <w:rFonts w:eastAsia="仿宋_GB2312" w:hAnsi="仿宋_GB2312"/>
          <w:color w:val="000000"/>
          <w:sz w:val="32"/>
          <w:szCs w:val="32"/>
          <w:shd w:val="clear" w:color="auto" w:fill="FFFFFF"/>
        </w:rPr>
      </w:pPr>
      <w:r>
        <w:rPr>
          <w:rFonts w:eastAsia="仿宋_GB2312" w:hint="eastAsia"/>
          <w:color w:val="000000"/>
          <w:sz w:val="32"/>
          <w:szCs w:val="32"/>
        </w:rPr>
        <w:t>2.</w:t>
      </w:r>
      <w:r>
        <w:rPr>
          <w:rFonts w:eastAsia="仿宋_GB2312" w:hAnsi="仿宋_GB2312" w:hint="eastAsia"/>
          <w:color w:val="000000"/>
          <w:sz w:val="32"/>
          <w:szCs w:val="32"/>
          <w:shd w:val="clear" w:color="auto" w:fill="FFFFFF"/>
        </w:rPr>
        <w:t>支出预算执行情况分析。</w:t>
      </w:r>
    </w:p>
    <w:p>
      <w:pPr>
        <w:adjustRightInd w:val="0"/>
        <w:snapToGrid w:val="0"/>
        <w:spacing w:line="596" w:lineRule="exact"/>
        <w:ind w:firstLineChars="200" w:firstLine="640"/>
        <w:rPr>
          <w:rFonts w:eastAsia="仿宋_GB2312"/>
          <w:color w:val="000000"/>
          <w:sz w:val="32"/>
          <w:szCs w:val="32"/>
        </w:rPr>
      </w:pPr>
      <w:r>
        <w:rPr>
          <w:rFonts w:eastAsia="仿宋_GB2312" w:hint="eastAsia"/>
          <w:sz w:val="32"/>
          <w:szCs w:val="32"/>
        </w:rPr>
        <w:t>2024年我市职工基本医</w:t>
      </w:r>
      <w:r>
        <w:rPr>
          <w:rFonts w:eastAsia="仿宋_GB2312" w:hint="eastAsia"/>
          <w:color w:val="000000"/>
          <w:sz w:val="32"/>
          <w:szCs w:val="32"/>
        </w:rPr>
        <w:t>疗保险基金支出224,428.66万元，完成支出预算231,991.90万元的96.74%，圆满完成全年支出预算任务。</w:t>
      </w:r>
    </w:p>
    <w:p>
      <w:pPr>
        <w:adjustRightInd w:val="0"/>
        <w:snapToGrid w:val="0"/>
        <w:spacing w:line="596" w:lineRule="exact"/>
        <w:ind w:firstLineChars="200" w:firstLine="640"/>
        <w:rPr>
          <w:rFonts w:eastAsia="仿宋_GB2312"/>
          <w:color w:val="000000"/>
          <w:sz w:val="32"/>
          <w:szCs w:val="32"/>
        </w:rPr>
      </w:pPr>
      <w:r>
        <w:rPr>
          <w:rFonts w:eastAsia="仿宋_GB2312" w:hint="eastAsia"/>
          <w:color w:val="000000"/>
          <w:sz w:val="32"/>
          <w:szCs w:val="32"/>
        </w:rPr>
        <w:t>3.收支平衡情况分析。</w:t>
      </w:r>
    </w:p>
    <w:p>
      <w:pPr>
        <w:adjustRightInd w:val="0"/>
        <w:snapToGrid w:val="0"/>
        <w:spacing w:line="596" w:lineRule="exact"/>
        <w:ind w:firstLineChars="200" w:firstLine="640"/>
        <w:rPr>
          <w:rFonts w:eastAsia="仿宋_GB2312"/>
          <w:color w:val="000000"/>
          <w:sz w:val="32"/>
          <w:szCs w:val="32"/>
        </w:rPr>
      </w:pPr>
      <w:r>
        <w:rPr>
          <w:rFonts w:eastAsia="仿宋_GB2312" w:hint="eastAsia"/>
          <w:color w:val="000000"/>
          <w:sz w:val="32"/>
          <w:szCs w:val="32"/>
        </w:rPr>
        <w:t>2024年我市</w:t>
      </w:r>
      <w:r>
        <w:rPr>
          <w:rFonts w:eastAsia="仿宋_GB2312" w:hint="eastAsia"/>
          <w:sz w:val="32"/>
          <w:szCs w:val="32"/>
        </w:rPr>
        <w:t>职工基本医</w:t>
      </w:r>
      <w:r>
        <w:rPr>
          <w:rFonts w:eastAsia="仿宋_GB2312" w:hint="eastAsia"/>
          <w:color w:val="000000"/>
          <w:sz w:val="32"/>
          <w:szCs w:val="32"/>
        </w:rPr>
        <w:t>疗保险基金当期结余57,671.07万元，其中统筹基金当期结余59,601.78万元。</w:t>
      </w:r>
      <w:r>
        <w:rPr>
          <w:rFonts w:eastAsia="仿宋_GB2312" w:hint="eastAsia"/>
          <w:sz w:val="32"/>
          <w:szCs w:val="32"/>
        </w:rPr>
        <w:t>我市职工医保</w:t>
      </w:r>
      <w:r>
        <w:rPr>
          <w:rFonts w:eastAsia="仿宋_GB2312"/>
          <w:sz w:val="32"/>
          <w:szCs w:val="32"/>
        </w:rPr>
        <w:t>基金收支平衡</w:t>
      </w:r>
      <w:r>
        <w:rPr>
          <w:rFonts w:eastAsia="仿宋_GB2312" w:hint="eastAsia"/>
          <w:sz w:val="32"/>
          <w:szCs w:val="32"/>
        </w:rPr>
        <w:t>，</w:t>
      </w:r>
      <w:r>
        <w:rPr>
          <w:rFonts w:eastAsia="仿宋_GB2312"/>
          <w:sz w:val="32"/>
          <w:szCs w:val="32"/>
        </w:rPr>
        <w:t>运行规范</w:t>
      </w:r>
      <w:r>
        <w:rPr>
          <w:rFonts w:eastAsia="仿宋_GB2312" w:hint="eastAsia"/>
          <w:sz w:val="32"/>
          <w:szCs w:val="32"/>
        </w:rPr>
        <w:t>安全</w:t>
      </w:r>
      <w:r>
        <w:rPr>
          <w:rFonts w:eastAsia="仿宋_GB2312"/>
          <w:sz w:val="32"/>
          <w:szCs w:val="32"/>
        </w:rPr>
        <w:t>，收支管理方面无突出问题</w:t>
      </w:r>
      <w:r>
        <w:rPr>
          <w:rFonts w:eastAsia="仿宋_GB2312" w:hint="eastAsia"/>
          <w:sz w:val="32"/>
          <w:szCs w:val="32"/>
        </w:rPr>
        <w:t>，</w:t>
      </w:r>
      <w:r>
        <w:rPr>
          <w:rFonts w:eastAsia="仿宋_GB2312"/>
          <w:sz w:val="32"/>
          <w:szCs w:val="32"/>
        </w:rPr>
        <w:t>基金使用效率</w:t>
      </w:r>
      <w:r>
        <w:rPr>
          <w:rFonts w:eastAsia="仿宋_GB2312" w:hint="eastAsia"/>
          <w:sz w:val="32"/>
          <w:szCs w:val="32"/>
        </w:rPr>
        <w:t>逐步</w:t>
      </w:r>
      <w:r>
        <w:rPr>
          <w:rFonts w:eastAsia="仿宋_GB2312"/>
          <w:sz w:val="32"/>
          <w:szCs w:val="32"/>
        </w:rPr>
        <w:t>提升，基金累计结余逐年增长。</w:t>
      </w:r>
    </w:p>
    <w:p>
      <w:pPr>
        <w:numPr>
          <w:ilvl w:val="0"/>
          <w:numId w:val="2"/>
        </w:numPr>
        <w:spacing w:line="596" w:lineRule="exact"/>
        <w:ind w:left="0" w:firstLineChars="200" w:firstLine="640"/>
        <w:rPr>
          <w:rFonts w:ascii="楷体_GB2312" w:eastAsia="楷体_GB2312" w:hAnsi="楷体"/>
          <w:sz w:val="32"/>
          <w:szCs w:val="32"/>
        </w:rPr>
      </w:pPr>
      <w:r>
        <w:rPr>
          <w:rFonts w:ascii="楷体_GB2312" w:eastAsia="楷体_GB2312" w:hAnsi="楷体" w:hint="eastAsia"/>
          <w:sz w:val="32"/>
          <w:szCs w:val="32"/>
        </w:rPr>
        <w:t>绩效指标完成情况。</w:t>
      </w:r>
    </w:p>
    <w:p>
      <w:pPr>
        <w:spacing w:line="59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1.产出指标完成情况分析。</w:t>
      </w:r>
    </w:p>
    <w:p>
      <w:pPr>
        <w:spacing w:line="59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（1）完成数量。</w:t>
      </w:r>
    </w:p>
    <w:p>
      <w:pPr>
        <w:spacing w:line="59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b/>
          <w:bCs/>
          <w:sz w:val="32"/>
          <w:szCs w:val="32"/>
        </w:rPr>
        <w:t>一是</w:t>
      </w:r>
      <w:r>
        <w:rPr>
          <w:rFonts w:ascii="仿宋_GB2312" w:eastAsia="仿宋_GB2312" w:cs="仿宋_GB2312" w:hAnsi="仿宋_GB2312" w:hint="eastAsia"/>
          <w:sz w:val="32"/>
          <w:szCs w:val="32"/>
        </w:rPr>
        <w:t>参保政策落实情况。2024年我市</w:t>
      </w:r>
      <w:r>
        <w:rPr>
          <w:rFonts w:eastAsia="仿宋_GB2312" w:hint="eastAsia"/>
          <w:sz w:val="32"/>
          <w:szCs w:val="32"/>
        </w:rPr>
        <w:t>职工基本医</w:t>
      </w:r>
      <w:r>
        <w:rPr>
          <w:rFonts w:eastAsia="仿宋_GB2312" w:hint="eastAsia"/>
          <w:color w:val="000000"/>
          <w:sz w:val="32"/>
          <w:szCs w:val="32"/>
        </w:rPr>
        <w:t>疗保险</w:t>
      </w:r>
      <w:r>
        <w:rPr>
          <w:rFonts w:ascii="仿宋_GB2312" w:eastAsia="仿宋_GB2312" w:cs="仿宋_GB2312" w:hAnsi="仿宋_GB2312" w:hint="eastAsia"/>
          <w:sz w:val="32"/>
          <w:szCs w:val="32"/>
        </w:rPr>
        <w:t>参保人数为42.94万人，综合参保率达到89.26%，低于95%的目标值。以年度目标任务110万人为基数计算，完成率99.25%，完成当年参保目标。</w:t>
      </w:r>
      <w:r>
        <w:rPr>
          <w:rFonts w:ascii="仿宋_GB2312" w:eastAsia="仿宋_GB2312" w:cs="仿宋_GB2312" w:hAnsi="仿宋_GB2312" w:hint="eastAsia"/>
          <w:b/>
          <w:bCs/>
          <w:sz w:val="32"/>
          <w:szCs w:val="32"/>
        </w:rPr>
        <w:t>二是</w:t>
      </w:r>
      <w:r>
        <w:rPr>
          <w:rFonts w:ascii="仿宋_GB2312" w:eastAsia="仿宋_GB2312" w:cs="仿宋_GB2312" w:hAnsi="仿宋_GB2312" w:hint="eastAsia"/>
          <w:sz w:val="32"/>
          <w:szCs w:val="32"/>
        </w:rPr>
        <w:t>缴费基数坐实率。报告期单位平均缴费基数与当地上年度社平工资的比值为118.45%，完成当年目标值。</w:t>
      </w:r>
      <w:r>
        <w:rPr>
          <w:rFonts w:ascii="仿宋_GB2312" w:eastAsia="仿宋_GB2312" w:cs="仿宋_GB2312" w:hAnsi="仿宋_GB2312" w:hint="eastAsia"/>
          <w:b/>
          <w:bCs/>
          <w:sz w:val="32"/>
          <w:szCs w:val="32"/>
        </w:rPr>
        <w:t>三是</w:t>
      </w:r>
      <w:r>
        <w:rPr>
          <w:rFonts w:ascii="仿宋_GB2312" w:eastAsia="仿宋_GB2312" w:cs="仿宋_GB2312" w:hAnsi="仿宋_GB2312" w:hint="eastAsia"/>
          <w:sz w:val="32"/>
          <w:szCs w:val="32"/>
        </w:rPr>
        <w:t>基金征缴率。基金征缴率报告期实际征缴收入与应征数的比值为99.99%，完成当年目标值。</w:t>
      </w:r>
      <w:r>
        <w:rPr>
          <w:rFonts w:ascii="仿宋_GB2312" w:eastAsia="仿宋_GB2312" w:cs="仿宋_GB2312" w:hAnsi="仿宋_GB2312" w:hint="eastAsia"/>
          <w:b/>
          <w:bCs/>
          <w:sz w:val="32"/>
          <w:szCs w:val="32"/>
        </w:rPr>
        <w:t>四是</w:t>
      </w:r>
      <w:r>
        <w:rPr>
          <w:rFonts w:ascii="仿宋_GB2312" w:eastAsia="仿宋_GB2312" w:cs="仿宋_GB2312" w:hAnsi="仿宋_GB2312" w:hint="eastAsia"/>
          <w:sz w:val="32"/>
          <w:szCs w:val="32"/>
        </w:rPr>
        <w:t>收入预算完成率。2024年基金收入预算完成率为99.57%，略低于100%-105%的目标值。</w:t>
      </w:r>
      <w:r>
        <w:rPr>
          <w:rFonts w:ascii="仿宋_GB2312" w:eastAsia="仿宋_GB2312" w:cs="仿宋_GB2312" w:hAnsi="仿宋_GB2312" w:hint="eastAsia"/>
          <w:b/>
          <w:bCs/>
          <w:sz w:val="32"/>
          <w:szCs w:val="32"/>
        </w:rPr>
        <w:t>五是</w:t>
      </w:r>
      <w:r>
        <w:rPr>
          <w:rFonts w:ascii="仿宋_GB2312" w:eastAsia="仿宋_GB2312" w:cs="仿宋_GB2312" w:hAnsi="仿宋_GB2312" w:hint="eastAsia"/>
          <w:sz w:val="32"/>
          <w:szCs w:val="32"/>
        </w:rPr>
        <w:t>支出预算完成率。2024年基金支出预算完成率为96.74%，完成当年目标值。</w:t>
      </w:r>
    </w:p>
    <w:p>
      <w:pPr>
        <w:spacing w:line="59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（2）完成质量。</w:t>
      </w:r>
    </w:p>
    <w:p>
      <w:pPr>
        <w:spacing w:line="59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2024年保费收入占基金收入的比值为90.25%，完成当年目标值。2024年待遇支出占基金支出的比值为89.73%，略低于90%的目标值。2024年其他支出占基金支出的比值为4.03%，完成当年目标值。</w:t>
      </w:r>
    </w:p>
    <w:p>
      <w:pPr>
        <w:spacing w:line="59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（3）实施进度。</w:t>
      </w:r>
    </w:p>
    <w:p>
      <w:pPr>
        <w:spacing w:line="596" w:lineRule="exact"/>
        <w:ind w:firstLineChars="200" w:firstLine="640"/>
        <w:rPr>
          <w:rFonts w:eastAsia="仿宋_GB2312" w:hAnsi="仿宋_GB2312"/>
          <w:sz w:val="32"/>
          <w:szCs w:val="32"/>
        </w:rPr>
      </w:pPr>
      <w:r>
        <w:rPr>
          <w:rFonts w:ascii="仿宋_GB2312" w:eastAsia="仿宋_GB2312" w:cs="仿宋_GB2312" w:hAnsi="仿宋_GB2312" w:hint="eastAsia"/>
          <w:sz w:val="32"/>
          <w:szCs w:val="32"/>
        </w:rPr>
        <w:t>2024年</w:t>
      </w:r>
      <w:r>
        <w:rPr>
          <w:rFonts w:eastAsia="仿宋_GB2312" w:hAnsi="仿宋_GB2312" w:hint="eastAsia"/>
          <w:sz w:val="32"/>
          <w:szCs w:val="32"/>
        </w:rPr>
        <w:t>全市职工医保基金待遇正常拨付，未拖欠参保个人、单位、两定机构医疗费用。</w:t>
      </w:r>
    </w:p>
    <w:p>
      <w:pPr>
        <w:spacing w:line="596" w:lineRule="exact"/>
        <w:ind w:firstLineChars="200" w:firstLine="640"/>
        <w:rPr>
          <w:rFonts w:eastAsia="仿宋_GB2312" w:hAnsi="仿宋_GB2312"/>
          <w:sz w:val="32"/>
          <w:szCs w:val="32"/>
        </w:rPr>
      </w:pPr>
      <w:r>
        <w:rPr>
          <w:rFonts w:eastAsia="仿宋_GB2312" w:hAnsi="仿宋_GB2312" w:hint="eastAsia"/>
          <w:sz w:val="32"/>
          <w:szCs w:val="32"/>
        </w:rPr>
        <w:t>2.效益指标完成情况分析。</w:t>
      </w:r>
    </w:p>
    <w:p>
      <w:pPr>
        <w:spacing w:line="596" w:lineRule="exact"/>
        <w:ind w:firstLineChars="200" w:firstLine="640"/>
        <w:rPr>
          <w:rFonts w:eastAsia="仿宋_GB2312" w:hAnsi="仿宋_GB2312"/>
          <w:sz w:val="32"/>
          <w:szCs w:val="32"/>
        </w:rPr>
      </w:pPr>
      <w:r>
        <w:rPr>
          <w:rFonts w:eastAsia="仿宋_GB2312" w:hAnsi="仿宋_GB2312" w:hint="eastAsia"/>
          <w:sz w:val="32"/>
          <w:szCs w:val="32"/>
        </w:rPr>
        <w:t>（1）经济效益分析。</w:t>
      </w:r>
    </w:p>
    <w:p>
      <w:pPr>
        <w:spacing w:line="596" w:lineRule="exact"/>
        <w:ind w:firstLineChars="200" w:firstLine="640"/>
        <w:rPr>
          <w:rFonts w:eastAsia="仿宋_GB2312" w:hAnsi="仿宋_GB2312"/>
          <w:sz w:val="32"/>
          <w:szCs w:val="32"/>
        </w:rPr>
      </w:pPr>
      <w:r>
        <w:rPr>
          <w:rFonts w:eastAsia="仿宋_GB2312" w:hint="eastAsia"/>
          <w:color w:val="000000"/>
          <w:sz w:val="32"/>
          <w:szCs w:val="32"/>
        </w:rPr>
        <w:t>2024年度，我市</w:t>
      </w:r>
      <w:r>
        <w:rPr>
          <w:rFonts w:eastAsia="仿宋_GB2312"/>
          <w:sz w:val="32"/>
          <w:szCs w:val="32"/>
        </w:rPr>
        <w:t>在保证3个月正常支付水平的情况下，将</w:t>
      </w:r>
      <w:r>
        <w:rPr>
          <w:rFonts w:eastAsia="仿宋_GB2312" w:hint="eastAsia"/>
          <w:sz w:val="32"/>
          <w:szCs w:val="32"/>
        </w:rPr>
        <w:t>医保</w:t>
      </w:r>
      <w:r>
        <w:rPr>
          <w:rFonts w:eastAsia="仿宋_GB2312"/>
          <w:sz w:val="32"/>
          <w:szCs w:val="32"/>
        </w:rPr>
        <w:t>基金及时转存定期，落实银行优惠利率，</w:t>
      </w:r>
      <w:r>
        <w:rPr>
          <w:rFonts w:eastAsia="仿宋_GB2312" w:hint="eastAsia"/>
          <w:sz w:val="32"/>
          <w:szCs w:val="32"/>
        </w:rPr>
        <w:t>利息收益率为1.</w:t>
      </w:r>
      <w:r>
        <w:rPr>
          <w:rFonts w:eastAsia="仿宋_GB2312" w:hAnsi="仿宋_GB2312"/>
          <w:sz w:val="32"/>
          <w:szCs w:val="32"/>
        </w:rPr>
        <w:t>27</w:t>
      </w:r>
      <w:r>
        <w:rPr>
          <w:rFonts w:eastAsia="仿宋_GB2312" w:hint="eastAsia"/>
          <w:sz w:val="32"/>
          <w:szCs w:val="32"/>
        </w:rPr>
        <w:t>%，</w:t>
      </w:r>
      <w:r>
        <w:rPr>
          <w:rFonts w:eastAsia="仿宋_GB2312"/>
          <w:sz w:val="32"/>
          <w:szCs w:val="32"/>
        </w:rPr>
        <w:t>确保基金保值增值</w:t>
      </w:r>
      <w:r>
        <w:rPr>
          <w:rFonts w:eastAsia="仿宋_GB2312" w:hAnsi="仿宋_GB2312" w:hint="eastAsia"/>
          <w:sz w:val="32"/>
          <w:szCs w:val="32"/>
        </w:rPr>
        <w:t>，完成当年目标值。</w:t>
      </w:r>
    </w:p>
    <w:p>
      <w:pPr>
        <w:spacing w:line="59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（2）社会效益分析。</w:t>
      </w:r>
    </w:p>
    <w:p>
      <w:pPr>
        <w:spacing w:line="596" w:lineRule="exact"/>
        <w:ind w:firstLineChars="200" w:firstLine="640"/>
        <w:rPr>
          <w:rFonts w:eastAsia="仿宋_GB2312" w:hAnsi="仿宋_GB2312"/>
          <w:sz w:val="32"/>
          <w:szCs w:val="32"/>
        </w:rPr>
      </w:pPr>
      <w:r>
        <w:rPr>
          <w:rFonts w:ascii="仿宋_GB2312" w:eastAsia="仿宋_GB2312" w:cs="仿宋_GB2312" w:hAnsi="仿宋_GB2312" w:hint="eastAsia"/>
          <w:sz w:val="32"/>
          <w:szCs w:val="32"/>
        </w:rPr>
        <w:t>2024年我市</w:t>
      </w:r>
      <w:r>
        <w:rPr>
          <w:rFonts w:eastAsia="仿宋_GB2312" w:hAnsi="仿宋_GB2312" w:hint="eastAsia"/>
          <w:sz w:val="32"/>
          <w:szCs w:val="32"/>
        </w:rPr>
        <w:t>职工基本医疗保险政策范围内住院费用基金报销比为91.47%。政策范围内门诊费用基金报销比为57.28%。</w:t>
      </w:r>
    </w:p>
    <w:p>
      <w:pPr>
        <w:spacing w:line="596" w:lineRule="exact"/>
        <w:ind w:firstLineChars="200" w:firstLine="640"/>
        <w:rPr>
          <w:rFonts w:eastAsia="仿宋_GB2312" w:hAnsi="仿宋_GB2312"/>
          <w:sz w:val="32"/>
          <w:szCs w:val="32"/>
        </w:rPr>
      </w:pPr>
      <w:r>
        <w:rPr>
          <w:rFonts w:eastAsia="仿宋_GB2312" w:hAnsi="仿宋_GB2312" w:hint="eastAsia"/>
          <w:sz w:val="32"/>
          <w:szCs w:val="32"/>
        </w:rPr>
        <w:t>（3）可持续影响分析。</w:t>
      </w:r>
    </w:p>
    <w:p>
      <w:pPr>
        <w:spacing w:line="596" w:lineRule="exact"/>
        <w:ind w:firstLineChars="200" w:firstLine="640"/>
        <w:rPr>
          <w:rFonts w:eastAsia="仿宋_GB2312"/>
          <w:sz w:val="32"/>
          <w:szCs w:val="32"/>
        </w:rPr>
      </w:pPr>
      <w:r>
        <w:rPr>
          <w:rFonts w:eastAsia="仿宋_GB2312" w:hint="eastAsia"/>
          <w:sz w:val="32"/>
          <w:szCs w:val="32"/>
        </w:rPr>
        <w:t>2024年我市</w:t>
      </w:r>
      <w:r>
        <w:rPr>
          <w:rFonts w:eastAsia="仿宋_GB2312"/>
          <w:sz w:val="32"/>
          <w:szCs w:val="32"/>
        </w:rPr>
        <w:t>职工医保</w:t>
      </w:r>
      <w:r>
        <w:rPr>
          <w:rFonts w:eastAsia="仿宋_GB2312" w:hint="eastAsia"/>
          <w:sz w:val="32"/>
          <w:szCs w:val="32"/>
        </w:rPr>
        <w:t>统筹基金当期结余59,601.78万元，</w:t>
      </w:r>
      <w:r>
        <w:rPr>
          <w:rFonts w:eastAsia="仿宋_GB2312"/>
          <w:sz w:val="32"/>
          <w:szCs w:val="32"/>
        </w:rPr>
        <w:t>统筹基金累计结余117,406万元</w:t>
      </w:r>
      <w:r>
        <w:rPr>
          <w:rFonts w:eastAsia="仿宋_GB2312" w:hint="eastAsia"/>
          <w:sz w:val="32"/>
          <w:szCs w:val="32"/>
        </w:rPr>
        <w:t>。统</w:t>
      </w:r>
      <w:r>
        <w:rPr>
          <w:rFonts w:eastAsia="仿宋_GB2312"/>
          <w:sz w:val="32"/>
          <w:szCs w:val="32"/>
        </w:rPr>
        <w:t>筹基金可支付月数为8.59个月（预算支出不包含省级统筹调剂金），统筹基金累计结余可支撑月数为7.91个月（预算支出包含省级统筹调剂金）</w:t>
      </w:r>
      <w:r>
        <w:rPr>
          <w:rFonts w:eastAsia="仿宋_GB2312" w:hint="eastAsia"/>
          <w:sz w:val="32"/>
          <w:szCs w:val="32"/>
        </w:rPr>
        <w:t>，</w:t>
      </w:r>
      <w:r>
        <w:rPr>
          <w:rFonts w:eastAsia="仿宋_GB2312"/>
          <w:sz w:val="32"/>
          <w:szCs w:val="32"/>
        </w:rPr>
        <w:t>较上年4.45个月增加</w:t>
      </w:r>
      <w:r>
        <w:rPr>
          <w:rFonts w:eastAsia="仿宋_GB2312" w:hint="eastAsia"/>
          <w:sz w:val="32"/>
          <w:szCs w:val="32"/>
        </w:rPr>
        <w:t>4.14</w:t>
      </w:r>
      <w:r>
        <w:rPr>
          <w:rFonts w:eastAsia="仿宋_GB2312"/>
          <w:sz w:val="32"/>
          <w:szCs w:val="32"/>
        </w:rPr>
        <w:t>个月，统筹基金当期结余率为27.06%。统筹基金累计结余可支付月数高于6个月的风险预警水平，职工医保统筹基金脱离风险预警状态。</w:t>
      </w:r>
    </w:p>
    <w:p>
      <w:pPr>
        <w:spacing w:line="596" w:lineRule="exact"/>
        <w:ind w:firstLineChars="200" w:firstLine="640"/>
        <w:rPr>
          <w:rFonts w:eastAsia="仿宋_GB2312" w:hAnsi="仿宋_GB2312"/>
          <w:sz w:val="32"/>
          <w:szCs w:val="32"/>
        </w:rPr>
      </w:pPr>
      <w:r>
        <w:rPr>
          <w:rFonts w:eastAsia="仿宋_GB2312" w:hAnsi="仿宋_GB2312" w:hint="eastAsia"/>
          <w:sz w:val="32"/>
          <w:szCs w:val="32"/>
        </w:rPr>
        <w:t>（4）满意度指标完成情况分析。</w:t>
      </w:r>
    </w:p>
    <w:p>
      <w:pPr>
        <w:spacing w:line="596" w:lineRule="exact"/>
        <w:ind w:firstLineChars="200" w:firstLine="640"/>
        <w:rPr>
          <w:rFonts w:eastAsia="仿宋_GB2312"/>
          <w:sz w:val="32"/>
          <w:szCs w:val="32"/>
        </w:rPr>
      </w:pPr>
      <w:r>
        <w:rPr>
          <w:rFonts w:eastAsia="仿宋_GB2312" w:hint="eastAsia"/>
          <w:sz w:val="32"/>
          <w:szCs w:val="32"/>
        </w:rPr>
        <w:t>根据医保经办机构好差评评价和参保人员反馈意见，我市参保对象对职工医保政策宣传、医保经办服务表示满意，满意度达到95%以上。</w:t>
      </w:r>
    </w:p>
    <w:p>
      <w:pPr>
        <w:spacing w:line="596" w:lineRule="exact"/>
        <w:ind w:firstLineChars="200" w:firstLine="640"/>
        <w:rPr>
          <w:rFonts w:ascii="黑体" w:eastAsia="黑体" w:cs="黑体" w:hAnsi="黑体"/>
          <w:bCs/>
          <w:sz w:val="32"/>
          <w:szCs w:val="32"/>
        </w:rPr>
      </w:pPr>
      <w:r>
        <w:rPr>
          <w:rFonts w:ascii="黑体" w:eastAsia="黑体" w:cs="黑体" w:hAnsi="黑体" w:hint="eastAsia"/>
          <w:bCs/>
          <w:sz w:val="32"/>
          <w:szCs w:val="32"/>
        </w:rPr>
        <w:t>五、绩效目标未完成原因和下一步改进措施</w:t>
      </w:r>
    </w:p>
    <w:p>
      <w:pPr>
        <w:spacing w:line="596" w:lineRule="exact"/>
        <w:ind w:firstLineChars="200" w:firstLine="640"/>
        <w:rPr>
          <w:rFonts w:ascii="楷体_GB2312" w:eastAsia="楷体_GB2312" w:hAnsi="楷体"/>
          <w:sz w:val="32"/>
          <w:szCs w:val="32"/>
        </w:rPr>
      </w:pPr>
      <w:r>
        <w:rPr>
          <w:rFonts w:ascii="楷体_GB2312" w:eastAsia="楷体_GB2312" w:hAnsi="楷体" w:hint="eastAsia"/>
          <w:sz w:val="32"/>
          <w:szCs w:val="32"/>
        </w:rPr>
        <w:t>（一）绩效目标未完成原因。</w:t>
      </w:r>
    </w:p>
    <w:p>
      <w:pPr>
        <w:spacing w:line="540" w:lineRule="exact"/>
        <w:ind w:firstLine="640"/>
        <w:rPr>
          <w:rFonts w:eastAsia="仿宋_GB2312" w:hint="eastAsia"/>
          <w:sz w:val="32"/>
          <w:szCs w:val="32"/>
        </w:rPr>
      </w:pPr>
      <w:r>
        <w:rPr>
          <w:rFonts w:eastAsia="仿宋_GB2312" w:hint="eastAsia"/>
          <w:bCs/>
          <w:color w:val="000000"/>
          <w:kern w:val="0"/>
          <w:sz w:val="31"/>
          <w:szCs w:val="31"/>
        </w:rPr>
        <w:t>1.</w:t>
      </w:r>
      <w:r>
        <w:rPr>
          <w:rFonts w:eastAsia="仿宋_GB2312" w:hint="eastAsia"/>
          <w:sz w:val="32"/>
          <w:szCs w:val="32"/>
        </w:rPr>
        <w:t xml:space="preserve"> 以常住人口为基数计算参保目标完成情况。我市以常住人口为基数计算基本医保综合参保率为89.26%，低于95%标准值的5.74个</w:t>
      </w:r>
      <w:r>
        <w:rPr>
          <w:rFonts w:ascii="仿宋_GB2312" w:eastAsia="仿宋_GB2312" w:hint="eastAsia"/>
          <w:sz w:val="32"/>
          <w:szCs w:val="32"/>
        </w:rPr>
        <w:t>百分点。原因是：</w:t>
      </w:r>
      <w:r>
        <w:rPr>
          <w:rFonts w:ascii="仿宋_GB2312" w:eastAsia="仿宋_GB2312" w:cs="楷体_GB2312" w:hAnsi="楷体_GB2312" w:hint="eastAsia"/>
          <w:b/>
          <w:sz w:val="32"/>
          <w:szCs w:val="32"/>
        </w:rPr>
        <w:t>一是参保扩面空间有限。</w:t>
      </w:r>
      <w:r>
        <w:rPr>
          <w:rFonts w:ascii="仿宋_GB2312" w:eastAsia="仿宋_GB2312" w:hint="eastAsia"/>
          <w:bCs/>
          <w:sz w:val="32"/>
          <w:szCs w:val="32"/>
        </w:rPr>
        <w:t>受人口负增长、人口净流出、对已稳定脱贫人口执行资助参保渐退政策调整、缴费标准逐年上涨等因素影响，居民参保意愿不强，企业在有选择的前提下，选择外地参保。医保参保人数持续下降，参保扩面空间有限。另外城乡居民医保实行自愿参保原则，没有强制性，参保主要依靠医保一线工作人员、村（社区）干部、学校老师等人员宣传动员，参保动员工作覆盖范围广难度大。</w:t>
      </w:r>
      <w:r>
        <w:rPr>
          <w:rFonts w:ascii="仿宋_GB2312" w:eastAsia="仿宋_GB2312" w:cs="楷体_GB2312" w:hint="eastAsia"/>
          <w:b/>
          <w:sz w:val="32"/>
          <w:szCs w:val="32"/>
        </w:rPr>
        <w:t>二是部分学校未严格落实学籍地参保政策。</w:t>
      </w:r>
      <w:r>
        <w:rPr>
          <w:rFonts w:ascii="仿宋_GB2312" w:eastAsia="仿宋_GB2312" w:hint="eastAsia"/>
          <w:sz w:val="32"/>
          <w:szCs w:val="32"/>
        </w:rPr>
        <w:t>国家医保局、教育部、财政部相关文件要求，大中专学生原则上应在学籍地参保，教育部门及各有关高校要为大学生参保提供便利。但近年来我市高校、大中专院校的参保率下降明显，初高中学校外地户籍学生也有部分未在本市参保，大学生本地参保率较低。</w:t>
      </w:r>
      <w:r>
        <w:rPr>
          <w:rFonts w:ascii="仿宋_GB2312" w:eastAsia="仿宋_GB2312" w:cs="楷体_GB2312" w:hint="eastAsia"/>
          <w:b/>
          <w:sz w:val="32"/>
          <w:szCs w:val="32"/>
        </w:rPr>
        <w:t>三是参保底数不清。</w:t>
      </w:r>
      <w:r>
        <w:rPr>
          <w:rFonts w:eastAsia="仿宋_GB2312" w:hint="eastAsia"/>
          <w:sz w:val="32"/>
          <w:szCs w:val="32"/>
        </w:rPr>
        <w:t>无法掌握</w:t>
      </w:r>
      <w:r>
        <w:rPr>
          <w:rFonts w:eastAsia="仿宋_GB2312"/>
          <w:sz w:val="32"/>
          <w:szCs w:val="32"/>
        </w:rPr>
        <w:t>全市常住人口底数</w:t>
      </w:r>
      <w:r>
        <w:rPr>
          <w:rFonts w:eastAsia="仿宋_GB2312" w:hint="eastAsia"/>
          <w:sz w:val="32"/>
          <w:szCs w:val="32"/>
        </w:rPr>
        <w:t>、户籍人口及自然流动明细信息，导致进一步精准扩面困难，仅仅</w:t>
      </w:r>
      <w:r>
        <w:rPr>
          <w:rFonts w:eastAsia="仿宋_GB2312"/>
          <w:sz w:val="32"/>
          <w:szCs w:val="32"/>
        </w:rPr>
        <w:t>通过比对上年度实际缴费人员信息</w:t>
      </w:r>
      <w:r>
        <w:rPr>
          <w:rFonts w:eastAsia="仿宋_GB2312" w:hint="eastAsia"/>
          <w:sz w:val="32"/>
          <w:szCs w:val="32"/>
        </w:rPr>
        <w:t>摸排</w:t>
      </w:r>
      <w:r>
        <w:rPr>
          <w:rFonts w:eastAsia="仿宋_GB2312"/>
          <w:sz w:val="32"/>
          <w:szCs w:val="32"/>
        </w:rPr>
        <w:t>当前年度的参保潜在人员，故无法向乡镇提供较为准确的未参保人员名单，</w:t>
      </w:r>
      <w:r>
        <w:rPr>
          <w:rFonts w:eastAsia="仿宋_GB2312" w:hint="eastAsia"/>
          <w:sz w:val="32"/>
          <w:szCs w:val="32"/>
        </w:rPr>
        <w:t>导致参保</w:t>
      </w:r>
      <w:r>
        <w:rPr>
          <w:rFonts w:eastAsia="仿宋_GB2312"/>
          <w:sz w:val="32"/>
          <w:szCs w:val="32"/>
        </w:rPr>
        <w:t>工作难以精准落实</w:t>
      </w:r>
      <w:r>
        <w:rPr>
          <w:rFonts w:eastAsia="仿宋_GB2312" w:hint="eastAsia"/>
          <w:sz w:val="32"/>
          <w:szCs w:val="32"/>
        </w:rPr>
        <w:t>。</w:t>
      </w:r>
    </w:p>
    <w:p>
      <w:pPr>
        <w:spacing w:line="540" w:lineRule="exact"/>
        <w:ind w:firstLineChars="196" w:firstLine="627"/>
        <w:rPr>
          <w:rFonts w:eastAsia="仿宋_GB2312" w:hint="eastAsia"/>
          <w:bCs/>
          <w:sz w:val="32"/>
          <w:szCs w:val="32"/>
        </w:rPr>
      </w:pPr>
      <w:r>
        <w:rPr>
          <w:rFonts w:eastAsia="仿宋_GB2312" w:hint="eastAsia"/>
          <w:bCs/>
          <w:sz w:val="32"/>
          <w:szCs w:val="32"/>
        </w:rPr>
        <w:t>2.职工医保收入预算完成情况。</w:t>
      </w:r>
      <w:r>
        <w:rPr>
          <w:rFonts w:eastAsia="仿宋_GB2312" w:hint="eastAsia"/>
          <w:sz w:val="32"/>
          <w:szCs w:val="32"/>
        </w:rPr>
        <w:t>我市</w:t>
      </w:r>
      <w:r>
        <w:rPr>
          <w:rFonts w:eastAsia="仿宋_GB2312" w:hint="eastAsia"/>
          <w:color w:val="000000"/>
          <w:sz w:val="32"/>
          <w:szCs w:val="32"/>
        </w:rPr>
        <w:t>基金收入预算完成率99.57%，低于100%-105%目标值0.43个百分点。原因是：我市仁和区、西区2024年公务员个人医疗账户补充的2,360万元未按计划在2024年内到位（我市公务员个人医疗账户补充纳入财政年度预算，由市本级及各县区财政根据财政实际运行情况像攀枝花市医疗保障事务中心申报缴费，非硬性缴费收入）。</w:t>
      </w:r>
    </w:p>
    <w:p>
      <w:pPr>
        <w:spacing w:line="540" w:lineRule="exact"/>
        <w:ind w:firstLineChars="196" w:firstLine="627"/>
        <w:rPr>
          <w:rFonts w:eastAsia="仿宋_GB2312"/>
          <w:color w:val="000000"/>
          <w:sz w:val="32"/>
          <w:szCs w:val="32"/>
        </w:rPr>
      </w:pPr>
      <w:r>
        <w:rPr>
          <w:rFonts w:eastAsia="仿宋_GB2312" w:hint="eastAsia"/>
          <w:color w:val="000000"/>
          <w:sz w:val="32"/>
          <w:szCs w:val="32"/>
        </w:rPr>
        <w:t>3.</w:t>
      </w:r>
      <w:r>
        <w:rPr>
          <w:rFonts w:hint="eastAsia"/>
        </w:rPr>
        <w:t xml:space="preserve"> </w:t>
      </w:r>
      <w:r>
        <w:rPr>
          <w:rFonts w:eastAsia="仿宋_GB2312" w:hint="eastAsia"/>
          <w:color w:val="000000"/>
          <w:sz w:val="32"/>
          <w:szCs w:val="32"/>
        </w:rPr>
        <w:t>社会保险待遇支出占基金支出比重情况。我市社会保险待遇支出占基金支出比重89.73%，低于90%目标值0.27个百分点。原因是：</w:t>
      </w:r>
      <w:r>
        <w:rPr>
          <w:rFonts w:eastAsia="仿宋_GB2312" w:hint="eastAsia"/>
          <w:b/>
          <w:bCs/>
          <w:color w:val="000000"/>
          <w:sz w:val="32"/>
          <w:szCs w:val="32"/>
        </w:rPr>
        <w:t>一是</w:t>
      </w:r>
      <w:r>
        <w:rPr>
          <w:rFonts w:eastAsia="仿宋_GB2312" w:hint="eastAsia"/>
          <w:color w:val="000000"/>
          <w:sz w:val="32"/>
          <w:szCs w:val="32"/>
        </w:rPr>
        <w:t>我市2024年基金支出合计数中包含省级</w:t>
      </w:r>
      <w:r>
        <w:rPr>
          <w:rFonts w:eastAsia="仿宋_GB2312" w:hint="eastAsia"/>
          <w:sz w:val="32"/>
          <w:szCs w:val="32"/>
        </w:rPr>
        <w:t>统筹调剂金上解上级支出13715万元，占基金支出合计数的6.11%，由于我市基金总量有限，上解上级支出压缩了待遇支出占比；</w:t>
      </w:r>
      <w:r>
        <w:rPr>
          <w:rFonts w:eastAsia="仿宋_GB2312" w:hint="eastAsia"/>
          <w:b/>
          <w:bCs/>
          <w:sz w:val="32"/>
          <w:szCs w:val="32"/>
        </w:rPr>
        <w:t>二是</w:t>
      </w:r>
      <w:r>
        <w:rPr>
          <w:rFonts w:eastAsia="仿宋_GB2312" w:hint="eastAsia"/>
          <w:sz w:val="32"/>
          <w:szCs w:val="32"/>
        </w:rPr>
        <w:t>我市实施DRG支付方式改革以来，有效</w:t>
      </w:r>
      <w:r>
        <w:rPr>
          <w:rFonts w:eastAsia="仿宋_GB2312"/>
          <w:sz w:val="32"/>
          <w:szCs w:val="32"/>
        </w:rPr>
        <w:t>地</w:t>
      </w:r>
      <w:r>
        <w:rPr>
          <w:rFonts w:eastAsia="仿宋_GB2312" w:hint="eastAsia"/>
          <w:sz w:val="32"/>
          <w:szCs w:val="32"/>
        </w:rPr>
        <w:t>控制了本地区医疗费用的增长，2024年DRG费用增长率为10.12%；</w:t>
      </w:r>
      <w:r>
        <w:rPr>
          <w:rFonts w:eastAsia="仿宋_GB2312" w:hint="eastAsia"/>
          <w:b/>
          <w:bCs/>
          <w:sz w:val="32"/>
          <w:szCs w:val="32"/>
        </w:rPr>
        <w:t>三</w:t>
      </w:r>
      <w:bookmarkStart w:id="0" w:name="_GoBack"/>
      <w:bookmarkEnd w:id="0"/>
      <w:r>
        <w:rPr>
          <w:rFonts w:eastAsia="仿宋_GB2312" w:hint="eastAsia"/>
          <w:b/>
          <w:bCs/>
          <w:sz w:val="32"/>
          <w:szCs w:val="32"/>
        </w:rPr>
        <w:t>是</w:t>
      </w:r>
      <w:r>
        <w:rPr>
          <w:rFonts w:eastAsia="仿宋_GB2312" w:hint="eastAsia"/>
          <w:sz w:val="32"/>
          <w:szCs w:val="32"/>
        </w:rPr>
        <w:t>药械集中采购极大降低了药械采购成本，医疗成本显著下降，2024年药械集中采购节约资金5,487.8万元。</w:t>
      </w:r>
    </w:p>
    <w:p>
      <w:pPr>
        <w:spacing w:line="596" w:lineRule="exact"/>
        <w:ind w:firstLineChars="200" w:firstLine="640"/>
        <w:rPr>
          <w:rFonts w:ascii="楷体_GB2312" w:eastAsia="楷体_GB2312" w:hAnsi="楷体"/>
          <w:sz w:val="32"/>
          <w:szCs w:val="32"/>
        </w:rPr>
      </w:pPr>
      <w:r>
        <w:rPr>
          <w:rFonts w:ascii="楷体_GB2312" w:eastAsia="楷体_GB2312" w:hAnsi="楷体" w:hint="eastAsia"/>
          <w:sz w:val="32"/>
          <w:szCs w:val="32"/>
        </w:rPr>
        <w:t>（二）下一步改进措施。</w:t>
      </w:r>
    </w:p>
    <w:p>
      <w:pPr>
        <w:spacing w:line="540" w:lineRule="exact"/>
        <w:ind w:firstLineChars="200" w:firstLine="640"/>
        <w:rPr>
          <w:rFonts w:eastAsia="仿宋_GB2312" w:hint="eastAsia"/>
          <w:color w:val="000000"/>
          <w:sz w:val="32"/>
          <w:szCs w:val="32"/>
        </w:rPr>
      </w:pPr>
      <w:r>
        <w:rPr>
          <w:rFonts w:eastAsia="仿宋_GB2312" w:hint="eastAsia"/>
          <w:b/>
          <w:bCs/>
          <w:color w:val="000000"/>
          <w:sz w:val="32"/>
          <w:szCs w:val="32"/>
        </w:rPr>
        <w:t>一是</w:t>
      </w:r>
      <w:r>
        <w:rPr>
          <w:rFonts w:eastAsia="仿宋_GB2312" w:hint="eastAsia"/>
          <w:color w:val="000000"/>
          <w:sz w:val="32"/>
          <w:szCs w:val="32"/>
        </w:rPr>
        <w:t>加大参保工作力度。加强参保宣传，让全市居民进一步了解医保、认识医保、主动参保。加强分析研究，及时解决参保工作中出现的新情况新问题。加强统筹调度，定期调度、通报各县（区）参保工作进度，传导工作压力。</w:t>
      </w:r>
    </w:p>
    <w:p>
      <w:pPr>
        <w:spacing w:line="540" w:lineRule="exact"/>
        <w:ind w:firstLineChars="200" w:firstLine="640"/>
        <w:rPr>
          <w:rFonts w:eastAsia="仿宋_GB2312" w:hint="eastAsia"/>
          <w:color w:val="000000"/>
          <w:sz w:val="32"/>
          <w:szCs w:val="32"/>
        </w:rPr>
      </w:pPr>
      <w:r>
        <w:rPr>
          <w:rFonts w:eastAsia="仿宋_GB2312" w:hint="eastAsia"/>
          <w:b/>
          <w:bCs/>
          <w:color w:val="000000"/>
          <w:sz w:val="32"/>
          <w:szCs w:val="32"/>
        </w:rPr>
        <w:t>二是</w:t>
      </w:r>
      <w:r>
        <w:rPr>
          <w:rFonts w:eastAsia="仿宋_GB2312" w:hint="eastAsia"/>
          <w:color w:val="000000"/>
          <w:sz w:val="32"/>
          <w:szCs w:val="32"/>
        </w:rPr>
        <w:t>压实参保工作责任。继续将城乡居民参保人数纳入市委</w:t>
      </w:r>
      <w:r>
        <w:rPr>
          <w:rFonts w:eastAsia="仿宋_GB2312"/>
          <w:color w:val="000000"/>
          <w:sz w:val="32"/>
          <w:szCs w:val="32"/>
        </w:rPr>
        <w:t>、</w:t>
      </w:r>
      <w:r>
        <w:rPr>
          <w:rFonts w:eastAsia="仿宋_GB2312" w:hint="eastAsia"/>
          <w:color w:val="000000"/>
          <w:sz w:val="32"/>
          <w:szCs w:val="32"/>
        </w:rPr>
        <w:t>市政府确定的2025年度42件民生实事之中，下达各县（区）参保目标人数。争取继续将农村低收入人口参保工作纳入对县（乡）党政领导班子和领导干部推进乡村振兴战略实绩考核内容。将城乡居民参保工作纳入政府目标管理。通过发挥考核激励的“指挥棒”作用，层层压实参保工作责任，进一步调动各级抓好参保工作的积极性。</w:t>
      </w:r>
    </w:p>
    <w:p>
      <w:pPr>
        <w:spacing w:line="540" w:lineRule="exact"/>
        <w:ind w:firstLineChars="200" w:firstLine="640"/>
        <w:rPr>
          <w:rFonts w:eastAsia="仿宋_GB2312" w:hint="eastAsia"/>
          <w:color w:val="000000"/>
          <w:sz w:val="32"/>
          <w:szCs w:val="32"/>
        </w:rPr>
      </w:pPr>
      <w:r>
        <w:rPr>
          <w:rFonts w:eastAsia="仿宋_GB2312" w:hint="eastAsia"/>
          <w:b/>
          <w:bCs/>
          <w:color w:val="000000"/>
          <w:sz w:val="32"/>
          <w:szCs w:val="32"/>
        </w:rPr>
        <w:t>三是</w:t>
      </w:r>
      <w:r>
        <w:rPr>
          <w:rFonts w:eastAsia="仿宋_GB2312" w:hint="eastAsia"/>
          <w:color w:val="000000"/>
          <w:sz w:val="32"/>
          <w:szCs w:val="32"/>
        </w:rPr>
        <w:t>持续优化参保缴费服务。创新线下服务机制。将居民参保登记、缴费等事项下沉乡镇（街道）、村（社区）办理，方便群众“就近办”；为新生儿提供参保登记“一次办”，为残疾人、独居老人等特殊群体提供“上门办”服务。畅通线上办理渠道。开通职工医保个人账户线上代缴城乡居民医保费等服务，方便群众参保登记、缴费“掌上办”。积极推行代扣代缴。会同税务部门大力推行参保人与银行签订医保费代扣协议，尽量减少因忘记缴费出现断保、漏保。</w:t>
      </w:r>
    </w:p>
    <w:p>
      <w:pPr>
        <w:spacing w:line="540" w:lineRule="exact"/>
        <w:ind w:firstLineChars="200" w:firstLine="640"/>
        <w:rPr>
          <w:rFonts w:eastAsia="仿宋_GB2312" w:hint="eastAsia"/>
          <w:color w:val="000000"/>
          <w:sz w:val="32"/>
          <w:szCs w:val="32"/>
        </w:rPr>
      </w:pPr>
      <w:r>
        <w:rPr>
          <w:rFonts w:eastAsia="仿宋_GB2312" w:hint="eastAsia"/>
          <w:b/>
          <w:bCs/>
          <w:color w:val="000000"/>
          <w:sz w:val="32"/>
          <w:szCs w:val="32"/>
        </w:rPr>
        <w:t>四是</w:t>
      </w:r>
      <w:r>
        <w:rPr>
          <w:rFonts w:eastAsia="仿宋_GB2312" w:hint="eastAsia"/>
          <w:color w:val="000000"/>
          <w:sz w:val="32"/>
          <w:szCs w:val="32"/>
        </w:rPr>
        <w:t>精细化</w:t>
      </w:r>
      <w:r>
        <w:rPr>
          <w:rFonts w:eastAsia="仿宋_GB2312"/>
          <w:color w:val="000000"/>
          <w:sz w:val="32"/>
          <w:szCs w:val="32"/>
        </w:rPr>
        <w:t>基金预算</w:t>
      </w:r>
      <w:r>
        <w:rPr>
          <w:rFonts w:eastAsia="仿宋_GB2312" w:hint="eastAsia"/>
          <w:color w:val="000000"/>
          <w:sz w:val="32"/>
          <w:szCs w:val="32"/>
        </w:rPr>
        <w:t>编制。</w:t>
      </w:r>
      <w:r>
        <w:rPr>
          <w:rFonts w:eastAsia="仿宋_GB2312"/>
          <w:color w:val="000000"/>
          <w:sz w:val="32"/>
          <w:szCs w:val="32"/>
        </w:rPr>
        <w:t>进一步优化基金预算管理流程，做好政策调整、新业务开展、人员结构变化、医疗费用变化等预算因素的精细测算，确保基金预算编制的科学性和准确性，不断提升基金预算编制水平。</w:t>
      </w:r>
    </w:p>
    <w:p>
      <w:pPr>
        <w:spacing w:line="540" w:lineRule="exact"/>
        <w:ind w:firstLineChars="200" w:firstLine="640"/>
        <w:rPr>
          <w:rFonts w:eastAsia="仿宋_GB2312" w:hint="eastAsia"/>
          <w:color w:val="000000"/>
          <w:sz w:val="32"/>
          <w:szCs w:val="32"/>
        </w:rPr>
      </w:pPr>
      <w:r>
        <w:rPr>
          <w:rFonts w:eastAsia="仿宋_GB2312" w:hint="eastAsia"/>
          <w:b/>
          <w:bCs/>
          <w:color w:val="000000"/>
          <w:sz w:val="32"/>
          <w:szCs w:val="32"/>
        </w:rPr>
        <w:t>五是</w:t>
      </w:r>
      <w:r>
        <w:rPr>
          <w:rFonts w:eastAsia="仿宋_GB2312"/>
          <w:color w:val="000000"/>
          <w:sz w:val="32"/>
          <w:szCs w:val="32"/>
        </w:rPr>
        <w:t>健全协调联动机制</w:t>
      </w:r>
      <w:r>
        <w:rPr>
          <w:rFonts w:eastAsia="仿宋_GB2312" w:hint="eastAsia"/>
          <w:color w:val="000000"/>
          <w:sz w:val="32"/>
          <w:szCs w:val="32"/>
        </w:rPr>
        <w:t>。</w:t>
      </w:r>
      <w:r>
        <w:rPr>
          <w:rFonts w:eastAsia="仿宋_GB2312"/>
          <w:color w:val="000000"/>
          <w:sz w:val="32"/>
          <w:szCs w:val="32"/>
        </w:rPr>
        <w:t>建立</w:t>
      </w:r>
      <w:r>
        <w:rPr>
          <w:rFonts w:eastAsia="仿宋_GB2312" w:hint="eastAsia"/>
          <w:color w:val="000000"/>
          <w:sz w:val="32"/>
          <w:szCs w:val="32"/>
        </w:rPr>
        <w:t>医保、税务、财政等部门</w:t>
      </w:r>
      <w:r>
        <w:rPr>
          <w:rFonts w:eastAsia="仿宋_GB2312"/>
          <w:color w:val="000000"/>
          <w:sz w:val="32"/>
          <w:szCs w:val="32"/>
        </w:rPr>
        <w:t>的协调联动机制，加强各级相关部门之间的沟通与协作</w:t>
      </w:r>
      <w:r>
        <w:rPr>
          <w:rFonts w:eastAsia="仿宋_GB2312" w:hint="eastAsia"/>
          <w:color w:val="000000"/>
          <w:sz w:val="32"/>
          <w:szCs w:val="32"/>
        </w:rPr>
        <w:t>，</w:t>
      </w:r>
      <w:r>
        <w:rPr>
          <w:rFonts w:eastAsia="仿宋_GB2312"/>
          <w:color w:val="000000"/>
          <w:sz w:val="32"/>
          <w:szCs w:val="32"/>
        </w:rPr>
        <w:t>定期联合</w:t>
      </w:r>
      <w:r>
        <w:rPr>
          <w:rFonts w:eastAsia="仿宋_GB2312" w:hint="eastAsia"/>
          <w:color w:val="000000"/>
          <w:sz w:val="32"/>
          <w:szCs w:val="32"/>
        </w:rPr>
        <w:t>研判各项绩效现状</w:t>
      </w:r>
      <w:r>
        <w:rPr>
          <w:rFonts w:eastAsia="仿宋_GB2312"/>
          <w:color w:val="000000"/>
          <w:sz w:val="32"/>
          <w:szCs w:val="32"/>
        </w:rPr>
        <w:t>，确保基金预算绩效管理得到有效执行。</w:t>
      </w:r>
    </w:p>
    <w:p>
      <w:pPr>
        <w:spacing w:line="540" w:lineRule="exact"/>
        <w:ind w:firstLineChars="200" w:firstLine="640"/>
        <w:rPr>
          <w:rFonts w:eastAsia="仿宋_GB2312"/>
          <w:sz w:val="32"/>
          <w:szCs w:val="32"/>
        </w:rPr>
      </w:pPr>
      <w:r>
        <w:rPr>
          <w:rFonts w:eastAsia="仿宋_GB2312" w:hint="eastAsia"/>
          <w:b/>
          <w:bCs/>
          <w:color w:val="000000"/>
          <w:sz w:val="32"/>
          <w:szCs w:val="32"/>
        </w:rPr>
        <w:t>六是</w:t>
      </w:r>
      <w:r>
        <w:rPr>
          <w:rFonts w:eastAsia="仿宋_GB2312" w:hint="eastAsia"/>
          <w:color w:val="000000"/>
          <w:sz w:val="32"/>
          <w:szCs w:val="32"/>
        </w:rPr>
        <w:t>优化待遇支付结构。根据省级统筹相关政策安排，适度调整医保待遇，保障参保群众医疗待遇水平</w:t>
      </w:r>
      <w:r>
        <w:rPr>
          <w:rFonts w:eastAsia="仿宋_GB2312" w:hint="eastAsia"/>
          <w:sz w:val="32"/>
          <w:szCs w:val="32"/>
        </w:rPr>
        <w:t>。</w:t>
      </w:r>
    </w:p>
    <w:p>
      <w:pPr>
        <w:spacing w:line="540" w:lineRule="exact"/>
        <w:ind w:firstLine="640"/>
        <w:rPr>
          <w:rFonts w:eastAsia="仿宋_GB2312"/>
          <w:b/>
          <w:bCs/>
          <w:color w:val="000000"/>
          <w:sz w:val="32"/>
          <w:szCs w:val="32"/>
        </w:rPr>
      </w:pPr>
    </w:p>
    <w:p>
      <w:pPr>
        <w:spacing w:line="580" w:lineRule="exact"/>
        <w:ind w:firstLine="624"/>
        <w:rPr>
          <w:rFonts w:ascii="仿宋_GB2312" w:eastAsia="仿宋_GB2312"/>
          <w:color w:val="000000"/>
          <w:sz w:val="32"/>
          <w:szCs w:val="32"/>
        </w:rPr>
      </w:pPr>
    </w:p>
    <w:p>
      <w:pPr>
        <w:spacing w:line="580" w:lineRule="exact"/>
        <w:ind w:firstLine="624"/>
        <w:rPr>
          <w:rFonts w:ascii="仿宋_GB2312" w:eastAsia="仿宋_GB2312"/>
          <w:color w:val="000000"/>
          <w:sz w:val="32"/>
          <w:szCs w:val="32"/>
        </w:rPr>
      </w:pPr>
    </w:p>
    <w:p>
      <w:pPr>
        <w:spacing w:line="360" w:lineRule="auto"/>
        <w:ind w:leftChars="304" w:left="1598" w:hangingChars="300" w:hanging="960"/>
        <w:jc w:val="left"/>
        <w:rPr>
          <w:rFonts w:eastAsia="仿宋_GB2312"/>
          <w:color w:val="000000"/>
          <w:sz w:val="32"/>
          <w:szCs w:val="32"/>
        </w:rPr>
      </w:pPr>
      <w:r>
        <w:rPr>
          <w:rFonts w:eastAsia="仿宋_GB2312"/>
          <w:color w:val="000000"/>
          <w:sz w:val="32"/>
          <w:szCs w:val="32"/>
        </w:rPr>
        <w:t>附件：</w:t>
      </w:r>
      <w:r>
        <w:rPr>
          <w:rFonts w:eastAsia="仿宋_GB2312" w:hint="eastAsia"/>
          <w:color w:val="000000"/>
          <w:sz w:val="32"/>
          <w:szCs w:val="32"/>
        </w:rPr>
        <w:t>攀枝花市2024年基本医疗保险基金预算绩效自评表</w:t>
      </w:r>
    </w:p>
    <w:p>
      <w:pPr>
        <w:spacing w:line="540" w:lineRule="exact"/>
        <w:ind w:firstLineChars="1550" w:firstLine="4960"/>
        <w:rPr>
          <w:rFonts w:eastAsia="仿宋_GB2312"/>
          <w:color w:val="000000"/>
          <w:sz w:val="32"/>
          <w:szCs w:val="32"/>
        </w:rPr>
      </w:pPr>
    </w:p>
    <w:p>
      <w:pPr>
        <w:spacing w:line="540" w:lineRule="exact"/>
        <w:ind w:firstLineChars="1550" w:firstLine="4960"/>
        <w:rPr>
          <w:rFonts w:eastAsia="仿宋_GB2312"/>
          <w:color w:val="000000"/>
          <w:sz w:val="32"/>
          <w:szCs w:val="32"/>
        </w:rPr>
      </w:pPr>
    </w:p>
    <w:p>
      <w:pPr>
        <w:spacing w:line="540" w:lineRule="exact"/>
        <w:ind w:firstLineChars="1550" w:firstLine="4960"/>
        <w:rPr>
          <w:rFonts w:eastAsia="仿宋_GB2312"/>
          <w:color w:val="000000"/>
          <w:sz w:val="32"/>
          <w:szCs w:val="32"/>
        </w:rPr>
      </w:pPr>
      <w:r>
        <w:rPr>
          <w:rFonts w:eastAsia="仿宋_GB2312"/>
          <w:color w:val="000000"/>
          <w:sz w:val="32"/>
          <w:szCs w:val="32"/>
        </w:rPr>
        <w:t xml:space="preserve">攀枝花市医疗保障局              </w:t>
      </w:r>
    </w:p>
    <w:p>
      <w:pPr>
        <w:spacing w:line="540" w:lineRule="exact"/>
        <w:ind w:right="800"/>
        <w:jc w:val="center"/>
        <w:rPr>
          <w:rFonts w:eastAsia="仿宋_GB2312"/>
          <w:color w:val="000000"/>
          <w:sz w:val="32"/>
          <w:szCs w:val="32"/>
        </w:rPr>
      </w:pPr>
      <w:r>
        <w:rPr>
          <w:rFonts w:eastAsia="仿宋_GB2312"/>
          <w:color w:val="000000"/>
          <w:sz w:val="32"/>
          <w:szCs w:val="32"/>
        </w:rPr>
        <w:t xml:space="preserve">                                202</w:t>
      </w:r>
      <w:r>
        <w:rPr>
          <w:rFonts w:eastAsia="仿宋_GB2312" w:hint="eastAsia"/>
          <w:color w:val="000000"/>
          <w:sz w:val="32"/>
          <w:szCs w:val="32"/>
        </w:rPr>
        <w:t>5</w:t>
      </w:r>
      <w:r>
        <w:rPr>
          <w:rFonts w:eastAsia="仿宋_GB2312"/>
          <w:color w:val="000000"/>
          <w:sz w:val="32"/>
          <w:szCs w:val="32"/>
        </w:rPr>
        <w:t>年</w:t>
      </w:r>
      <w:r>
        <w:rPr>
          <w:rFonts w:eastAsia="仿宋_GB2312" w:hint="eastAsia"/>
          <w:color w:val="000000"/>
          <w:sz w:val="32"/>
          <w:szCs w:val="32"/>
          <w:lang w:val="en-US" w:eastAsia="zh-CN"/>
        </w:rPr>
        <w:t>5</w:t>
      </w:r>
      <w:r>
        <w:rPr>
          <w:rFonts w:eastAsia="仿宋_GB2312"/>
          <w:color w:val="000000"/>
          <w:sz w:val="32"/>
          <w:szCs w:val="32"/>
        </w:rPr>
        <w:t>月</w:t>
      </w:r>
      <w:r>
        <w:rPr>
          <w:rFonts w:eastAsia="仿宋_GB2312" w:hint="eastAsia"/>
          <w:color w:val="000000"/>
          <w:sz w:val="32"/>
          <w:szCs w:val="32"/>
          <w:lang w:val="en-US" w:eastAsia="zh-CN"/>
        </w:rPr>
        <w:t>8</w:t>
      </w:r>
      <w:r>
        <w:rPr>
          <w:rFonts w:eastAsia="仿宋_GB2312"/>
          <w:color w:val="000000"/>
          <w:sz w:val="32"/>
          <w:szCs w:val="32"/>
        </w:rPr>
        <w:t>日</w:t>
      </w:r>
    </w:p>
    <w:p>
      <w:pPr>
        <w:spacing w:line="540" w:lineRule="exact"/>
        <w:ind w:right="800"/>
        <w:jc w:val="center"/>
      </w:pPr>
    </w:p>
    <w:p>
      <w:pPr>
        <w:spacing w:line="540" w:lineRule="exact"/>
        <w:ind w:right="800"/>
        <w:jc w:val="center"/>
      </w:pPr>
    </w:p>
    <w:p>
      <w:pPr>
        <w:spacing w:line="540" w:lineRule="exact"/>
        <w:ind w:right="800"/>
      </w:pPr>
    </w:p>
    <w:sectPr>
      <w:footerReference w:type="default" r:id="rId2"/>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variable"/>
    <w:sig w:usb0="00000001" w:usb1="080E0000" w:usb2="00000000" w:usb3="00000000" w:csb0="00040000" w:csb1="0000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203" w:usb1="288F0000" w:usb2="00000006" w:usb3="00000000" w:csb0="00040001" w:csb1="00000000"/>
  </w:font>
  <w:font w:name="Lucida Sans">
    <w:panose1 w:val="020B0602030504020204"/>
    <w:charset w:val="00"/>
    <w:family w:val="auto"/>
    <w:pitch w:val="variable"/>
    <w:sig w:usb0="00000003" w:usb1="00000000" w:usb2="00000000" w:usb3="00000000" w:csb0="2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44873127"/>
    </w:sdtPr>
    <w:sdtContent>
      <w:p>
        <w:pPr>
          <w:pStyle w:val="16"/>
          <w:tabs>
            <w:tab w:val="center" w:pos="4153"/>
            <w:tab w:val="right" w:pos="8306"/>
          </w:tabs>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16"/>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16A46EA"/>
    <w:multiLevelType w:val="singleLevel"/>
    <w:tmpl w:val="316A46EA"/>
    <w:lvl w:ilvl="0">
      <w:start w:val="1"/>
      <w:numFmt w:val="chineseCounting"/>
      <w:lvlRestart w:val="0"/>
      <w:suff w:val="nothing"/>
      <w:lvlText w:val="%1、"/>
      <w:lvlJc w:val="left"/>
      <w:pPr/>
      <w:rPr>
        <w:rFonts w:hint="eastAsia"/>
      </w:rPr>
    </w:lvl>
  </w:abstractNum>
  <w:abstractNum w:abstractNumId="1">
    <w:nsid w:val="6D73EEA4"/>
    <w:multiLevelType w:val="singleLevel"/>
    <w:tmpl w:val="6D73EEA4"/>
    <w:lvl w:ilvl="0">
      <w:start w:val="2"/>
      <w:numFmt w:val="chineseCounting"/>
      <w:lvlRestart w:val="0"/>
      <w:suff w:val="nothing"/>
      <w:lvlText w:val="（%1）"/>
      <w:lvlJc w:val="left"/>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OGFhNDllMWRmNGIxNmY5MGQ0ZjZiYTY1YmIwY2I3MG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alloon Text"/>
    <w:basedOn w:val="0"/>
    <w:rPr>
      <w:sz w:val="18"/>
      <w:szCs w:val="18"/>
    </w:rPr>
  </w:style>
  <w:style w:type="paragraph" w:styleId="16">
    <w:name w:val="footer"/>
    <w:basedOn w:val="0"/>
    <w:next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spacing w:beforeAutospacing="1" w:afterAutospacing="1"/>
      <w:jc w:val="left"/>
    </w:pPr>
    <w:rPr>
      <w:kern w:val="0"/>
      <w:sz w:val="24"/>
    </w:rPr>
  </w:style>
  <w:style w:type="character" w:styleId="19">
    <w:name w:val="Emphasis"/>
    <w:basedOn w:val="10"/>
    <w:rPr>
      <w:i/>
    </w:rPr>
  </w:style>
  <w:style w:type="paragraph" w:customStyle="1" w:styleId="20">
    <w:name w:val="修订1"/>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3 5 12 0 0 1 0 0 0 3000 0 1 1 1 1"/>
    <sectPr/>
  </customProps>
</customData>
</file>

<file path=customXml/itemProps1.xml><?xml version="1.0" encoding="utf-8"?>
<ds:datastoreItem xmlns:ds="http://schemas.openxmlformats.org/officeDocument/2006/customXml" ds:itemID="{97F849BE-B169-4FD0-BEBA-667C95E8246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188</TotalTime>
  <Application>Yozo_Office27021597764231179</Application>
  <Pages>8</Pages>
  <Words>0</Words>
  <Characters>2972</Characters>
  <Lines>0</Lines>
  <Paragraphs>60</Paragraphs>
  <CharactersWithSpaces>3963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user</cp:lastModifiedBy>
  <cp:revision>18</cp:revision>
  <dcterms:created xsi:type="dcterms:W3CDTF">2025-04-24T02:04:00Z</dcterms:created>
  <dcterms:modified xsi:type="dcterms:W3CDTF">2025-05-26T11:41:18Z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2052-12.1.0.20784</vt:lpwstr>
  </property>
  <property fmtid="{D5CDD505-2E9C-101B-9397-08002B2CF9AE}" pid="3" name="ICV">
    <vt:lpwstr>7AB6B6AB76F04AAC94405C3F7DB2C1D2_13</vt:lpwstr>
  </property>
  <property fmtid="{D5CDD505-2E9C-101B-9397-08002B2CF9AE}" pid="4" name="KSOTemplateDocerSaveRecord">
    <vt:lpwstr>eyJoZGlkIjoiYWQ3ZDc5ODNlM2Q3YThhMzAxYWQ1ZTU5Njc5NjIyNTUiLCJ1c2VySWQiOiI5Nzg3Mzk1OTYifQ==</vt:lpwstr>
  </property>
</Properties>
</file>