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pacing w:line="600" w:lineRule="exact"/>
        <w:jc w:val="center"/>
      </w:pPr>
      <w:bookmarkStart w:id="0" w:name="_Toc15396475"/>
      <w:bookmarkStart w:id="1" w:name="_Toc15378441"/>
      <w:bookmarkStart w:id="2" w:name="_Toc15377193"/>
      <w:bookmarkStart w:id="3" w:name="_Toc15377425"/>
      <w:bookmarkStart w:id="4" w:name="_Toc15396597"/>
      <w:bookmarkStart w:id="5" w:name="_Toc15306267"/>
    </w:p>
    <w:p>
      <w:pPr>
        <w:spacing w:line="600" w:lineRule="exact"/>
        <w:jc w:val="center"/>
        <w:rPr>
          <w:rFonts w:eastAsia="方正小标宋简体"/>
          <w:sz w:val="72"/>
          <w:szCs w:val="72"/>
        </w:rPr>
      </w:pPr>
    </w:p>
    <w:p>
      <w:pPr>
        <w:spacing w:line="600" w:lineRule="exact"/>
        <w:jc w:val="center"/>
        <w:rPr>
          <w:rFonts w:eastAsia="方正小标宋简体"/>
          <w:sz w:val="72"/>
          <w:szCs w:val="72"/>
        </w:rPr>
      </w:pPr>
    </w:p>
    <w:p>
      <w:pPr>
        <w:spacing w:line="600" w:lineRule="exact"/>
        <w:jc w:val="center"/>
        <w:rPr>
          <w:rFonts w:eastAsia="方正小标宋简体"/>
          <w:sz w:val="72"/>
          <w:szCs w:val="72"/>
        </w:rPr>
      </w:pPr>
    </w:p>
    <w:p>
      <w:pPr>
        <w:adjustRightInd w:val="0"/>
        <w:snapToGrid w:val="0"/>
        <w:spacing w:line="360" w:lineRule="auto"/>
        <w:jc w:val="center"/>
        <w:rPr>
          <w:rFonts w:eastAsia="方正小标宋简体"/>
          <w:sz w:val="72"/>
          <w:szCs w:val="72"/>
        </w:rPr>
      </w:pPr>
      <w:r>
        <w:rPr>
          <w:rFonts w:eastAsia="方正小标宋简体"/>
          <w:sz w:val="72"/>
          <w:szCs w:val="72"/>
        </w:rPr>
        <w:t>2021年度</w:t>
      </w:r>
      <w:bookmarkEnd w:id="0"/>
      <w:bookmarkEnd w:id="1"/>
      <w:bookmarkEnd w:id="2"/>
      <w:bookmarkEnd w:id="3"/>
      <w:bookmarkEnd w:id="4"/>
    </w:p>
    <w:p>
      <w:pPr>
        <w:adjustRightInd w:val="0"/>
        <w:snapToGrid w:val="0"/>
        <w:spacing w:line="360" w:lineRule="auto"/>
        <w:jc w:val="center"/>
        <w:rPr>
          <w:rFonts w:eastAsia="方正小标宋简体"/>
          <w:sz w:val="72"/>
          <w:szCs w:val="72"/>
        </w:rPr>
      </w:pPr>
      <w:bookmarkStart w:id="6" w:name="_Toc15396476"/>
      <w:bookmarkStart w:id="7" w:name="_Toc15378442"/>
      <w:bookmarkStart w:id="8" w:name="_Toc15396598"/>
      <w:bookmarkStart w:id="9" w:name="_Toc15377194"/>
      <w:bookmarkStart w:id="10" w:name="_Toc15377426"/>
      <w:bookmarkStart w:id="11" w:name="_Toc5936"/>
      <w:r>
        <w:rPr>
          <w:rFonts w:eastAsia="方正小标宋简体"/>
          <w:sz w:val="72"/>
          <w:szCs w:val="72"/>
        </w:rPr>
        <w:t>四川省</w:t>
      </w:r>
      <w:bookmarkStart w:id="12" w:name="_Toc15306268"/>
      <w:bookmarkEnd w:id="5"/>
      <w:r>
        <w:rPr>
          <w:rFonts w:eastAsia="方正小标宋简体"/>
          <w:sz w:val="72"/>
          <w:szCs w:val="72"/>
        </w:rPr>
        <w:t>攀枝花市医疗保障</w:t>
      </w:r>
    </w:p>
    <w:p>
      <w:pPr>
        <w:adjustRightInd w:val="0"/>
        <w:snapToGrid w:val="0"/>
        <w:spacing w:line="360" w:lineRule="auto"/>
        <w:jc w:val="center"/>
        <w:rPr>
          <w:rFonts w:eastAsia="方正小标宋简体"/>
          <w:sz w:val="72"/>
          <w:szCs w:val="72"/>
        </w:rPr>
      </w:pPr>
      <w:r>
        <w:rPr>
          <w:rFonts w:eastAsia="方正小标宋简体"/>
          <w:sz w:val="72"/>
          <w:szCs w:val="72"/>
        </w:rPr>
        <w:t>事务中心部门决算</w:t>
      </w:r>
      <w:bookmarkEnd w:id="6"/>
      <w:bookmarkEnd w:id="7"/>
      <w:bookmarkEnd w:id="8"/>
      <w:bookmarkEnd w:id="9"/>
      <w:bookmarkEnd w:id="10"/>
      <w:bookmarkEnd w:id="11"/>
      <w:bookmarkEnd w:id="12"/>
    </w:p>
    <w:p>
      <w:pPr>
        <w:widowControl/>
        <w:jc w:val="center"/>
        <w:rPr>
          <w:rFonts w:eastAsia="黑体"/>
          <w:sz w:val="48"/>
          <w:szCs w:val="48"/>
        </w:rPr>
      </w:pPr>
      <w:r>
        <w:rPr>
          <w:rFonts w:eastAsia="方正小标宋简体"/>
          <w:sz w:val="36"/>
          <w:szCs w:val="36"/>
        </w:rPr>
        <w:br w:type="page"/>
      </w:r>
      <w:r>
        <w:rPr>
          <w:rFonts w:eastAsia="黑体"/>
          <w:sz w:val="48"/>
          <w:szCs w:val="48"/>
        </w:rPr>
        <w:t>目  录</w:t>
      </w:r>
    </w:p>
    <w:sdt>
      <w:sdtPr>
        <w:rPr>
          <w:rFonts w:ascii="宋体" w:hAnsi="宋体"/>
        </w:rPr>
        <w:id w:val="748867328"/>
        <w:docPartObj>
          <w:docPartGallery w:val="Table of Contents"/>
          <w:docPartUnique/>
        </w:docPartObj>
      </w:sdtPr>
      <w:sdtEndPr>
        <w:rPr>
          <w:rFonts w:ascii="Times New Roman" w:eastAsia="黑体" w:hAnsi="Times New Roman"/>
          <w:b/>
          <w:sz w:val="28"/>
          <w:szCs w:val="28"/>
        </w:rPr>
      </w:sdtEndPr>
      <w:sdtContent>
        <w:p>
          <w:pPr>
            <w:jc w:val="center"/>
          </w:pPr>
        </w:p>
        <w:p>
          <w:pPr>
            <w:pStyle w:val="22"/>
            <w:tabs>
              <w:tab w:val="clear" w:pos="8296"/>
              <w:tab w:val="right" w:leader="dot" w:pos="8845"/>
            </w:tabs>
            <w:spacing w:line="560" w:lineRule="exact"/>
            <w:jc w:val="left"/>
            <w:rPr>
              <w:rFonts w:ascii="Times New Roman" w:eastAsia="黑体" w:hAnsi="Times New Roman"/>
              <w:sz w:val="32"/>
              <w:szCs w:val="32"/>
            </w:rPr>
          </w:pPr>
          <w:r>
            <w:rPr>
              <w:rFonts w:ascii="Times New Roman" w:eastAsia="黑体" w:hAnsi="Times New Roman"/>
              <w:sz w:val="32"/>
              <w:szCs w:val="32"/>
            </w:rPr>
            <w:fldChar w:fldCharType="begin"/>
          </w:r>
          <w:r>
            <w:rPr>
              <w:rFonts w:ascii="Times New Roman" w:eastAsia="黑体" w:hAnsi="Times New Roman"/>
              <w:sz w:val="32"/>
              <w:szCs w:val="32"/>
            </w:rPr>
            <w:instrText xml:space="preserve">TOC \o "1-2" \h \u </w:instrText>
          </w:r>
          <w:r>
            <w:rPr>
              <w:rFonts w:ascii="Times New Roman" w:eastAsia="黑体" w:hAnsi="Times New Roman"/>
              <w:sz w:val="32"/>
              <w:szCs w:val="32"/>
            </w:rPr>
            <w:fldChar w:fldCharType="separate"/>
          </w:r>
          <w:r>
            <w:fldChar w:fldCharType="begin"/>
          </w:r>
          <w:r>
            <w:instrText>Hyperlink \l "_Toc3448"</w:instrText>
          </w:r>
          <w:r>
            <w:fldChar w:fldCharType="separate"/>
          </w:r>
          <w:r>
            <w:rPr>
              <w:rFonts w:ascii="Times New Roman" w:eastAsia="黑体" w:hAnsi="Times New Roman"/>
              <w:sz w:val="32"/>
              <w:szCs w:val="32"/>
            </w:rPr>
            <w:t>第一部分  部门概况</w:t>
            <w:tab/>
          </w:r>
          <w:r>
            <w:rPr>
              <w:rFonts w:ascii="Times New Roman" w:eastAsia="黑体" w:hAnsi="Times New Roman"/>
              <w:sz w:val="32"/>
              <w:szCs w:val="32"/>
            </w:rPr>
            <w:fldChar w:fldCharType="begin"/>
          </w:r>
          <w:r>
            <w:rPr>
              <w:rFonts w:ascii="Times New Roman" w:eastAsia="黑体" w:hAnsi="Times New Roman"/>
              <w:sz w:val="32"/>
              <w:szCs w:val="32"/>
            </w:rPr>
            <w:instrText xml:space="preserve"> PAGEREF _Toc3448 \h </w:instrText>
          </w:r>
          <w:r>
            <w:rPr>
              <w:rFonts w:ascii="Times New Roman" w:eastAsia="黑体" w:hAnsi="Times New Roman"/>
              <w:sz w:val="32"/>
              <w:szCs w:val="32"/>
            </w:rPr>
            <w:fldChar w:fldCharType="separate"/>
          </w:r>
          <w:r>
            <w:rPr>
              <w:rFonts w:ascii="Times New Roman" w:eastAsia="黑体" w:hAnsi="Times New Roman"/>
              <w:sz w:val="32"/>
              <w:szCs w:val="32"/>
            </w:rPr>
            <w:t>4</w:t>
          </w:r>
          <w:r>
            <w:rPr>
              <w:rFonts w:ascii="Times New Roman" w:eastAsia="黑体" w:hAnsi="Times New Roman"/>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"_Toc5603"</w:instrText>
          </w:r>
          <w:r>
            <w:fldChar w:fldCharType="separate"/>
          </w:r>
          <w:r>
            <w:rPr>
              <w:rFonts w:eastAsia="黑体"/>
              <w:sz w:val="32"/>
              <w:szCs w:val="32"/>
            </w:rPr>
            <w:t>一、基本职能及主要工作</w:t>
            <w:tab/>
          </w:r>
          <w:r>
            <w:rPr>
              <w:rFonts w:eastAsia="黑体"/>
              <w:sz w:val="32"/>
              <w:szCs w:val="32"/>
            </w:rPr>
            <w:fldChar w:fldCharType="begin"/>
          </w:r>
          <w:r>
            <w:rPr>
              <w:rFonts w:eastAsia="黑体"/>
              <w:sz w:val="32"/>
              <w:szCs w:val="32"/>
            </w:rPr>
            <w:instrText xml:space="preserve"> PAGEREF _Toc5603 \h </w:instrText>
          </w:r>
          <w:r>
            <w:rPr>
              <w:rFonts w:eastAsia="黑体"/>
              <w:sz w:val="32"/>
              <w:szCs w:val="32"/>
            </w:rPr>
            <w:fldChar w:fldCharType="separate"/>
          </w:r>
          <w:r>
            <w:rPr>
              <w:rFonts w:eastAsia="黑体"/>
              <w:sz w:val="32"/>
              <w:szCs w:val="32"/>
            </w:rPr>
            <w:t>4</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"_Toc12302"</w:instrText>
          </w:r>
          <w:r>
            <w:fldChar w:fldCharType="separate"/>
          </w:r>
          <w:r>
            <w:rPr>
              <w:rFonts w:eastAsia="黑体"/>
              <w:sz w:val="32"/>
              <w:szCs w:val="32"/>
            </w:rPr>
            <w:t>二、机构设置</w:t>
            <w:tab/>
          </w:r>
          <w:r>
            <w:rPr>
              <w:rFonts w:eastAsia="黑体"/>
              <w:sz w:val="32"/>
              <w:szCs w:val="32"/>
            </w:rPr>
            <w:fldChar w:fldCharType="begin"/>
          </w:r>
          <w:r>
            <w:rPr>
              <w:rFonts w:eastAsia="黑体"/>
              <w:sz w:val="32"/>
              <w:szCs w:val="32"/>
            </w:rPr>
            <w:instrText xml:space="preserve"> PAGEREF _Toc12302 \h </w:instrText>
          </w:r>
          <w:r>
            <w:rPr>
              <w:rFonts w:eastAsia="黑体"/>
              <w:sz w:val="32"/>
              <w:szCs w:val="32"/>
            </w:rPr>
            <w:fldChar w:fldCharType="separate"/>
          </w:r>
          <w:r>
            <w:rPr>
              <w:rFonts w:eastAsia="黑体"/>
              <w:sz w:val="32"/>
              <w:szCs w:val="32"/>
            </w:rPr>
            <w:t>10</w:t>
          </w:r>
          <w:r>
            <w:rPr>
              <w:rFonts w:eastAsia="黑体"/>
              <w:sz w:val="32"/>
              <w:szCs w:val="32"/>
            </w:rPr>
            <w:fldChar w:fldCharType="end"/>
          </w:r>
          <w:r>
            <w:fldChar w:fldCharType="end"/>
          </w:r>
        </w:p>
        <w:p>
          <w:pPr>
            <w:pStyle w:val="22"/>
            <w:tabs>
              <w:tab w:val="clear" w:pos="8296"/>
              <w:tab w:val="right" w:leader="dot" w:pos="8845"/>
            </w:tabs>
            <w:spacing w:line="560" w:lineRule="exact"/>
            <w:jc w:val="left"/>
            <w:rPr>
              <w:rFonts w:ascii="Times New Roman" w:eastAsia="黑体" w:hAnsi="Times New Roman"/>
              <w:sz w:val="32"/>
              <w:szCs w:val="32"/>
            </w:rPr>
          </w:pPr>
          <w:r>
            <w:fldChar w:fldCharType="begin"/>
          </w:r>
          <w:r>
            <w:instrText>Hyperlink \l "_Toc15160"</w:instrText>
          </w:r>
          <w:r>
            <w:fldChar w:fldCharType="separate"/>
          </w:r>
          <w:r>
            <w:rPr>
              <w:rFonts w:ascii="Times New Roman" w:eastAsia="黑体" w:hAnsi="Times New Roman"/>
              <w:sz w:val="32"/>
              <w:szCs w:val="32"/>
            </w:rPr>
            <w:t>第二部分  2021年度部门决算情况说明</w:t>
            <w:tab/>
          </w:r>
          <w:r>
            <w:rPr>
              <w:rFonts w:ascii="Times New Roman" w:eastAsia="黑体" w:hAnsi="Times New Roman"/>
              <w:sz w:val="32"/>
              <w:szCs w:val="32"/>
            </w:rPr>
            <w:fldChar w:fldCharType="begin"/>
          </w:r>
          <w:r>
            <w:rPr>
              <w:rFonts w:ascii="Times New Roman" w:eastAsia="黑体" w:hAnsi="Times New Roman"/>
              <w:sz w:val="32"/>
              <w:szCs w:val="32"/>
            </w:rPr>
            <w:instrText xml:space="preserve"> PAGEREF _Toc15160 \h </w:instrText>
          </w:r>
          <w:r>
            <w:rPr>
              <w:rFonts w:ascii="Times New Roman" w:eastAsia="黑体" w:hAnsi="Times New Roman"/>
              <w:sz w:val="32"/>
              <w:szCs w:val="32"/>
            </w:rPr>
            <w:fldChar w:fldCharType="separate"/>
          </w:r>
          <w:r>
            <w:rPr>
              <w:rFonts w:ascii="Times New Roman" w:eastAsia="黑体" w:hAnsi="Times New Roman"/>
              <w:sz w:val="32"/>
              <w:szCs w:val="32"/>
            </w:rPr>
            <w:t>11</w:t>
          </w:r>
          <w:r>
            <w:rPr>
              <w:rFonts w:ascii="Times New Roman" w:eastAsia="黑体" w:hAnsi="Times New Roman"/>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"_Toc28903"</w:instrText>
          </w:r>
          <w:r>
            <w:fldChar w:fldCharType="separate"/>
          </w:r>
          <w:r>
            <w:rPr>
              <w:rFonts w:eastAsia="黑体"/>
              <w:sz w:val="32"/>
              <w:szCs w:val="32"/>
            </w:rPr>
            <w:t>一、收入支出决算总体情况说明</w:t>
            <w:tab/>
          </w:r>
          <w:r>
            <w:rPr>
              <w:rFonts w:eastAsia="黑体"/>
              <w:sz w:val="32"/>
              <w:szCs w:val="32"/>
            </w:rPr>
            <w:fldChar w:fldCharType="begin"/>
          </w:r>
          <w:r>
            <w:rPr>
              <w:rFonts w:eastAsia="黑体"/>
              <w:sz w:val="32"/>
              <w:szCs w:val="32"/>
            </w:rPr>
            <w:instrText xml:space="preserve"> PAGEREF _Toc28903 \h </w:instrText>
          </w:r>
          <w:r>
            <w:rPr>
              <w:rFonts w:eastAsia="黑体"/>
              <w:sz w:val="32"/>
              <w:szCs w:val="32"/>
            </w:rPr>
            <w:fldChar w:fldCharType="separate"/>
          </w:r>
          <w:r>
            <w:rPr>
              <w:rFonts w:eastAsia="黑体"/>
              <w:sz w:val="32"/>
              <w:szCs w:val="32"/>
            </w:rPr>
            <w:t>11</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"_Toc24000"</w:instrText>
          </w:r>
          <w:r>
            <w:fldChar w:fldCharType="separate"/>
          </w:r>
          <w:r>
            <w:rPr>
              <w:rFonts w:eastAsia="黑体"/>
              <w:sz w:val="32"/>
              <w:szCs w:val="32"/>
            </w:rPr>
            <w:t>二、收入决算情况说明</w:t>
            <w:tab/>
          </w:r>
          <w:r>
            <w:rPr>
              <w:rFonts w:eastAsia="黑体"/>
              <w:sz w:val="32"/>
              <w:szCs w:val="32"/>
            </w:rPr>
            <w:fldChar w:fldCharType="begin"/>
          </w:r>
          <w:r>
            <w:rPr>
              <w:rFonts w:eastAsia="黑体"/>
              <w:sz w:val="32"/>
              <w:szCs w:val="32"/>
            </w:rPr>
            <w:instrText xml:space="preserve"> PAGEREF _Toc24000 \h </w:instrText>
          </w:r>
          <w:r>
            <w:rPr>
              <w:rFonts w:eastAsia="黑体"/>
              <w:sz w:val="32"/>
              <w:szCs w:val="32"/>
            </w:rPr>
            <w:fldChar w:fldCharType="separate"/>
          </w:r>
          <w:r>
            <w:rPr>
              <w:rFonts w:eastAsia="黑体"/>
              <w:sz w:val="32"/>
              <w:szCs w:val="32"/>
            </w:rPr>
            <w:t>11</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"_Toc29493"</w:instrText>
          </w:r>
          <w:r>
            <w:fldChar w:fldCharType="separate"/>
          </w:r>
          <w:r>
            <w:rPr>
              <w:rFonts w:eastAsia="黑体"/>
              <w:sz w:val="32"/>
              <w:szCs w:val="32"/>
            </w:rPr>
            <w:t>三、支出决算情况说明</w:t>
            <w:tab/>
          </w:r>
          <w:r>
            <w:rPr>
              <w:rFonts w:eastAsia="黑体"/>
              <w:sz w:val="32"/>
              <w:szCs w:val="32"/>
            </w:rPr>
            <w:fldChar w:fldCharType="begin"/>
          </w:r>
          <w:r>
            <w:rPr>
              <w:rFonts w:eastAsia="黑体"/>
              <w:sz w:val="32"/>
              <w:szCs w:val="32"/>
            </w:rPr>
            <w:instrText xml:space="preserve"> PAGEREF _Toc29493 \h </w:instrText>
          </w:r>
          <w:r>
            <w:rPr>
              <w:rFonts w:eastAsia="黑体"/>
              <w:sz w:val="32"/>
              <w:szCs w:val="32"/>
            </w:rPr>
            <w:fldChar w:fldCharType="separate"/>
          </w:r>
          <w:r>
            <w:rPr>
              <w:rFonts w:eastAsia="黑体"/>
              <w:sz w:val="32"/>
              <w:szCs w:val="32"/>
            </w:rPr>
            <w:t>12</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"_Toc19913"</w:instrText>
          </w:r>
          <w:r>
            <w:fldChar w:fldCharType="separate"/>
          </w:r>
          <w:r>
            <w:rPr>
              <w:rFonts w:eastAsia="黑体"/>
              <w:sz w:val="32"/>
              <w:szCs w:val="32"/>
            </w:rPr>
            <w:t>四、财政拨款收入支出决算总体情况说明</w:t>
            <w:tab/>
          </w:r>
          <w:r>
            <w:rPr>
              <w:rFonts w:eastAsia="黑体"/>
              <w:sz w:val="32"/>
              <w:szCs w:val="32"/>
            </w:rPr>
            <w:fldChar w:fldCharType="begin"/>
          </w:r>
          <w:r>
            <w:rPr>
              <w:rFonts w:eastAsia="黑体"/>
              <w:sz w:val="32"/>
              <w:szCs w:val="32"/>
            </w:rPr>
            <w:instrText xml:space="preserve"> PAGEREF _Toc19913 \h </w:instrText>
          </w:r>
          <w:r>
            <w:rPr>
              <w:rFonts w:eastAsia="黑体"/>
              <w:sz w:val="32"/>
              <w:szCs w:val="32"/>
            </w:rPr>
            <w:fldChar w:fldCharType="separate"/>
          </w:r>
          <w:r>
            <w:rPr>
              <w:rFonts w:eastAsia="黑体"/>
              <w:sz w:val="32"/>
              <w:szCs w:val="32"/>
            </w:rPr>
            <w:t>13</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"_Toc8293"</w:instrText>
          </w:r>
          <w:r>
            <w:fldChar w:fldCharType="separate"/>
          </w:r>
          <w:r>
            <w:rPr>
              <w:rFonts w:eastAsia="黑体"/>
              <w:sz w:val="32"/>
              <w:szCs w:val="32"/>
            </w:rPr>
            <w:t>五、一般公共预算财政拨款支出决算情况说明</w:t>
            <w:tab/>
          </w:r>
          <w:r>
            <w:rPr>
              <w:rFonts w:eastAsia="黑体"/>
              <w:sz w:val="32"/>
              <w:szCs w:val="32"/>
            </w:rPr>
            <w:fldChar w:fldCharType="begin"/>
          </w:r>
          <w:r>
            <w:rPr>
              <w:rFonts w:eastAsia="黑体"/>
              <w:sz w:val="32"/>
              <w:szCs w:val="32"/>
            </w:rPr>
            <w:instrText xml:space="preserve"> PAGEREF _Toc8293 \h </w:instrText>
          </w:r>
          <w:r>
            <w:rPr>
              <w:rFonts w:eastAsia="黑体"/>
              <w:sz w:val="32"/>
              <w:szCs w:val="32"/>
            </w:rPr>
            <w:fldChar w:fldCharType="separate"/>
          </w:r>
          <w:r>
            <w:rPr>
              <w:rFonts w:eastAsia="黑体"/>
              <w:sz w:val="32"/>
              <w:szCs w:val="32"/>
            </w:rPr>
            <w:t>13</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"_Toc10236"</w:instrText>
          </w:r>
          <w:r>
            <w:fldChar w:fldCharType="separate"/>
          </w:r>
          <w:r>
            <w:rPr>
              <w:rFonts w:eastAsia="黑体"/>
              <w:sz w:val="32"/>
              <w:szCs w:val="32"/>
            </w:rPr>
            <w:t>六、一般公共预算财政拨款基本支出决算情况说明</w:t>
            <w:tab/>
          </w:r>
          <w:r>
            <w:rPr>
              <w:rFonts w:eastAsia="黑体"/>
              <w:sz w:val="32"/>
              <w:szCs w:val="32"/>
            </w:rPr>
            <w:fldChar w:fldCharType="begin"/>
          </w:r>
          <w:r>
            <w:rPr>
              <w:rFonts w:eastAsia="黑体"/>
              <w:sz w:val="32"/>
              <w:szCs w:val="32"/>
            </w:rPr>
            <w:instrText xml:space="preserve"> PAGEREF _Toc10236 \h </w:instrText>
          </w:r>
          <w:r>
            <w:rPr>
              <w:rFonts w:eastAsia="黑体"/>
              <w:sz w:val="32"/>
              <w:szCs w:val="32"/>
            </w:rPr>
            <w:fldChar w:fldCharType="separate"/>
          </w:r>
          <w:r>
            <w:rPr>
              <w:rFonts w:eastAsia="黑体"/>
              <w:sz w:val="32"/>
              <w:szCs w:val="32"/>
            </w:rPr>
            <w:t>16</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"_Toc24485"</w:instrText>
          </w:r>
          <w:r>
            <w:fldChar w:fldCharType="separate"/>
          </w:r>
          <w:r>
            <w:rPr>
              <w:rFonts w:eastAsia="黑体"/>
              <w:sz w:val="32"/>
              <w:szCs w:val="32"/>
            </w:rPr>
            <w:t>七、“三公”经费财政拨款支出决算情况说明</w:t>
            <w:tab/>
          </w:r>
          <w:r>
            <w:rPr>
              <w:rFonts w:eastAsia="黑体"/>
              <w:sz w:val="32"/>
              <w:szCs w:val="32"/>
            </w:rPr>
            <w:fldChar w:fldCharType="begin"/>
          </w:r>
          <w:r>
            <w:rPr>
              <w:rFonts w:eastAsia="黑体"/>
              <w:sz w:val="32"/>
              <w:szCs w:val="32"/>
            </w:rPr>
            <w:instrText xml:space="preserve"> PAGEREF _Toc24485 \h </w:instrText>
          </w:r>
          <w:r>
            <w:rPr>
              <w:rFonts w:eastAsia="黑体"/>
              <w:sz w:val="32"/>
              <w:szCs w:val="32"/>
            </w:rPr>
            <w:fldChar w:fldCharType="separate"/>
          </w:r>
          <w:r>
            <w:rPr>
              <w:rFonts w:eastAsia="黑体"/>
              <w:sz w:val="32"/>
              <w:szCs w:val="32"/>
            </w:rPr>
            <w:t>16</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"_Toc10065"</w:instrText>
          </w:r>
          <w:r>
            <w:fldChar w:fldCharType="separate"/>
          </w:r>
          <w:r>
            <w:rPr>
              <w:rFonts w:eastAsia="黑体"/>
              <w:sz w:val="32"/>
              <w:szCs w:val="32"/>
            </w:rPr>
            <w:t>八、政府性基金预算支出决算情况说明</w:t>
            <w:tab/>
          </w:r>
          <w:r>
            <w:rPr>
              <w:rFonts w:eastAsia="黑体"/>
              <w:sz w:val="32"/>
              <w:szCs w:val="32"/>
            </w:rPr>
            <w:fldChar w:fldCharType="begin"/>
          </w:r>
          <w:r>
            <w:rPr>
              <w:rFonts w:eastAsia="黑体"/>
              <w:sz w:val="32"/>
              <w:szCs w:val="32"/>
            </w:rPr>
            <w:instrText xml:space="preserve"> PAGEREF _Toc10065 \h </w:instrText>
          </w:r>
          <w:r>
            <w:rPr>
              <w:rFonts w:eastAsia="黑体"/>
              <w:sz w:val="32"/>
              <w:szCs w:val="32"/>
            </w:rPr>
            <w:fldChar w:fldCharType="separate"/>
          </w:r>
          <w:r>
            <w:rPr>
              <w:rFonts w:eastAsia="黑体"/>
              <w:sz w:val="32"/>
              <w:szCs w:val="32"/>
            </w:rPr>
            <w:t>19</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"_Toc13961"</w:instrText>
          </w:r>
          <w:r>
            <w:fldChar w:fldCharType="separate"/>
          </w:r>
          <w:r>
            <w:rPr>
              <w:rFonts w:eastAsia="黑体"/>
              <w:sz w:val="32"/>
              <w:szCs w:val="32"/>
            </w:rPr>
            <w:t>九、国有资本经营预算支出决算情况说明</w:t>
            <w:tab/>
          </w:r>
          <w:r>
            <w:rPr>
              <w:rFonts w:eastAsia="黑体"/>
              <w:sz w:val="32"/>
              <w:szCs w:val="32"/>
            </w:rPr>
            <w:fldChar w:fldCharType="begin"/>
          </w:r>
          <w:r>
            <w:rPr>
              <w:rFonts w:eastAsia="黑体"/>
              <w:sz w:val="32"/>
              <w:szCs w:val="32"/>
            </w:rPr>
            <w:instrText xml:space="preserve"> PAGEREF _Toc13961 \h </w:instrText>
          </w:r>
          <w:r>
            <w:rPr>
              <w:rFonts w:eastAsia="黑体"/>
              <w:sz w:val="32"/>
              <w:szCs w:val="32"/>
            </w:rPr>
            <w:fldChar w:fldCharType="separate"/>
          </w:r>
          <w:r>
            <w:rPr>
              <w:rFonts w:eastAsia="黑体"/>
              <w:sz w:val="32"/>
              <w:szCs w:val="32"/>
            </w:rPr>
            <w:t>19</w:t>
          </w:r>
          <w:r>
            <w:rPr>
              <w:rFonts w:eastAsia="黑体"/>
              <w:sz w:val="32"/>
              <w:szCs w:val="32"/>
            </w:rPr>
            <w:fldChar w:fldCharType="end"/>
          </w:r>
          <w:r>
            <w:fldChar w:fldCharType="end"/>
          </w:r>
        </w:p>
        <w:p>
          <w:pPr>
            <w:pStyle w:val="23"/>
            <w:tabs>
              <w:tab w:val="clear" w:pos="8296"/>
              <w:tab w:val="right" w:leader="dot" w:pos="8845"/>
            </w:tabs>
            <w:spacing w:line="560" w:lineRule="exact"/>
            <w:jc w:val="left"/>
            <w:rPr>
              <w:rFonts w:eastAsia="黑体"/>
              <w:sz w:val="32"/>
              <w:szCs w:val="32"/>
            </w:rPr>
          </w:pPr>
          <w:r>
            <w:fldChar w:fldCharType="begin"/>
          </w:r>
          <w:r>
            <w:instrText>Hyperlink \l "_Toc32669"</w:instrText>
          </w:r>
          <w:r>
            <w:fldChar w:fldCharType="separate"/>
          </w:r>
          <w:r>
            <w:rPr>
              <w:rFonts w:eastAsia="黑体"/>
              <w:sz w:val="32"/>
              <w:szCs w:val="32"/>
            </w:rPr>
            <w:t>十、其他重要事项的情况说明</w:t>
            <w:tab/>
          </w:r>
          <w:r>
            <w:rPr>
              <w:rFonts w:eastAsia="黑体"/>
              <w:sz w:val="32"/>
              <w:szCs w:val="32"/>
            </w:rPr>
            <w:fldChar w:fldCharType="begin"/>
          </w:r>
          <w:r>
            <w:rPr>
              <w:rFonts w:eastAsia="黑体"/>
              <w:sz w:val="32"/>
              <w:szCs w:val="32"/>
            </w:rPr>
            <w:instrText xml:space="preserve"> PAGEREF _Toc32669 \h </w:instrText>
          </w:r>
          <w:r>
            <w:rPr>
              <w:rFonts w:eastAsia="黑体"/>
              <w:sz w:val="32"/>
              <w:szCs w:val="32"/>
            </w:rPr>
            <w:fldChar w:fldCharType="separate"/>
          </w:r>
          <w:r>
            <w:rPr>
              <w:rFonts w:eastAsia="黑体"/>
              <w:sz w:val="32"/>
              <w:szCs w:val="32"/>
            </w:rPr>
            <w:t>19</w:t>
          </w:r>
          <w:r>
            <w:rPr>
              <w:rFonts w:eastAsia="黑体"/>
              <w:sz w:val="32"/>
              <w:szCs w:val="32"/>
            </w:rPr>
            <w:fldChar w:fldCharType="end"/>
          </w:r>
          <w:r>
            <w:fldChar w:fldCharType="end"/>
          </w:r>
        </w:p>
        <w:p>
          <w:pPr>
            <w:pStyle w:val="22"/>
            <w:tabs>
              <w:tab w:val="clear" w:pos="8296"/>
              <w:tab w:val="right" w:leader="dot" w:pos="8845"/>
            </w:tabs>
            <w:spacing w:line="560" w:lineRule="exact"/>
            <w:jc w:val="left"/>
            <w:rPr>
              <w:rFonts w:ascii="Times New Roman" w:eastAsia="黑体" w:hAnsi="Times New Roman"/>
              <w:sz w:val="32"/>
              <w:szCs w:val="32"/>
            </w:rPr>
          </w:pPr>
          <w:r>
            <w:fldChar w:fldCharType="begin"/>
          </w:r>
          <w:r>
            <w:instrText>Hyperlink \l "_Toc985"</w:instrText>
          </w:r>
          <w:r>
            <w:fldChar w:fldCharType="separate"/>
          </w:r>
          <w:r>
            <w:rPr>
              <w:rFonts w:ascii="Times New Roman" w:eastAsia="黑体" w:hAnsi="Times New Roman"/>
              <w:sz w:val="32"/>
              <w:szCs w:val="32"/>
            </w:rPr>
            <w:t>第三部分  名词解释</w:t>
            <w:tab/>
          </w:r>
          <w:r>
            <w:rPr>
              <w:rFonts w:ascii="Times New Roman" w:eastAsia="黑体" w:hAnsi="Times New Roman"/>
              <w:sz w:val="32"/>
              <w:szCs w:val="32"/>
            </w:rPr>
            <w:fldChar w:fldCharType="begin"/>
          </w:r>
          <w:r>
            <w:rPr>
              <w:rFonts w:ascii="Times New Roman" w:eastAsia="黑体" w:hAnsi="Times New Roman"/>
              <w:sz w:val="32"/>
              <w:szCs w:val="32"/>
            </w:rPr>
            <w:instrText xml:space="preserve"> PAGEREF _Toc985 \h </w:instrText>
          </w:r>
          <w:r>
            <w:rPr>
              <w:rFonts w:ascii="Times New Roman" w:eastAsia="黑体" w:hAnsi="Times New Roman"/>
              <w:sz w:val="32"/>
              <w:szCs w:val="32"/>
            </w:rPr>
            <w:fldChar w:fldCharType="separate"/>
          </w:r>
          <w:r>
            <w:rPr>
              <w:rFonts w:ascii="Times New Roman" w:eastAsia="黑体" w:hAnsi="Times New Roman"/>
              <w:sz w:val="32"/>
              <w:szCs w:val="32"/>
            </w:rPr>
            <w:t>21</w:t>
          </w:r>
          <w:r>
            <w:rPr>
              <w:rFonts w:ascii="Times New Roman" w:eastAsia="黑体" w:hAnsi="Times New Roman"/>
              <w:sz w:val="32"/>
              <w:szCs w:val="32"/>
            </w:rPr>
            <w:fldChar w:fldCharType="end"/>
          </w:r>
          <w:r>
            <w:fldChar w:fldCharType="end"/>
          </w:r>
        </w:p>
        <w:p>
          <w:pPr>
            <w:pStyle w:val="22"/>
            <w:tabs>
              <w:tab w:val="clear" w:pos="8296"/>
              <w:tab w:val="right" w:leader="dot" w:pos="8845"/>
            </w:tabs>
            <w:spacing w:line="560" w:lineRule="exact"/>
            <w:jc w:val="left"/>
            <w:rPr>
              <w:rFonts w:ascii="Times New Roman" w:eastAsia="黑体" w:hAnsi="Times New Roman"/>
              <w:sz w:val="32"/>
              <w:szCs w:val="32"/>
            </w:rPr>
          </w:pPr>
          <w:r>
            <w:fldChar w:fldCharType="begin"/>
          </w:r>
          <w:r>
            <w:instrText>Hyperlink \l "_Toc19884"</w:instrText>
          </w:r>
          <w:r>
            <w:fldChar w:fldCharType="separate"/>
          </w:r>
          <w:r>
            <w:rPr>
              <w:rFonts w:ascii="Times New Roman" w:eastAsia="黑体" w:hAnsi="Times New Roman"/>
              <w:sz w:val="32"/>
              <w:szCs w:val="32"/>
            </w:rPr>
            <w:t>第四部分  附件</w:t>
            <w:tab/>
          </w:r>
          <w:r>
            <w:rPr>
              <w:rFonts w:ascii="Times New Roman" w:eastAsia="黑体" w:hAnsi="Times New Roman"/>
              <w:sz w:val="32"/>
              <w:szCs w:val="32"/>
            </w:rPr>
            <w:fldChar w:fldCharType="begin"/>
          </w:r>
          <w:r>
            <w:rPr>
              <w:rFonts w:ascii="Times New Roman" w:eastAsia="黑体" w:hAnsi="Times New Roman"/>
              <w:sz w:val="32"/>
              <w:szCs w:val="32"/>
            </w:rPr>
            <w:instrText xml:space="preserve"> PAGEREF _Toc19884 \h </w:instrText>
          </w:r>
          <w:r>
            <w:rPr>
              <w:rFonts w:ascii="Times New Roman" w:eastAsia="黑体" w:hAnsi="Times New Roman"/>
              <w:sz w:val="32"/>
              <w:szCs w:val="32"/>
            </w:rPr>
            <w:fldChar w:fldCharType="separate"/>
          </w:r>
          <w:r>
            <w:rPr>
              <w:rFonts w:ascii="Times New Roman" w:eastAsia="黑体" w:hAnsi="Times New Roman"/>
              <w:sz w:val="32"/>
              <w:szCs w:val="32"/>
            </w:rPr>
            <w:t>24</w:t>
          </w:r>
          <w:r>
            <w:rPr>
              <w:rFonts w:ascii="Times New Roman" w:eastAsia="黑体" w:hAnsi="Times New Roman"/>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"_Toc19920"</w:instrText>
          </w:r>
          <w:r>
            <w:fldChar w:fldCharType="separate"/>
          </w:r>
          <w:r>
            <w:rPr>
              <w:rFonts w:eastAsia="黑体"/>
              <w:sz w:val="32"/>
              <w:szCs w:val="32"/>
            </w:rPr>
            <w:t>附件1</w:t>
            <w:tab/>
          </w:r>
          <w:r>
            <w:rPr>
              <w:rFonts w:eastAsia="黑体"/>
              <w:sz w:val="32"/>
              <w:szCs w:val="32"/>
            </w:rPr>
            <w:fldChar w:fldCharType="begin"/>
          </w:r>
          <w:r>
            <w:rPr>
              <w:rFonts w:eastAsia="黑体"/>
              <w:sz w:val="32"/>
              <w:szCs w:val="32"/>
            </w:rPr>
            <w:instrText xml:space="preserve"> PAGEREF _Toc19920 \h </w:instrText>
          </w:r>
          <w:r>
            <w:rPr>
              <w:rFonts w:eastAsia="黑体"/>
              <w:sz w:val="32"/>
              <w:szCs w:val="32"/>
            </w:rPr>
            <w:fldChar w:fldCharType="separate"/>
          </w:r>
          <w:r>
            <w:rPr>
              <w:rFonts w:eastAsia="黑体"/>
              <w:sz w:val="32"/>
              <w:szCs w:val="32"/>
            </w:rPr>
            <w:t>24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"_Toc20734"</w:instrText>
          </w:r>
          <w:r>
            <w:fldChar w:fldCharType="separate"/>
          </w:r>
          <w:r>
            <w:rPr>
              <w:rFonts w:eastAsia="黑体"/>
              <w:sz w:val="32"/>
              <w:szCs w:val="32"/>
              <w:shd w:val="clear" w:color="auto" w:fill="FFFFFF"/>
              <w:lang w:val="zh-CN"/>
            </w:rPr>
            <w:t>附件</w:t>
          </w:r>
          <w:r>
            <w:rPr>
              <w:rFonts w:eastAsia="黑体"/>
              <w:sz w:val="32"/>
              <w:szCs w:val="32"/>
              <w:shd w:val="clear" w:color="auto" w:fill="FFFFFF"/>
            </w:rPr>
            <w:t>2</w:t>
          </w:r>
          <w:r>
            <w:rPr>
              <w:rFonts w:eastAsia="黑体"/>
              <w:sz w:val="32"/>
              <w:szCs w:val="32"/>
            </w:rPr>
            <w:tab/>
          </w:r>
          <w:r>
            <w:rPr>
              <w:rFonts w:eastAsia="黑体"/>
              <w:sz w:val="32"/>
              <w:szCs w:val="32"/>
            </w:rPr>
            <w:fldChar w:fldCharType="begin"/>
          </w:r>
          <w:r>
            <w:rPr>
              <w:rFonts w:eastAsia="黑体"/>
              <w:sz w:val="32"/>
              <w:szCs w:val="32"/>
            </w:rPr>
            <w:instrText xml:space="preserve"> PAGEREF _Toc20734 \h </w:instrText>
          </w:r>
          <w:r>
            <w:rPr>
              <w:rFonts w:eastAsia="黑体"/>
              <w:sz w:val="32"/>
              <w:szCs w:val="32"/>
            </w:rPr>
            <w:fldChar w:fldCharType="separate"/>
          </w:r>
          <w:r>
            <w:rPr>
              <w:rFonts w:eastAsia="黑体"/>
              <w:sz w:val="32"/>
              <w:szCs w:val="32"/>
            </w:rPr>
            <w:t>34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"_Toc10068"</w:instrText>
          </w:r>
          <w:r>
            <w:fldChar w:fldCharType="separate"/>
          </w:r>
          <w:r>
            <w:rPr>
              <w:rFonts w:eastAsia="黑体"/>
              <w:sz w:val="32"/>
              <w:szCs w:val="32"/>
            </w:rPr>
            <w:t>附件3</w:t>
            <w:tab/>
          </w:r>
          <w:r>
            <w:rPr>
              <w:rFonts w:eastAsia="黑体"/>
              <w:sz w:val="32"/>
              <w:szCs w:val="32"/>
            </w:rPr>
            <w:fldChar w:fldCharType="begin"/>
          </w:r>
          <w:r>
            <w:rPr>
              <w:rFonts w:eastAsia="黑体"/>
              <w:sz w:val="32"/>
              <w:szCs w:val="32"/>
            </w:rPr>
            <w:instrText xml:space="preserve"> PAGEREF _Toc10068 \h </w:instrText>
          </w:r>
          <w:r>
            <w:rPr>
              <w:rFonts w:eastAsia="黑体"/>
              <w:sz w:val="32"/>
              <w:szCs w:val="32"/>
            </w:rPr>
            <w:fldChar w:fldCharType="separate"/>
          </w:r>
          <w:r>
            <w:rPr>
              <w:rFonts w:eastAsia="黑体"/>
              <w:sz w:val="32"/>
              <w:szCs w:val="32"/>
            </w:rPr>
            <w:t>41</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"_Toc1187"</w:instrText>
          </w:r>
          <w:r>
            <w:fldChar w:fldCharType="separate"/>
          </w:r>
          <w:r>
            <w:rPr>
              <w:rFonts w:eastAsia="黑体"/>
              <w:sz w:val="32"/>
              <w:szCs w:val="32"/>
            </w:rPr>
            <w:t>附件4</w:t>
            <w:tab/>
          </w:r>
          <w:r>
            <w:rPr>
              <w:rFonts w:eastAsia="黑体"/>
              <w:sz w:val="32"/>
              <w:szCs w:val="32"/>
            </w:rPr>
            <w:fldChar w:fldCharType="begin"/>
          </w:r>
          <w:r>
            <w:rPr>
              <w:rFonts w:eastAsia="黑体"/>
              <w:sz w:val="32"/>
              <w:szCs w:val="32"/>
            </w:rPr>
            <w:instrText xml:space="preserve"> PAGEREF _Toc1187 \h </w:instrText>
          </w:r>
          <w:r>
            <w:rPr>
              <w:rFonts w:eastAsia="黑体"/>
              <w:sz w:val="32"/>
              <w:szCs w:val="32"/>
            </w:rPr>
            <w:fldChar w:fldCharType="separate"/>
          </w:r>
          <w:r>
            <w:rPr>
              <w:rFonts w:eastAsia="黑体"/>
              <w:sz w:val="32"/>
              <w:szCs w:val="32"/>
            </w:rPr>
            <w:t>45</w:t>
          </w:r>
          <w:r>
            <w:rPr>
              <w:rFonts w:eastAsia="黑体"/>
              <w:sz w:val="32"/>
              <w:szCs w:val="32"/>
            </w:rPr>
            <w:fldChar w:fldCharType="end"/>
          </w:r>
          <w:r>
            <w:fldChar w:fldCharType="end"/>
          </w:r>
        </w:p>
        <w:p>
          <w:pPr>
            <w:pStyle w:val="22"/>
            <w:tabs>
              <w:tab w:val="clear" w:pos="8296"/>
              <w:tab w:val="right" w:leader="dot" w:pos="8845"/>
            </w:tabs>
            <w:spacing w:line="560" w:lineRule="exact"/>
            <w:jc w:val="left"/>
            <w:rPr>
              <w:rFonts w:ascii="Times New Roman" w:eastAsia="黑体" w:hAnsi="Times New Roman"/>
              <w:sz w:val="32"/>
              <w:szCs w:val="32"/>
            </w:rPr>
          </w:pPr>
          <w:r>
            <w:fldChar w:fldCharType="begin"/>
          </w:r>
          <w:r>
            <w:instrText>Hyperlink \l "_Toc3055"</w:instrText>
          </w:r>
          <w:r>
            <w:fldChar w:fldCharType="separate"/>
          </w:r>
          <w:r>
            <w:rPr>
              <w:rFonts w:ascii="Times New Roman" w:eastAsia="黑体" w:hAnsi="Times New Roman"/>
              <w:sz w:val="32"/>
              <w:szCs w:val="32"/>
            </w:rPr>
            <w:t>第五部分  附表</w:t>
            <w:tab/>
          </w:r>
          <w:r>
            <w:rPr>
              <w:rFonts w:ascii="Times New Roman" w:eastAsia="黑体" w:hAnsi="Times New Roman"/>
              <w:sz w:val="32"/>
              <w:szCs w:val="32"/>
            </w:rPr>
            <w:fldChar w:fldCharType="begin"/>
          </w:r>
          <w:r>
            <w:rPr>
              <w:rFonts w:ascii="Times New Roman" w:eastAsia="黑体" w:hAnsi="Times New Roman"/>
              <w:sz w:val="32"/>
              <w:szCs w:val="32"/>
            </w:rPr>
            <w:instrText xml:space="preserve"> PAGEREF _Toc3055 \h </w:instrText>
          </w:r>
          <w:r>
            <w:rPr>
              <w:rFonts w:ascii="Times New Roman" w:eastAsia="黑体" w:hAnsi="Times New Roman"/>
              <w:sz w:val="32"/>
              <w:szCs w:val="32"/>
            </w:rPr>
            <w:fldChar w:fldCharType="separate"/>
          </w:r>
          <w:r>
            <w:rPr>
              <w:rFonts w:ascii="Times New Roman" w:eastAsia="黑体" w:hAnsi="Times New Roman"/>
              <w:sz w:val="32"/>
              <w:szCs w:val="32"/>
            </w:rPr>
            <w:t>54</w:t>
          </w:r>
          <w:r>
            <w:rPr>
              <w:rFonts w:ascii="Times New Roman" w:eastAsia="黑体" w:hAnsi="Times New Roman"/>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"_Toc6095"</w:instrText>
          </w:r>
          <w:r>
            <w:fldChar w:fldCharType="separate"/>
          </w:r>
          <w:r>
            <w:rPr>
              <w:rFonts w:eastAsia="黑体"/>
              <w:sz w:val="32"/>
              <w:szCs w:val="32"/>
            </w:rPr>
            <w:t>一、收入支出决算总表</w:t>
            <w:tab/>
          </w:r>
          <w:r>
            <w:rPr>
              <w:rFonts w:eastAsia="黑体"/>
              <w:sz w:val="32"/>
              <w:szCs w:val="32"/>
            </w:rPr>
            <w:fldChar w:fldCharType="begin"/>
          </w:r>
          <w:r>
            <w:rPr>
              <w:rFonts w:eastAsia="黑体"/>
              <w:sz w:val="32"/>
              <w:szCs w:val="32"/>
            </w:rPr>
            <w:instrText xml:space="preserve"> PAGEREF _Toc6095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"_Toc20627"</w:instrText>
          </w:r>
          <w:r>
            <w:fldChar w:fldCharType="separate"/>
          </w:r>
          <w:r>
            <w:rPr>
              <w:rFonts w:eastAsia="黑体"/>
              <w:sz w:val="32"/>
              <w:szCs w:val="32"/>
            </w:rPr>
            <w:t>二、收入决算表</w:t>
            <w:tab/>
          </w:r>
          <w:r>
            <w:rPr>
              <w:rFonts w:eastAsia="黑体"/>
              <w:sz w:val="32"/>
              <w:szCs w:val="32"/>
            </w:rPr>
            <w:fldChar w:fldCharType="begin"/>
          </w:r>
          <w:r>
            <w:rPr>
              <w:rFonts w:eastAsia="黑体"/>
              <w:sz w:val="32"/>
              <w:szCs w:val="32"/>
            </w:rPr>
            <w:instrText xml:space="preserve"> PAGEREF _Toc20627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"_Toc3089"</w:instrText>
          </w:r>
          <w:r>
            <w:fldChar w:fldCharType="separate"/>
          </w:r>
          <w:r>
            <w:rPr>
              <w:rFonts w:eastAsia="黑体"/>
              <w:sz w:val="32"/>
              <w:szCs w:val="32"/>
            </w:rPr>
            <w:t>三、支出决算表</w:t>
            <w:tab/>
          </w:r>
          <w:r>
            <w:rPr>
              <w:rFonts w:eastAsia="黑体"/>
              <w:sz w:val="32"/>
              <w:szCs w:val="32"/>
            </w:rPr>
            <w:fldChar w:fldCharType="begin"/>
          </w:r>
          <w:r>
            <w:rPr>
              <w:rFonts w:eastAsia="黑体"/>
              <w:sz w:val="32"/>
              <w:szCs w:val="32"/>
            </w:rPr>
            <w:instrText xml:space="preserve"> PAGEREF _Toc3089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"_Toc30568"</w:instrText>
          </w:r>
          <w:r>
            <w:fldChar w:fldCharType="separate"/>
          </w:r>
          <w:r>
            <w:rPr>
              <w:rFonts w:eastAsia="黑体"/>
              <w:sz w:val="32"/>
              <w:szCs w:val="32"/>
            </w:rPr>
            <w:t>四、财政拨款收入支出决算总表</w:t>
            <w:tab/>
          </w:r>
          <w:r>
            <w:rPr>
              <w:rFonts w:eastAsia="黑体"/>
              <w:sz w:val="32"/>
              <w:szCs w:val="32"/>
            </w:rPr>
            <w:fldChar w:fldCharType="begin"/>
          </w:r>
          <w:r>
            <w:rPr>
              <w:rFonts w:eastAsia="黑体"/>
              <w:sz w:val="32"/>
              <w:szCs w:val="32"/>
            </w:rPr>
            <w:instrText xml:space="preserve"> PAGEREF _Toc30568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"_Toc11869"</w:instrText>
          </w:r>
          <w:r>
            <w:fldChar w:fldCharType="separate"/>
          </w:r>
          <w:r>
            <w:rPr>
              <w:rFonts w:eastAsia="黑体"/>
              <w:sz w:val="32"/>
              <w:szCs w:val="32"/>
            </w:rPr>
            <w:t>五、财政拨款支出决算明细表</w:t>
            <w:tab/>
          </w:r>
          <w:r>
            <w:rPr>
              <w:rFonts w:eastAsia="黑体"/>
              <w:sz w:val="32"/>
              <w:szCs w:val="32"/>
            </w:rPr>
            <w:fldChar w:fldCharType="begin"/>
          </w:r>
          <w:r>
            <w:rPr>
              <w:rFonts w:eastAsia="黑体"/>
              <w:sz w:val="32"/>
              <w:szCs w:val="32"/>
            </w:rPr>
            <w:instrText xml:space="preserve"> PAGEREF _Toc11869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"_Toc26432"</w:instrText>
          </w:r>
          <w:r>
            <w:fldChar w:fldCharType="separate"/>
          </w:r>
          <w:r>
            <w:rPr>
              <w:rFonts w:eastAsia="黑体"/>
              <w:sz w:val="32"/>
              <w:szCs w:val="32"/>
            </w:rPr>
            <w:t>六、一般公共预算财政拨款支出决算表</w:t>
            <w:tab/>
          </w:r>
          <w:r>
            <w:rPr>
              <w:rFonts w:eastAsia="黑体"/>
              <w:sz w:val="32"/>
              <w:szCs w:val="32"/>
            </w:rPr>
            <w:fldChar w:fldCharType="begin"/>
          </w:r>
          <w:r>
            <w:rPr>
              <w:rFonts w:eastAsia="黑体"/>
              <w:sz w:val="32"/>
              <w:szCs w:val="32"/>
            </w:rPr>
            <w:instrText xml:space="preserve"> PAGEREF _Toc26432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"_Toc2373"</w:instrText>
          </w:r>
          <w:r>
            <w:fldChar w:fldCharType="separate"/>
          </w:r>
          <w:r>
            <w:rPr>
              <w:rFonts w:eastAsia="黑体"/>
              <w:sz w:val="32"/>
              <w:szCs w:val="32"/>
            </w:rPr>
            <w:t>七、一般公共预算财政拨款支出决算明细表</w:t>
            <w:tab/>
          </w:r>
          <w:r>
            <w:rPr>
              <w:rFonts w:eastAsia="黑体"/>
              <w:sz w:val="32"/>
              <w:szCs w:val="32"/>
            </w:rPr>
            <w:fldChar w:fldCharType="begin"/>
          </w:r>
          <w:r>
            <w:rPr>
              <w:rFonts w:eastAsia="黑体"/>
              <w:sz w:val="32"/>
              <w:szCs w:val="32"/>
            </w:rPr>
            <w:instrText xml:space="preserve"> PAGEREF _Toc2373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"_Toc19292"</w:instrText>
          </w:r>
          <w:r>
            <w:fldChar w:fldCharType="separate"/>
          </w:r>
          <w:r>
            <w:rPr>
              <w:rFonts w:eastAsia="黑体"/>
              <w:sz w:val="32"/>
              <w:szCs w:val="32"/>
            </w:rPr>
            <w:t>八、一般公共预算财政拨款基本支出决算表</w:t>
            <w:tab/>
          </w:r>
          <w:r>
            <w:rPr>
              <w:rFonts w:eastAsia="黑体"/>
              <w:sz w:val="32"/>
              <w:szCs w:val="32"/>
            </w:rPr>
            <w:fldChar w:fldCharType="begin"/>
          </w:r>
          <w:r>
            <w:rPr>
              <w:rFonts w:eastAsia="黑体"/>
              <w:sz w:val="32"/>
              <w:szCs w:val="32"/>
            </w:rPr>
            <w:instrText xml:space="preserve"> PAGEREF _Toc19292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"_Toc8723"</w:instrText>
          </w:r>
          <w:r>
            <w:fldChar w:fldCharType="separate"/>
          </w:r>
          <w:r>
            <w:rPr>
              <w:rFonts w:eastAsia="黑体"/>
              <w:sz w:val="32"/>
              <w:szCs w:val="32"/>
            </w:rPr>
            <w:t>九、一般公共预算财政拨款项目支出决算表</w:t>
            <w:tab/>
          </w:r>
          <w:r>
            <w:rPr>
              <w:rFonts w:eastAsia="黑体"/>
              <w:sz w:val="32"/>
              <w:szCs w:val="32"/>
            </w:rPr>
            <w:fldChar w:fldCharType="begin"/>
          </w:r>
          <w:r>
            <w:rPr>
              <w:rFonts w:eastAsia="黑体"/>
              <w:sz w:val="32"/>
              <w:szCs w:val="32"/>
            </w:rPr>
            <w:instrText xml:space="preserve"> PAGEREF _Toc8723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"_Toc18088"</w:instrText>
          </w:r>
          <w:r>
            <w:fldChar w:fldCharType="separate"/>
          </w:r>
          <w:r>
            <w:rPr>
              <w:rFonts w:eastAsia="黑体"/>
              <w:sz w:val="32"/>
              <w:szCs w:val="32"/>
            </w:rPr>
            <w:t>十、一般公共预算财政拨款“三公”经费支出决算表</w:t>
            <w:tab/>
          </w:r>
          <w:r>
            <w:rPr>
              <w:rFonts w:eastAsia="黑体"/>
              <w:sz w:val="32"/>
              <w:szCs w:val="32"/>
            </w:rPr>
            <w:fldChar w:fldCharType="begin"/>
          </w:r>
          <w:r>
            <w:rPr>
              <w:rFonts w:eastAsia="黑体"/>
              <w:sz w:val="32"/>
              <w:szCs w:val="32"/>
            </w:rPr>
            <w:instrText xml:space="preserve"> PAGEREF _Toc18088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"_Toc8104"</w:instrText>
          </w:r>
          <w:r>
            <w:fldChar w:fldCharType="separate"/>
          </w:r>
          <w:r>
            <w:rPr>
              <w:rFonts w:eastAsia="黑体"/>
              <w:sz w:val="32"/>
              <w:szCs w:val="32"/>
            </w:rPr>
            <w:t>十一、政府性基金预算财政拨款收入支出决算表</w:t>
            <w:tab/>
          </w:r>
          <w:r>
            <w:rPr>
              <w:rFonts w:eastAsia="黑体"/>
              <w:sz w:val="32"/>
              <w:szCs w:val="32"/>
            </w:rPr>
            <w:fldChar w:fldCharType="begin"/>
          </w:r>
          <w:r>
            <w:rPr>
              <w:rFonts w:eastAsia="黑体"/>
              <w:sz w:val="32"/>
              <w:szCs w:val="32"/>
            </w:rPr>
            <w:instrText xml:space="preserve"> PAGEREF _Toc8104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"_Toc15776"</w:instrText>
          </w:r>
          <w:r>
            <w:fldChar w:fldCharType="separate"/>
          </w:r>
          <w:r>
            <w:rPr>
              <w:rFonts w:eastAsia="黑体"/>
              <w:sz w:val="32"/>
              <w:szCs w:val="32"/>
            </w:rPr>
            <w:t>十二、政府性基金预算财政拨款“三公”经费支出决算表</w:t>
            <w:tab/>
          </w:r>
          <w:r>
            <w:rPr>
              <w:rFonts w:eastAsia="黑体"/>
              <w:sz w:val="32"/>
              <w:szCs w:val="32"/>
            </w:rPr>
            <w:fldChar w:fldCharType="begin"/>
          </w:r>
          <w:r>
            <w:rPr>
              <w:rFonts w:eastAsia="黑体"/>
              <w:sz w:val="32"/>
              <w:szCs w:val="32"/>
            </w:rPr>
            <w:instrText xml:space="preserve"> PAGEREF _Toc15776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"_Toc12609"</w:instrText>
          </w:r>
          <w:r>
            <w:fldChar w:fldCharType="separate"/>
          </w:r>
          <w:r>
            <w:rPr>
              <w:rFonts w:eastAsia="黑体"/>
              <w:sz w:val="32"/>
              <w:szCs w:val="32"/>
            </w:rPr>
            <w:t>十三、国有资本经营预算财政拨款收入支出决算表</w:t>
            <w:tab/>
          </w:r>
          <w:r>
            <w:rPr>
              <w:rFonts w:eastAsia="黑体"/>
              <w:sz w:val="32"/>
              <w:szCs w:val="32"/>
            </w:rPr>
            <w:fldChar w:fldCharType="begin"/>
          </w:r>
          <w:r>
            <w:rPr>
              <w:rFonts w:eastAsia="黑体"/>
              <w:sz w:val="32"/>
              <w:szCs w:val="32"/>
            </w:rPr>
            <w:instrText xml:space="preserve"> PAGEREF _Toc12609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"_Toc21615"</w:instrText>
          </w:r>
          <w:r>
            <w:fldChar w:fldCharType="separate"/>
          </w:r>
          <w:r>
            <w:rPr>
              <w:rFonts w:eastAsia="黑体"/>
              <w:sz w:val="32"/>
              <w:szCs w:val="32"/>
            </w:rPr>
            <w:t>十四、国有资本经营预算财政拨款支出决算表</w:t>
            <w:tab/>
          </w:r>
          <w:r>
            <w:rPr>
              <w:rFonts w:eastAsia="黑体"/>
              <w:sz w:val="32"/>
              <w:szCs w:val="32"/>
            </w:rPr>
            <w:fldChar w:fldCharType="begin"/>
          </w:r>
          <w:r>
            <w:rPr>
              <w:rFonts w:eastAsia="黑体"/>
              <w:sz w:val="32"/>
              <w:szCs w:val="32"/>
            </w:rPr>
            <w:instrText xml:space="preserve"> PAGEREF _Toc21615 \h </w:instrText>
          </w:r>
          <w:r>
            <w:rPr>
              <w:rFonts w:eastAsia="黑体"/>
              <w:sz w:val="32"/>
              <w:szCs w:val="32"/>
            </w:rPr>
            <w:fldChar w:fldCharType="separate"/>
          </w:r>
          <w:r>
            <w:rPr>
              <w:rFonts w:eastAsia="黑体"/>
              <w:sz w:val="32"/>
              <w:szCs w:val="32"/>
            </w:rPr>
            <w:t>54</w:t>
          </w:r>
          <w:r>
            <w:rPr>
              <w:rFonts w:eastAsia="黑体"/>
              <w:sz w:val="32"/>
              <w:szCs w:val="32"/>
            </w:rPr>
            <w:fldChar w:fldCharType="end"/>
          </w:r>
          <w:r>
            <w:fldChar w:fldCharType="end"/>
          </w:r>
        </w:p>
        <w:p>
          <w:pPr>
            <w:pStyle w:val="23"/>
            <w:tabs>
              <w:tab w:val="clear" w:pos="8296"/>
              <w:tab w:val="right" w:leader="dot" w:pos="8845"/>
            </w:tabs>
            <w:spacing w:line="560" w:lineRule="exact"/>
            <w:rPr>
              <w:rFonts w:eastAsia="黑体"/>
              <w:sz w:val="32"/>
              <w:szCs w:val="32"/>
            </w:rPr>
          </w:pPr>
          <w:r>
            <w:fldChar w:fldCharType="begin"/>
          </w:r>
          <w:r>
            <w:instrText>Hyperlink \l "_Toc31903"</w:instrText>
          </w:r>
          <w:r>
            <w:fldChar w:fldCharType="separate"/>
          </w:r>
          <w:r>
            <w:fldChar w:fldCharType="end"/>
          </w:r>
        </w:p>
        <w:p>
          <w:pPr>
            <w:spacing w:line="560" w:lineRule="exact"/>
            <w:rPr>
              <w:rFonts w:eastAsia="黑体"/>
              <w:sz w:val="28"/>
              <w:szCs w:val="28"/>
            </w:rPr>
          </w:pPr>
          <w:r>
            <w:rPr>
              <w:rFonts w:eastAsia="黑体"/>
              <w:sz w:val="32"/>
              <w:szCs w:val="32"/>
            </w:rPr>
            <w:fldChar w:fldCharType="end"/>
          </w:r>
        </w:p>
      </w:sdtContent>
    </w:sdt>
    <w:p>
      <w:pPr>
        <w:widowControl/>
        <w:spacing w:line="440" w:lineRule="exact"/>
        <w:jc w:val="left"/>
        <w:rPr>
          <w:rFonts w:eastAsia="仿宋"/>
          <w:bCs/>
          <w:kern w:val="44"/>
          <w:sz w:val="24"/>
        </w:rPr>
      </w:pPr>
      <w:r>
        <w:rPr>
          <w:rFonts w:eastAsia="仿宋"/>
          <w:b/>
          <w:sz w:val="24"/>
        </w:rPr>
        <w:br w:type="page"/>
      </w:r>
    </w:p>
    <w:p>
      <w:pPr>
        <w:spacing w:line="600" w:lineRule="exact"/>
        <w:jc w:val="center"/>
        <w:outlineLvl w:val="0"/>
        <w:rPr>
          <w:rStyle w:val="1Char"/>
          <w:rFonts w:eastAsia="黑体"/>
          <w:b w:val="0"/>
        </w:rPr>
      </w:pPr>
      <w:bookmarkStart w:id="13" w:name="_Toc3448"/>
      <w:bookmarkStart w:id="14" w:name="_Toc31686"/>
      <w:bookmarkStart w:id="15" w:name="_Toc23028"/>
      <w:bookmarkStart w:id="16" w:name="_Toc933"/>
      <w:bookmarkStart w:id="17" w:name="_Toc27411"/>
      <w:r>
        <w:rPr>
          <w:rStyle w:val="1Char"/>
          <w:rFonts w:eastAsia="黑体"/>
          <w:b w:val="0"/>
        </w:rPr>
        <w:t>第一部分  部门概况</w:t>
      </w:r>
      <w:bookmarkEnd w:id="13"/>
      <w:bookmarkEnd w:id="14"/>
      <w:bookmarkEnd w:id="15"/>
      <w:bookmarkEnd w:id="16"/>
    </w:p>
    <w:p>
      <w:pPr>
        <w:widowControl/>
        <w:jc w:val="left"/>
        <w:rPr>
          <w:rFonts w:eastAsia="黑体"/>
          <w:sz w:val="32"/>
          <w:szCs w:val="32"/>
        </w:rPr>
      </w:pPr>
      <w:bookmarkEnd w:id="17"/>
    </w:p>
    <w:p>
      <w:pPr>
        <w:pStyle w:val="2"/>
        <w:spacing w:before="0" w:after="0" w:line="240" w:lineRule="auto"/>
        <w:ind w:firstLineChars="200" w:firstLine="640"/>
        <w:rPr>
          <w:rStyle w:val="2Char"/>
          <w:rFonts w:ascii="Times New Roman" w:eastAsia="仿宋" w:cs="Times New Roman" w:hAnsi="Times New Roman"/>
        </w:rPr>
      </w:pPr>
      <w:bookmarkStart w:id="18" w:name="_Toc10884"/>
      <w:bookmarkStart w:id="19" w:name="_Toc15377197"/>
      <w:bookmarkStart w:id="20" w:name="_Toc5603"/>
      <w:bookmarkStart w:id="21" w:name="_Toc15396600"/>
      <w:bookmarkStart w:id="22" w:name="_Toc22040"/>
      <w:bookmarkStart w:id="23" w:name="_Toc30869"/>
      <w:bookmarkStart w:id="24" w:name="_Toc22045"/>
      <w:r>
        <w:rPr>
          <w:rFonts w:ascii="Times New Roman" w:eastAsia="黑体" w:cs="Times New Roman" w:hAnsi="Times New Roman"/>
          <w:b w:val="0"/>
        </w:rPr>
        <w:t>一、基</w:t>
      </w:r>
      <w:r>
        <w:rPr>
          <w:rStyle w:val="2Char"/>
          <w:rFonts w:ascii="Times New Roman" w:eastAsia="黑体" w:cs="Times New Roman" w:hAnsi="Times New Roman"/>
        </w:rPr>
        <w:t>本职能及主要工作</w:t>
      </w:r>
      <w:bookmarkEnd w:id="18"/>
      <w:bookmarkEnd w:id="19"/>
      <w:bookmarkEnd w:id="20"/>
      <w:bookmarkEnd w:id="21"/>
      <w:bookmarkEnd w:id="22"/>
      <w:bookmarkEnd w:id="23"/>
      <w:bookmarkEnd w:id="24"/>
    </w:p>
    <w:p>
      <w:pPr>
        <w:pStyle w:val="16"/>
        <w:adjustRightInd w:val="0"/>
        <w:snapToGrid w:val="0"/>
        <w:spacing w:beforeLines="0" w:before="30"/>
        <w:ind w:firstLineChars="200" w:firstLine="640"/>
        <w:outlineLvl w:val="2"/>
        <w:rPr>
          <w:rFonts w:ascii="Times New Roman" w:eastAsia="楷体_GB2312" w:hAnsi="Times New Roman"/>
          <w:b/>
          <w:sz w:val="32"/>
          <w:szCs w:val="32"/>
        </w:rPr>
      </w:pPr>
      <w:bookmarkStart w:id="25" w:name="_Toc15378445"/>
      <w:bookmarkStart w:id="26" w:name="_Toc15377198"/>
      <w:r>
        <w:rPr>
          <w:rFonts w:ascii="Times New Roman" w:eastAsia="楷体_GB2312" w:hAnsi="Times New Roman"/>
          <w:b/>
          <w:sz w:val="32"/>
          <w:szCs w:val="32"/>
        </w:rPr>
        <w:t>（一）主要职能。</w:t>
      </w:r>
      <w:bookmarkStart w:id="27" w:name="_Toc15378446"/>
      <w:bookmarkStart w:id="28" w:name="_Toc15377199"/>
      <w:bookmarkEnd w:id="25"/>
      <w:bookmarkEnd w:id="26"/>
    </w:p>
    <w:p>
      <w:pPr>
        <w:ind w:firstLineChars="200" w:firstLine="640"/>
        <w:rPr>
          <w:rFonts w:eastAsia="仿宋_GB2312"/>
          <w:color w:val="000000"/>
          <w:sz w:val="32"/>
          <w:szCs w:val="32"/>
        </w:rPr>
      </w:pPr>
      <w:r>
        <w:rPr>
          <w:rFonts w:eastAsia="仿宋_GB2312"/>
          <w:color w:val="000000"/>
          <w:sz w:val="32"/>
          <w:szCs w:val="32"/>
        </w:rPr>
        <w:t>1、贯彻落实国家、省、市基本医疗保险、生育保险政策、法律和法规，并按照市医疗保障管理局的安排组织实施，参与拟订相关实施办法；</w:t>
      </w:r>
    </w:p>
    <w:p>
      <w:pPr>
        <w:ind w:firstLineChars="200" w:firstLine="640"/>
        <w:rPr>
          <w:rFonts w:eastAsia="仿宋_GB2312"/>
          <w:color w:val="000000"/>
          <w:sz w:val="32"/>
          <w:szCs w:val="32"/>
        </w:rPr>
      </w:pPr>
      <w:r>
        <w:rPr>
          <w:rFonts w:eastAsia="仿宋_GB2312"/>
          <w:color w:val="000000"/>
          <w:sz w:val="32"/>
          <w:szCs w:val="32"/>
        </w:rPr>
        <w:t>2、负责城镇职工基本医疗保险、城乡居民基本医疗保险参保缴费、医疗待遇审核及支付工作；</w:t>
      </w:r>
    </w:p>
    <w:p>
      <w:pPr>
        <w:ind w:firstLineChars="200" w:firstLine="640"/>
        <w:rPr>
          <w:rFonts w:eastAsia="仿宋_GB2312"/>
          <w:color w:val="000000"/>
          <w:sz w:val="32"/>
          <w:szCs w:val="32"/>
        </w:rPr>
      </w:pPr>
      <w:r>
        <w:rPr>
          <w:rFonts w:eastAsia="仿宋_GB2312"/>
          <w:color w:val="000000"/>
          <w:sz w:val="32"/>
          <w:szCs w:val="32"/>
        </w:rPr>
        <w:t>3、负责全市基本医疗保险、生育保险有关经办管理工作，对各县（区）、基层劳动保障所（站）及社区医疗服务机构开展基本医疗、生育保险经办业务进行指导和考核；</w:t>
      </w:r>
    </w:p>
    <w:p>
      <w:pPr>
        <w:ind w:firstLineChars="200" w:firstLine="640"/>
        <w:rPr>
          <w:rFonts w:eastAsia="仿宋_GB2312"/>
          <w:color w:val="000000"/>
          <w:sz w:val="32"/>
          <w:szCs w:val="32"/>
        </w:rPr>
      </w:pPr>
      <w:r>
        <w:rPr>
          <w:rFonts w:eastAsia="仿宋_GB2312"/>
          <w:color w:val="000000"/>
          <w:sz w:val="32"/>
          <w:szCs w:val="32"/>
        </w:rPr>
        <w:t>4、负责对全市医疗、生育和城乡居民医疗保险支付情况的稽核，对定点医药机构进行监督管理和考核；</w:t>
      </w:r>
    </w:p>
    <w:p>
      <w:pPr>
        <w:ind w:firstLineChars="200" w:firstLine="640"/>
        <w:rPr>
          <w:rFonts w:eastAsia="仿宋_GB2312"/>
          <w:color w:val="000000"/>
          <w:sz w:val="32"/>
          <w:szCs w:val="32"/>
        </w:rPr>
      </w:pPr>
      <w:r>
        <w:rPr>
          <w:rFonts w:eastAsia="仿宋_GB2312"/>
          <w:color w:val="000000"/>
          <w:sz w:val="32"/>
          <w:szCs w:val="32"/>
        </w:rPr>
        <w:t>5、按照</w:t>
      </w:r>
      <w:r>
        <w:rPr>
          <w:rFonts w:eastAsia="仿宋_GB2312" w:hint="eastAsia"/>
          <w:sz w:val="32"/>
          <w:szCs w:val="32"/>
        </w:rPr>
        <w:t>两定</w:t>
      </w:r>
      <w:r>
        <w:rPr>
          <w:rFonts w:eastAsia="仿宋_GB2312"/>
          <w:color w:val="000000"/>
          <w:sz w:val="32"/>
          <w:szCs w:val="32"/>
        </w:rPr>
        <w:t>协议对基本医疗保险、生育保险定点医疗机构，定点零售药店执行保险政策规定和为参保病员提供医疗服务的情况进行监督管理；</w:t>
      </w:r>
    </w:p>
    <w:p>
      <w:pPr>
        <w:ind w:firstLineChars="200" w:firstLine="640"/>
        <w:rPr>
          <w:rFonts w:eastAsia="仿宋_GB2312"/>
          <w:color w:val="000000"/>
          <w:sz w:val="32"/>
          <w:szCs w:val="32"/>
        </w:rPr>
      </w:pPr>
      <w:r>
        <w:rPr>
          <w:rFonts w:eastAsia="仿宋_GB2312"/>
          <w:color w:val="000000"/>
          <w:sz w:val="32"/>
          <w:szCs w:val="32"/>
        </w:rPr>
        <w:t>6、负责本地参保人员在全省范围内异地就医和刷卡购药即时结算；负责全省异地就医人员在本地区定点医疗机构和定点零售药店发生的医疗费用审核结算和监管工作，考核当地定点医疗机构和定点零售药店的异地就医服务质量；</w:t>
      </w:r>
    </w:p>
    <w:p>
      <w:pPr>
        <w:ind w:firstLineChars="200" w:firstLine="640"/>
        <w:rPr>
          <w:rFonts w:eastAsia="仿宋_GB2312"/>
          <w:color w:val="000000"/>
          <w:sz w:val="32"/>
          <w:szCs w:val="32"/>
        </w:rPr>
      </w:pPr>
      <w:r>
        <w:rPr>
          <w:rFonts w:eastAsia="仿宋_GB2312" w:hint="eastAsia"/>
          <w:color w:val="000000"/>
          <w:sz w:val="32"/>
          <w:szCs w:val="32"/>
        </w:rPr>
        <w:t>7</w:t>
      </w:r>
      <w:r>
        <w:rPr>
          <w:rFonts w:eastAsia="仿宋_GB2312"/>
          <w:color w:val="000000"/>
          <w:sz w:val="32"/>
          <w:szCs w:val="32"/>
        </w:rPr>
        <w:t>、负责</w:t>
      </w:r>
      <w:r>
        <w:rPr>
          <w:rFonts w:eastAsia="仿宋_GB2312" w:hint="eastAsia"/>
          <w:color w:val="000000"/>
          <w:sz w:val="32"/>
          <w:szCs w:val="32"/>
        </w:rPr>
        <w:t xml:space="preserve">组织实施全市药品、医用耗材集中采购工作; </w:t>
      </w:r>
    </w:p>
    <w:p>
      <w:pPr>
        <w:ind w:firstLineChars="200" w:firstLine="640"/>
        <w:rPr>
          <w:rFonts w:eastAsia="仿宋_GB2312"/>
          <w:color w:val="000000"/>
          <w:sz w:val="32"/>
          <w:szCs w:val="32"/>
        </w:rPr>
      </w:pPr>
      <w:r>
        <w:rPr>
          <w:rFonts w:eastAsia="仿宋_GB2312" w:hint="eastAsia"/>
          <w:color w:val="000000"/>
          <w:sz w:val="32"/>
          <w:szCs w:val="32"/>
        </w:rPr>
        <w:t>8、</w:t>
      </w:r>
      <w:r>
        <w:rPr>
          <w:rFonts w:eastAsia="仿宋_GB2312"/>
          <w:color w:val="000000"/>
          <w:sz w:val="32"/>
          <w:szCs w:val="32"/>
        </w:rPr>
        <w:t>配合相关单位对城镇职工医疗保险、生育保险、城</w:t>
      </w:r>
      <w:r>
        <w:rPr>
          <w:rFonts w:eastAsia="仿宋_GB2312" w:hint="eastAsia"/>
          <w:color w:val="000000"/>
          <w:sz w:val="32"/>
          <w:szCs w:val="32"/>
        </w:rPr>
        <w:t>乡</w:t>
      </w:r>
      <w:r>
        <w:rPr>
          <w:rFonts w:eastAsia="仿宋_GB2312"/>
          <w:color w:val="000000"/>
          <w:sz w:val="32"/>
          <w:szCs w:val="32"/>
        </w:rPr>
        <w:t>居民医保信息系统的建设、运行、升级维护和安全管理等协调工作；</w:t>
      </w:r>
    </w:p>
    <w:p>
      <w:pPr>
        <w:ind w:firstLineChars="200" w:firstLine="640"/>
        <w:rPr>
          <w:rFonts w:eastAsia="仿宋_GB2312"/>
          <w:color w:val="000000"/>
          <w:sz w:val="32"/>
          <w:szCs w:val="32"/>
        </w:rPr>
      </w:pPr>
      <w:r>
        <w:rPr>
          <w:rFonts w:eastAsia="仿宋_GB2312" w:hint="eastAsia"/>
          <w:color w:val="000000"/>
          <w:sz w:val="32"/>
          <w:szCs w:val="32"/>
        </w:rPr>
        <w:t>9</w:t>
      </w:r>
      <w:r>
        <w:rPr>
          <w:rFonts w:eastAsia="仿宋_GB2312"/>
          <w:color w:val="000000"/>
          <w:sz w:val="32"/>
          <w:szCs w:val="32"/>
        </w:rPr>
        <w:t>、指导县（区）、</w:t>
      </w:r>
      <w:r>
        <w:rPr>
          <w:rFonts w:eastAsia="仿宋_GB2312" w:hint="eastAsia"/>
          <w:color w:val="000000"/>
          <w:sz w:val="32"/>
          <w:szCs w:val="32"/>
        </w:rPr>
        <w:t>参保单位</w:t>
      </w:r>
      <w:r>
        <w:rPr>
          <w:rFonts w:eastAsia="仿宋_GB2312"/>
          <w:color w:val="000000"/>
          <w:sz w:val="32"/>
          <w:szCs w:val="32"/>
        </w:rPr>
        <w:t>做好</w:t>
      </w:r>
      <w:r>
        <w:rPr>
          <w:rFonts w:eastAsia="仿宋_GB2312" w:hint="eastAsia"/>
          <w:color w:val="000000"/>
          <w:sz w:val="32"/>
          <w:szCs w:val="32"/>
        </w:rPr>
        <w:t>基本</w:t>
      </w:r>
      <w:r>
        <w:rPr>
          <w:rFonts w:eastAsia="仿宋_GB2312"/>
          <w:color w:val="000000"/>
          <w:sz w:val="32"/>
          <w:szCs w:val="32"/>
        </w:rPr>
        <w:t>医疗保险和</w:t>
      </w:r>
      <w:r>
        <w:rPr>
          <w:rFonts w:eastAsia="仿宋_GB2312" w:hint="eastAsia"/>
          <w:color w:val="000000"/>
          <w:sz w:val="32"/>
          <w:szCs w:val="32"/>
        </w:rPr>
        <w:t>大病</w:t>
      </w:r>
      <w:r>
        <w:rPr>
          <w:rFonts w:eastAsia="仿宋_GB2312"/>
          <w:color w:val="000000"/>
          <w:sz w:val="32"/>
          <w:szCs w:val="32"/>
        </w:rPr>
        <w:t>医疗保险经办</w:t>
      </w:r>
      <w:r>
        <w:rPr>
          <w:rFonts w:eastAsia="仿宋_GB2312" w:hint="eastAsia"/>
          <w:color w:val="000000"/>
          <w:sz w:val="32"/>
          <w:szCs w:val="32"/>
        </w:rPr>
        <w:t>管理</w:t>
      </w:r>
      <w:r>
        <w:rPr>
          <w:rFonts w:eastAsia="仿宋_GB2312"/>
          <w:color w:val="000000"/>
          <w:sz w:val="32"/>
          <w:szCs w:val="32"/>
        </w:rPr>
        <w:t>工作；</w:t>
      </w:r>
    </w:p>
    <w:p>
      <w:pPr>
        <w:ind w:firstLineChars="200" w:firstLine="640"/>
        <w:rPr>
          <w:rFonts w:eastAsia="仿宋_GB2312"/>
          <w:color w:val="000000"/>
          <w:sz w:val="32"/>
          <w:szCs w:val="32"/>
        </w:rPr>
      </w:pPr>
      <w:r>
        <w:rPr>
          <w:rFonts w:eastAsia="仿宋_GB2312" w:hint="eastAsia"/>
          <w:color w:val="000000"/>
          <w:sz w:val="32"/>
          <w:szCs w:val="32"/>
        </w:rPr>
        <w:t>10</w:t>
      </w:r>
      <w:r>
        <w:rPr>
          <w:rFonts w:eastAsia="仿宋_GB2312"/>
          <w:color w:val="000000"/>
          <w:sz w:val="32"/>
          <w:szCs w:val="32"/>
        </w:rPr>
        <w:t>、开展调查研究，为市政府及其相关职能部门制定和完善基本医疗保险政策提出建议意见。</w:t>
      </w:r>
    </w:p>
    <w:p>
      <w:pPr>
        <w:pStyle w:val="16"/>
        <w:adjustRightInd w:val="0"/>
        <w:snapToGrid w:val="0"/>
        <w:spacing w:beforeLines="0" w:before="30"/>
        <w:ind w:firstLineChars="200" w:firstLine="640"/>
        <w:outlineLvl w:val="2"/>
        <w:rPr>
          <w:rFonts w:ascii="Times New Roman" w:eastAsia="楷体_GB2312" w:hAnsi="Times New Roman"/>
          <w:b/>
          <w:sz w:val="32"/>
          <w:szCs w:val="32"/>
        </w:rPr>
      </w:pPr>
      <w:r>
        <w:rPr>
          <w:rFonts w:ascii="Times New Roman" w:eastAsia="楷体_GB2312" w:hAnsi="Times New Roman"/>
          <w:b/>
          <w:sz w:val="32"/>
          <w:szCs w:val="32"/>
        </w:rPr>
        <w:t>（二）2021年重点工作完成情况。</w:t>
      </w:r>
      <w:bookmarkEnd w:id="27"/>
      <w:bookmarkEnd w:id="28"/>
    </w:p>
    <w:p>
      <w:pPr>
        <w:ind w:firstLineChars="200" w:firstLine="640"/>
        <w:rPr>
          <w:rFonts w:eastAsia="仿宋_GB2312"/>
          <w:color w:val="000000"/>
          <w:sz w:val="32"/>
          <w:szCs w:val="32"/>
        </w:rPr>
      </w:pPr>
      <w:r>
        <w:rPr>
          <w:rFonts w:eastAsia="仿宋_GB2312"/>
          <w:color w:val="000000"/>
          <w:sz w:val="32"/>
          <w:szCs w:val="32"/>
        </w:rPr>
        <w:t>2021年，市医保事务中心在</w:t>
      </w:r>
      <w:r>
        <w:rPr>
          <w:rFonts w:eastAsia="仿宋_GB2312" w:hint="eastAsia"/>
          <w:color w:val="000000"/>
          <w:sz w:val="32"/>
          <w:szCs w:val="32"/>
        </w:rPr>
        <w:t>医保</w:t>
      </w:r>
      <w:r>
        <w:rPr>
          <w:rFonts w:eastAsia="仿宋_GB2312"/>
          <w:color w:val="000000"/>
          <w:sz w:val="32"/>
          <w:szCs w:val="32"/>
        </w:rPr>
        <w:t>业务量增加，经费紧张的情况下，</w:t>
      </w:r>
      <w:r>
        <w:rPr>
          <w:rFonts w:eastAsia="仿宋_GB2312" w:hint="eastAsia"/>
          <w:color w:val="000000"/>
          <w:sz w:val="32"/>
          <w:szCs w:val="32"/>
        </w:rPr>
        <w:t>攻坚克难，</w:t>
      </w:r>
      <w:r>
        <w:rPr>
          <w:rFonts w:eastAsia="仿宋_GB2312"/>
          <w:color w:val="000000"/>
          <w:sz w:val="32"/>
          <w:szCs w:val="32"/>
        </w:rPr>
        <w:t>一手抓能力建设、一手抓作风建设，圆满完成各项工作任务并取得阶段性成效。</w:t>
      </w:r>
    </w:p>
    <w:p>
      <w:pPr>
        <w:ind w:firstLineChars="200" w:firstLine="640"/>
        <w:rPr>
          <w:rFonts w:eastAsia="仿宋_GB2312"/>
          <w:sz w:val="32"/>
          <w:szCs w:val="32"/>
        </w:rPr>
      </w:pPr>
      <w:r>
        <w:rPr>
          <w:rFonts w:eastAsia="仿宋_GB2312"/>
          <w:sz w:val="32"/>
          <w:szCs w:val="32"/>
        </w:rPr>
        <w:t>1.巩固拓展医保脱贫攻坚成果</w:t>
      </w:r>
    </w:p>
    <w:p>
      <w:pPr>
        <w:ind w:firstLineChars="200" w:firstLine="640"/>
        <w:rPr>
          <w:rFonts w:eastAsia="仿宋"/>
          <w:kern w:val="0"/>
          <w:sz w:val="32"/>
          <w:szCs w:val="32"/>
        </w:rPr>
      </w:pPr>
      <w:r>
        <w:rPr>
          <w:rFonts w:eastAsia="仿宋_GB2312"/>
          <w:sz w:val="32"/>
          <w:szCs w:val="32"/>
        </w:rPr>
        <w:t>在落实分类资助参保政策方面，加强参保数据比对和动态维护，切实防止“漏保”“断保”现象。2021年度全额资助建档立卡贫困人口、重点困难人员、重度残疾人参保共计7.88万人，参保率达到100%。其中</w:t>
      </w:r>
      <w:r>
        <w:rPr>
          <w:rFonts w:eastAsia="仿宋_GB2312" w:hint="eastAsia"/>
          <w:sz w:val="32"/>
          <w:szCs w:val="32"/>
        </w:rPr>
        <w:t>，</w:t>
      </w:r>
      <w:r>
        <w:rPr>
          <w:rFonts w:eastAsia="仿宋_GB2312"/>
          <w:sz w:val="32"/>
          <w:szCs w:val="32"/>
        </w:rPr>
        <w:t>残联资助1.8万人参加城乡居民医保，资助金额638.82万元。医疗救助资金资助特困对象和低保对象参保1.48万人，资助金额506.9万元。扶贫资助4.6万人参保，资助金额1366.52万元。</w:t>
      </w:r>
    </w:p>
    <w:p>
      <w:pPr>
        <w:ind w:leftChars="200" w:left="420" w:firstLineChars="100" w:firstLine="320"/>
        <w:rPr>
          <w:rFonts w:eastAsia="仿宋_GB2312"/>
          <w:kern w:val="0"/>
          <w:sz w:val="32"/>
          <w:szCs w:val="32"/>
        </w:rPr>
      </w:pPr>
      <w:r>
        <w:rPr>
          <w:rFonts w:eastAsia="仿宋_GB2312" w:hint="eastAsia"/>
          <w:kern w:val="0"/>
          <w:sz w:val="32"/>
          <w:szCs w:val="32"/>
        </w:rPr>
        <w:t>2.</w:t>
      </w:r>
      <w:r>
        <w:rPr>
          <w:rFonts w:eastAsia="仿宋_GB2312"/>
          <w:kern w:val="0"/>
          <w:sz w:val="32"/>
          <w:szCs w:val="32"/>
        </w:rPr>
        <w:t>坚持抓好疫情防控常态化工作</w:t>
      </w:r>
    </w:p>
    <w:p>
      <w:pPr>
        <w:ind w:firstLineChars="200" w:firstLine="640"/>
        <w:rPr>
          <w:rFonts w:eastAsia="仿宋_GB2312"/>
          <w:sz w:val="32"/>
          <w:szCs w:val="32"/>
        </w:rPr>
      </w:pPr>
      <w:r>
        <w:rPr>
          <w:rFonts w:eastAsia="仿宋_GB2312"/>
          <w:sz w:val="32"/>
          <w:szCs w:val="32"/>
        </w:rPr>
        <w:t>做好新冠病毒疫苗及接种费用拨付工作。建立攀枝花市新冠疫苗及接种费用保障协调机制，</w:t>
      </w:r>
      <w:r>
        <w:rPr>
          <w:rFonts w:eastAsia="仿宋_GB2312" w:hint="eastAsia"/>
          <w:sz w:val="32"/>
          <w:szCs w:val="32"/>
        </w:rPr>
        <w:t>制定了《攀枝花市突发重大公共卫生事件应急医疗费用保障办法》，</w:t>
      </w:r>
      <w:r>
        <w:rPr>
          <w:rFonts w:eastAsia="仿宋_GB2312"/>
          <w:sz w:val="32"/>
          <w:szCs w:val="32"/>
        </w:rPr>
        <w:t>做好随时启动向定点治疗机构提前预付基金，切实保障留观人员、确诊患者医疗救治的准备工作。</w:t>
      </w:r>
    </w:p>
    <w:p>
      <w:pPr>
        <w:ind w:firstLineChars="200" w:firstLine="640"/>
        <w:rPr>
          <w:rFonts w:eastAsia="仿宋_GB2312"/>
          <w:kern w:val="0"/>
          <w:sz w:val="32"/>
          <w:szCs w:val="32"/>
        </w:rPr>
      </w:pPr>
      <w:bookmarkStart w:id="29" w:name="_Hlk88921205"/>
      <w:r>
        <w:rPr>
          <w:rFonts w:eastAsia="仿宋_GB2312"/>
          <w:kern w:val="0"/>
          <w:sz w:val="32"/>
          <w:szCs w:val="32"/>
        </w:rPr>
        <w:t>3.融入“三个圈层”，医疗保障区域协同发展</w:t>
      </w:r>
      <w:bookmarkEnd w:id="29"/>
    </w:p>
    <w:p>
      <w:pPr>
        <w:ind w:firstLineChars="200" w:firstLine="640"/>
        <w:rPr>
          <w:rFonts w:eastAsia="仿宋_GB2312"/>
          <w:sz w:val="32"/>
          <w:szCs w:val="32"/>
        </w:rPr>
      </w:pPr>
      <w:r>
        <w:rPr>
          <w:rFonts w:eastAsia="仿宋_GB2312"/>
          <w:bCs/>
          <w:sz w:val="32"/>
          <w:szCs w:val="32"/>
        </w:rPr>
        <w:t>充实“内圈”医保惠民内涵，</w:t>
      </w:r>
      <w:r>
        <w:rPr>
          <w:rFonts w:eastAsia="仿宋_GB2312"/>
          <w:sz w:val="32"/>
          <w:szCs w:val="32"/>
        </w:rPr>
        <w:t>统筹提高门诊和住院医疗救助封顶线，将卫生健康部门纳入健康档案管理的“高血压、糖尿病”患者全部纳入门诊用药保障机制管理。</w:t>
      </w:r>
      <w:r>
        <w:rPr>
          <w:rFonts w:eastAsia="仿宋_GB2312"/>
          <w:bCs/>
          <w:sz w:val="32"/>
          <w:szCs w:val="32"/>
        </w:rPr>
        <w:t>落实“中圈”医保协同发展，</w:t>
      </w:r>
      <w:r>
        <w:rPr>
          <w:rFonts w:eastAsia="仿宋_GB2312" w:hint="eastAsia"/>
          <w:bCs/>
          <w:sz w:val="32"/>
          <w:szCs w:val="32"/>
        </w:rPr>
        <w:t>与凉山州医保局在医保缴费年限、经办、打击欺诈骗保等方面达成合作协议。</w:t>
      </w:r>
      <w:r>
        <w:rPr>
          <w:rFonts w:eastAsia="仿宋_GB2312"/>
          <w:sz w:val="32"/>
          <w:szCs w:val="32"/>
        </w:rPr>
        <w:t>做实“外圈”医保便捷服务，</w:t>
      </w:r>
      <w:r>
        <w:rPr>
          <w:rFonts w:eastAsia="仿宋_GB2312" w:hint="eastAsia"/>
          <w:bCs/>
          <w:sz w:val="32"/>
          <w:szCs w:val="32"/>
        </w:rPr>
        <w:t>与</w:t>
      </w:r>
      <w:r>
        <w:rPr>
          <w:rFonts w:eastAsia="仿宋_GB2312"/>
          <w:sz w:val="32"/>
          <w:szCs w:val="32"/>
        </w:rPr>
        <w:t>成都市</w:t>
      </w:r>
      <w:r>
        <w:rPr>
          <w:rFonts w:eastAsia="仿宋_GB2312" w:hint="eastAsia"/>
          <w:sz w:val="32"/>
          <w:szCs w:val="32"/>
        </w:rPr>
        <w:t>达成协议，其</w:t>
      </w:r>
      <w:r>
        <w:rPr>
          <w:rFonts w:eastAsia="仿宋_GB2312"/>
          <w:sz w:val="32"/>
          <w:szCs w:val="32"/>
        </w:rPr>
        <w:t>参保人员在我市定点医疗机构住院，医疗费报销时不再提高起付线标准和降低报销比例，执行参保地同等待遇政策</w:t>
      </w:r>
      <w:r>
        <w:rPr>
          <w:rFonts w:eastAsia="仿宋_GB2312" w:hint="eastAsia"/>
          <w:sz w:val="32"/>
          <w:szCs w:val="32"/>
        </w:rPr>
        <w:t>；</w:t>
      </w:r>
      <w:r>
        <w:rPr>
          <w:rFonts w:eastAsia="仿宋_GB2312"/>
          <w:sz w:val="32"/>
          <w:szCs w:val="32"/>
        </w:rPr>
        <w:t>对医疗保险转移接续到我市的</w:t>
      </w:r>
      <w:r>
        <w:rPr>
          <w:rFonts w:eastAsia="仿宋_GB2312" w:hint="eastAsia"/>
          <w:sz w:val="32"/>
          <w:szCs w:val="32"/>
        </w:rPr>
        <w:t>其他</w:t>
      </w:r>
      <w:r>
        <w:rPr>
          <w:rFonts w:eastAsia="仿宋_GB2312"/>
          <w:sz w:val="32"/>
          <w:szCs w:val="32"/>
        </w:rPr>
        <w:t>参保人员，其在外地的实际缴费年限与我市实际缴费年限累计结算，在外地符合国家、省、市认可的工龄均可作为我市医保视同缴费年限计算</w:t>
      </w:r>
      <w:r>
        <w:rPr>
          <w:rFonts w:eastAsia="仿宋_GB2312" w:hint="eastAsia"/>
          <w:sz w:val="32"/>
          <w:szCs w:val="32"/>
        </w:rPr>
        <w:t>。</w:t>
      </w:r>
      <w:r>
        <w:rPr>
          <w:rFonts w:eastAsia="仿宋_GB2312"/>
          <w:sz w:val="32"/>
          <w:szCs w:val="32"/>
        </w:rPr>
        <w:t>进一步推进异地就医联网扩面，全市新增异地就医定点医疗机构67家，定点零售药店238家，2月成功实现与26个省（区、市）普通门诊跨省直接结算，</w:t>
      </w:r>
      <w:r>
        <w:rPr>
          <w:rFonts w:eastAsia="仿宋_GB2312" w:hint="eastAsia"/>
          <w:color w:val="000000"/>
          <w:sz w:val="32"/>
          <w:szCs w:val="32"/>
        </w:rPr>
        <w:t>10</w:t>
      </w:r>
      <w:r>
        <w:rPr>
          <w:rFonts w:eastAsia="仿宋_GB2312"/>
          <w:color w:val="000000"/>
          <w:sz w:val="32"/>
          <w:szCs w:val="32"/>
        </w:rPr>
        <w:t>月</w:t>
      </w:r>
      <w:r>
        <w:rPr>
          <w:rFonts w:eastAsia="仿宋_GB2312"/>
          <w:sz w:val="32"/>
          <w:szCs w:val="32"/>
        </w:rPr>
        <w:t>攀枝花市成为四川省开展门诊慢特病相关治疗费用跨省直接结算首批国家试点统筹区。</w:t>
      </w:r>
    </w:p>
    <w:p>
      <w:pPr>
        <w:ind w:firstLineChars="200" w:firstLine="640"/>
        <w:rPr>
          <w:rFonts w:eastAsia="仿宋_GB2312"/>
          <w:kern w:val="0"/>
          <w:sz w:val="32"/>
          <w:szCs w:val="32"/>
        </w:rPr>
      </w:pPr>
      <w:r>
        <w:rPr>
          <w:rFonts w:eastAsia="仿宋_GB2312"/>
          <w:kern w:val="0"/>
          <w:sz w:val="32"/>
          <w:szCs w:val="32"/>
        </w:rPr>
        <w:t>4.</w:t>
      </w:r>
      <w:r>
        <w:rPr>
          <w:rFonts w:eastAsia="仿宋_GB2312"/>
          <w:sz w:val="32"/>
          <w:szCs w:val="32"/>
        </w:rPr>
        <w:t>全省</w:t>
      </w:r>
      <w:r>
        <w:rPr>
          <w:rFonts w:eastAsia="仿宋_GB2312"/>
          <w:kern w:val="0"/>
          <w:sz w:val="32"/>
          <w:szCs w:val="32"/>
        </w:rPr>
        <w:t>医疗保障一体化大数据平台成功上线。</w:t>
      </w:r>
    </w:p>
    <w:p>
      <w:pPr>
        <w:ind w:firstLineChars="200" w:firstLine="640"/>
        <w:rPr>
          <w:rFonts w:eastAsia="仿宋_GB2312"/>
          <w:sz w:val="32"/>
          <w:szCs w:val="32"/>
        </w:rPr>
      </w:pPr>
      <w:r>
        <w:rPr>
          <w:rFonts w:eastAsia="仿宋_GB2312"/>
          <w:color w:val="000000"/>
          <w:sz w:val="32"/>
          <w:szCs w:val="32"/>
        </w:rPr>
        <w:t>从2021年7月起，中心积极筹备攀枝花上线全省医疗保障一体化大数据平台工作，高效组织领导，周密部署，</w:t>
      </w:r>
      <w:r>
        <w:rPr>
          <w:rFonts w:eastAsia="仿宋_GB2312"/>
          <w:sz w:val="32"/>
          <w:szCs w:val="32"/>
        </w:rPr>
        <w:t>督促经办人员、医保疾病诊断和手术操作、医疗服务项目、药品和医用耗材等医疗保障信息业务编码标准的贯彻落地，</w:t>
      </w:r>
      <w:r>
        <w:rPr>
          <w:rFonts w:eastAsia="仿宋_GB2312"/>
          <w:color w:val="000000"/>
          <w:sz w:val="32"/>
          <w:szCs w:val="32"/>
        </w:rPr>
        <w:t>并积极组织县区医保部门共商探讨，提前摸底、梳理、分析上线前历史遗留、在途业务办理、新旧系统差异化处理、风险点防控、财务系统同步上线、舆情应对等各类问题，同时，协调、争取银海公司、用友公司对上线给予技术支撑，提前集中模拟测试，最终于2021年10月28日成功上线同步上线全省医疗保障一体化大数据平台、全省财务业务一体化子系统，</w:t>
      </w:r>
      <w:r>
        <w:rPr>
          <w:rFonts w:eastAsia="仿宋_GB2312"/>
          <w:sz w:val="32"/>
          <w:szCs w:val="32"/>
        </w:rPr>
        <w:t>全市6家医保经办机构、184家定点医疗机构、474家定点药店均同步接入，成为四川省第12个上线运行的城市，标志着攀枝花智慧医保建设迎来新的里程碑，正式融入全国医保“一张网”。</w:t>
      </w:r>
    </w:p>
    <w:p>
      <w:pPr>
        <w:ind w:leftChars="200" w:left="420" w:firstLineChars="100" w:firstLine="320"/>
        <w:rPr>
          <w:rFonts w:eastAsia="仿宋_GB2312"/>
          <w:sz w:val="32"/>
          <w:szCs w:val="32"/>
        </w:rPr>
      </w:pPr>
      <w:r>
        <w:rPr>
          <w:rFonts w:eastAsia="仿宋_GB2312" w:hint="eastAsia"/>
          <w:sz w:val="32"/>
          <w:szCs w:val="32"/>
        </w:rPr>
        <w:t>5.</w:t>
      </w:r>
      <w:r>
        <w:rPr>
          <w:rFonts w:eastAsia="仿宋_GB2312"/>
          <w:b/>
          <w:bCs/>
          <w:sz w:val="32"/>
          <w:szCs w:val="32"/>
        </w:rPr>
        <w:t>保持“打击欺诈骗保、维护基金安全”的高压态势。</w:t>
      </w:r>
    </w:p>
    <w:p>
      <w:pPr>
        <w:autoSpaceDN w:val="0"/>
        <w:spacing w:line="560" w:lineRule="exact"/>
        <w:ind w:firstLineChars="200" w:firstLine="640"/>
        <w:rPr>
          <w:rFonts w:eastAsia="仿宋_GB2312"/>
          <w:sz w:val="32"/>
          <w:szCs w:val="32"/>
        </w:rPr>
      </w:pPr>
      <w:r>
        <w:rPr>
          <w:rFonts w:eastAsia="仿宋_GB2312"/>
          <w:sz w:val="32"/>
          <w:szCs w:val="32"/>
        </w:rPr>
        <w:t>聚焦重点行业领域突出问题系统治理，深入开展“三假”专项治理和存量问题“清零行动”，全市定点医药机构现场检查覆盖率100%，接受省级飞行检查对6家定点医疗机构的现场和大数据检查，按照10%比例省级抽查复查31家（定点医疗机构21家，定点药店10家）、市级抽查复查21家进行第二轮全覆盖检查，同时通过DRG付费，对市内有住院条件医疗机构进行引导降成本提质量监管。召开全市医疗卫生领域突出问题医保治理暨警示教育大会，通报全市2021年度医保基金监管发现的违规情形，以案促改，持续保持医保基金监管高压态势。</w:t>
      </w:r>
    </w:p>
    <w:p>
      <w:pPr>
        <w:ind w:firstLineChars="200" w:firstLine="640"/>
        <w:rPr>
          <w:rFonts w:eastAsia="仿宋_GB2312"/>
          <w:kern w:val="0"/>
          <w:sz w:val="32"/>
          <w:szCs w:val="32"/>
        </w:rPr>
      </w:pPr>
      <w:r>
        <w:rPr>
          <w:rFonts w:eastAsia="仿宋_GB2312" w:hint="eastAsia"/>
          <w:sz w:val="32"/>
          <w:szCs w:val="32"/>
        </w:rPr>
        <w:t>6</w:t>
      </w:r>
      <w:r>
        <w:rPr>
          <w:rFonts w:eastAsia="仿宋_GB2312"/>
          <w:sz w:val="32"/>
          <w:szCs w:val="32"/>
        </w:rPr>
        <w:t xml:space="preserve">. </w:t>
      </w:r>
      <w:r>
        <w:rPr>
          <w:rFonts w:eastAsia="仿宋_GB2312"/>
          <w:b/>
          <w:bCs/>
          <w:sz w:val="32"/>
          <w:szCs w:val="32"/>
        </w:rPr>
        <w:t>制度化常态化实施药品耗材集中招标采购。</w:t>
      </w:r>
    </w:p>
    <w:p>
      <w:pPr>
        <w:ind w:firstLineChars="200" w:firstLine="640"/>
        <w:rPr>
          <w:rFonts w:eastAsia="仿宋_GB2312"/>
          <w:color w:val="000000"/>
          <w:sz w:val="32"/>
          <w:szCs w:val="32"/>
        </w:rPr>
      </w:pPr>
      <w:r>
        <w:rPr>
          <w:rFonts w:eastAsia="仿宋_GB2312"/>
          <w:kern w:val="0"/>
          <w:sz w:val="32"/>
          <w:szCs w:val="32"/>
        </w:rPr>
        <w:t>严格落实国家和省级联盟组织的药品和医用耗材集中带量采购等各项采购任务，</w:t>
      </w:r>
      <w:r>
        <w:rPr>
          <w:rFonts w:eastAsia="仿宋_GB2312"/>
          <w:sz w:val="32"/>
          <w:szCs w:val="32"/>
          <w:shd w:val="clear" w:color="auto" w:fill="FFFFFF"/>
        </w:rPr>
        <w:t>在引导药品价格回归合理水平、减轻群众用药负担、提高</w:t>
      </w:r>
      <w:r>
        <w:rPr>
          <w:rFonts w:eastAsia="仿宋_GB2312"/>
          <w:sz w:val="32"/>
          <w:szCs w:val="32"/>
        </w:rPr>
        <w:t>医保基金使用效率、缓解了医药企业垫资压力，</w:t>
      </w:r>
      <w:r>
        <w:rPr>
          <w:rFonts w:eastAsia="仿宋_GB2312"/>
          <w:color w:val="000000"/>
          <w:sz w:val="32"/>
          <w:szCs w:val="32"/>
          <w:shd w:val="clear" w:color="auto" w:fill="FFFFFF"/>
        </w:rPr>
        <w:t>推动公立医疗机构改革等方面发挥了重要作用。</w:t>
      </w:r>
      <w:r>
        <w:rPr>
          <w:rFonts w:eastAsia="仿宋_GB2312"/>
          <w:sz w:val="32"/>
          <w:szCs w:val="32"/>
        </w:rPr>
        <w:t>我市组织86家公立医疗机构参加9个批次的国家、省际联盟组织的药品和医用耗材集中带量采购。其中，我市参与国家组织采购药品采购189种236个品规，最大降幅达98%</w:t>
      </w:r>
      <w:r>
        <w:rPr>
          <w:rFonts w:eastAsia="仿宋_GB2312"/>
          <w:sz w:val="32"/>
          <w:szCs w:val="32"/>
          <w:shd w:val="clear" w:color="auto" w:fill="FFFFFF"/>
        </w:rPr>
        <w:t>；参与</w:t>
      </w:r>
      <w:r>
        <w:rPr>
          <w:rFonts w:eastAsia="仿宋_GB2312"/>
          <w:sz w:val="32"/>
          <w:szCs w:val="32"/>
        </w:rPr>
        <w:t>省际联盟采购26个品种29个品规的药品，最大降幅达99%，采购总额5054.66万元，节约采购资金约1.8亿元。</w:t>
      </w:r>
      <w:r>
        <w:rPr>
          <w:rFonts w:eastAsia="仿宋_GB2312"/>
          <w:color w:val="000000"/>
          <w:sz w:val="32"/>
          <w:szCs w:val="32"/>
        </w:rPr>
        <w:t>未来会有更多药品和医用耗材进入集采范围，群众用上质优价廉药品和医用耗材将成为常态。</w:t>
      </w:r>
    </w:p>
    <w:p>
      <w:pPr>
        <w:ind w:firstLineChars="200" w:firstLine="640"/>
        <w:rPr>
          <w:rFonts w:eastAsia="仿宋_GB2312"/>
          <w:sz w:val="32"/>
          <w:szCs w:val="32"/>
        </w:rPr>
      </w:pPr>
      <w:r>
        <w:rPr>
          <w:rFonts w:eastAsia="仿宋_GB2312" w:hint="eastAsia"/>
          <w:sz w:val="32"/>
          <w:szCs w:val="32"/>
        </w:rPr>
        <w:t>7</w:t>
      </w:r>
      <w:r>
        <w:rPr>
          <w:rFonts w:eastAsia="仿宋_GB2312"/>
          <w:sz w:val="32"/>
          <w:szCs w:val="32"/>
        </w:rPr>
        <w:t>. 深化医保支付方式改革</w:t>
      </w:r>
      <w:r>
        <w:rPr>
          <w:rFonts w:eastAsia="仿宋_GB2312" w:hint="eastAsia"/>
          <w:sz w:val="32"/>
          <w:szCs w:val="32"/>
        </w:rPr>
        <w:t>显成效。</w:t>
      </w:r>
    </w:p>
    <w:p>
      <w:pPr>
        <w:pStyle w:val="36"/>
        <w:ind w:firstLine="660"/>
        <w:rPr>
          <w:color w:val="FF0000"/>
          <w:sz w:val="32"/>
          <w:szCs w:val="32"/>
        </w:rPr>
      </w:pPr>
      <w:r>
        <w:rPr>
          <w:rFonts w:hint="eastAsia"/>
          <w:sz w:val="32"/>
          <w:szCs w:val="32"/>
        </w:rPr>
        <w:t>2021年</w:t>
      </w:r>
      <w:r>
        <w:rPr>
          <w:sz w:val="32"/>
          <w:szCs w:val="32"/>
        </w:rPr>
        <w:t>5月《四川省医疗保障局 四川省财政厅 四川省卫生健康委员会关于推广按疾病诊断相关分组（DRG）结合点数法付费的实施意见》（川医保规〔2021〕12号）明确“借鉴攀枝花市国家试点城市做法，因地制宜，分类推进，逐步在全省范围内实施。”12月《国家医疗保障局办公室关于印发DRG/DIP付费示范点名单的通知》（医保办函〔2021〕15号）明确“四川省攀枝花市”为DRG示范点。</w:t>
      </w:r>
      <w:r>
        <w:rPr>
          <w:rFonts w:hint="eastAsia"/>
          <w:color w:val="auto"/>
          <w:sz w:val="32"/>
          <w:szCs w:val="32"/>
        </w:rPr>
        <w:t>在全省率先</w:t>
      </w:r>
      <w:r>
        <w:rPr>
          <w:color w:val="auto"/>
          <w:sz w:val="32"/>
          <w:szCs w:val="32"/>
        </w:rPr>
        <w:t>全面实行</w:t>
      </w:r>
      <w:r>
        <w:rPr>
          <w:rFonts w:hint="eastAsia"/>
          <w:color w:val="auto"/>
          <w:sz w:val="32"/>
          <w:szCs w:val="32"/>
        </w:rPr>
        <w:t>在区域总额预算基础下以</w:t>
      </w:r>
      <w:r>
        <w:rPr>
          <w:color w:val="auto"/>
          <w:sz w:val="32"/>
          <w:szCs w:val="32"/>
        </w:rPr>
        <w:t>DRG付费为主</w:t>
      </w:r>
      <w:r>
        <w:rPr>
          <w:rFonts w:hint="eastAsia"/>
          <w:color w:val="auto"/>
          <w:sz w:val="32"/>
          <w:szCs w:val="32"/>
        </w:rPr>
        <w:t>、按床日、按病种结合人头付费</w:t>
      </w:r>
      <w:r>
        <w:rPr>
          <w:color w:val="auto"/>
          <w:sz w:val="32"/>
          <w:szCs w:val="32"/>
        </w:rPr>
        <w:t>的多元复合医保支付方式改革</w:t>
      </w:r>
      <w:r>
        <w:rPr>
          <w:rFonts w:hint="eastAsia"/>
          <w:color w:val="auto"/>
          <w:sz w:val="32"/>
          <w:szCs w:val="32"/>
        </w:rPr>
        <w:t>，目前已</w:t>
      </w:r>
      <w:r>
        <w:rPr>
          <w:rFonts w:ascii="仿宋_GB2312" w:hint="eastAsia"/>
          <w:color w:val="auto"/>
          <w:sz w:val="32"/>
          <w:szCs w:val="32"/>
        </w:rPr>
        <w:t>初步建成“三个覆盖、三个机制、三个统一、三医联动”具有攀枝花特色的“三</w:t>
      </w:r>
      <w:r>
        <w:rPr>
          <w:rFonts w:ascii="仿宋_GB2312" w:cs="仿宋_GB2312" w:hAnsi="仿宋_GB2312" w:hint="eastAsia"/>
          <w:color w:val="auto"/>
          <w:sz w:val="32"/>
          <w:szCs w:val="32"/>
        </w:rPr>
        <w:t>三三三</w:t>
      </w:r>
      <w:r>
        <w:rPr>
          <w:rFonts w:ascii="仿宋_GB2312" w:hint="eastAsia"/>
          <w:color w:val="auto"/>
          <w:sz w:val="32"/>
          <w:szCs w:val="32"/>
        </w:rPr>
        <w:t>”DRG付费管理体系</w:t>
      </w:r>
      <w:r>
        <w:rPr>
          <w:rFonts w:ascii="仿宋_GB2312"/>
          <w:color w:val="auto"/>
          <w:sz w:val="32"/>
          <w:szCs w:val="32"/>
        </w:rPr>
        <w:t>,</w:t>
      </w:r>
      <w:r>
        <w:rPr>
          <w:rFonts w:hint="eastAsia"/>
          <w:color w:val="auto"/>
          <w:sz w:val="32"/>
          <w:szCs w:val="32"/>
        </w:rPr>
        <w:t>基本实现了医保基金可承受、医疗机构可持续发展、参保群众负担总体不增加的目标。</w:t>
      </w:r>
    </w:p>
    <w:p>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color w:val="000000"/>
          <w:sz w:val="32"/>
          <w:szCs w:val="32"/>
        </w:rPr>
        <w:t>.</w:t>
      </w:r>
      <w:r>
        <w:rPr>
          <w:rFonts w:ascii="仿宋_GB2312" w:eastAsia="仿宋_GB2312" w:hAnsi="仿宋" w:hint="eastAsia"/>
          <w:sz w:val="32"/>
          <w:szCs w:val="32"/>
        </w:rPr>
        <w:t>不断提升医疗保障公共管理服务能效。</w:t>
      </w:r>
    </w:p>
    <w:p>
      <w:pPr>
        <w:pStyle w:val="24"/>
        <w:widowControl w:val="0"/>
        <w:shd w:val="clear" w:color="auto" w:fill="FFFFFF"/>
        <w:autoSpaceDN w:val="0"/>
        <w:spacing w:before="0" w:beforeAutospacing="0" w:after="0" w:afterAutospacing="0" w:line="560" w:lineRule="exact"/>
        <w:ind w:firstLineChars="200" w:firstLine="640"/>
        <w:jc w:val="both"/>
        <w:rPr>
          <w:rFonts w:ascii="Times New Roman" w:eastAsia="仿宋_GB2312" w:hAnsi="Times New Roman"/>
          <w:szCs w:val="32"/>
        </w:rPr>
      </w:pPr>
      <w:r>
        <w:rPr>
          <w:rFonts w:ascii="Times New Roman" w:eastAsia="仿宋_GB2312" w:hAnsi="Times New Roman"/>
          <w:sz w:val="32"/>
          <w:szCs w:val="32"/>
        </w:rPr>
        <w:t>一是加强经办精细化管理。实施推广业务经办服务“综合柜员制”，整合4个综合窗口，变“单一办事窗口”为“一窗通办”。持续推进“互联网+医保”，40项医保公共服务事项实现“一网通办”，7项业务在微信小程序实现自助办理。二是全面抓实参保征缴工作。2021年基本医疗保险参保人数112.78万人，参保率维持在95%以上。三是加强医保信息化建设。</w:t>
      </w:r>
      <w:r>
        <w:rPr>
          <w:rFonts w:ascii="Times New Roman" w:eastAsia="仿宋_GB2312" w:hAnsi="Times New Roman"/>
          <w:kern w:val="2"/>
          <w:sz w:val="32"/>
          <w:szCs w:val="32"/>
        </w:rPr>
        <w:t>2021年10月28日0时，我市正式上线运行国家医疗保障信息平台，成为四川省第12个上线运行的城市。全面推广应用医保电子凭证，定点医药机构开通率不低于90%，申领激活和使用率达到40%和10%以上。建设开通“123</w:t>
      </w:r>
      <w:r>
        <w:rPr>
          <w:rFonts w:ascii="Times New Roman" w:eastAsia="仿宋_GB2312" w:hAnsi="Times New Roman" w:hint="eastAsia"/>
          <w:kern w:val="2"/>
          <w:sz w:val="32"/>
          <w:szCs w:val="32"/>
        </w:rPr>
        <w:t>9</w:t>
      </w:r>
      <w:r>
        <w:rPr>
          <w:rFonts w:ascii="Times New Roman" w:eastAsia="仿宋_GB2312" w:hAnsi="Times New Roman"/>
          <w:kern w:val="2"/>
          <w:sz w:val="32"/>
          <w:szCs w:val="32"/>
        </w:rPr>
        <w:t>3-7”医保服务热线，提供方便快捷的线上服务。</w:t>
      </w:r>
    </w:p>
    <w:p>
      <w:pPr>
        <w:ind w:firstLineChars="200" w:firstLine="640"/>
        <w:rPr>
          <w:rFonts w:eastAsia="仿宋_GB2312"/>
          <w:sz w:val="32"/>
          <w:szCs w:val="32"/>
        </w:rPr>
      </w:pPr>
      <w:r>
        <w:rPr>
          <w:rFonts w:eastAsia="仿宋_GB2312" w:hint="eastAsia"/>
          <w:sz w:val="32"/>
          <w:szCs w:val="32"/>
        </w:rPr>
        <w:t>9</w:t>
      </w:r>
      <w:r>
        <w:rPr>
          <w:rFonts w:eastAsia="仿宋_GB2312"/>
          <w:sz w:val="32"/>
          <w:szCs w:val="32"/>
        </w:rPr>
        <w:t>. 全面</w:t>
      </w:r>
      <w:r>
        <w:rPr>
          <w:rFonts w:eastAsia="仿宋_GB2312" w:hint="eastAsia"/>
          <w:sz w:val="32"/>
          <w:szCs w:val="32"/>
        </w:rPr>
        <w:t>加强</w:t>
      </w:r>
      <w:r>
        <w:rPr>
          <w:rFonts w:eastAsia="仿宋_GB2312"/>
          <w:sz w:val="32"/>
          <w:szCs w:val="32"/>
        </w:rPr>
        <w:t>内控制度</w:t>
      </w:r>
      <w:r>
        <w:rPr>
          <w:rFonts w:eastAsia="仿宋_GB2312" w:hint="eastAsia"/>
          <w:sz w:val="32"/>
          <w:szCs w:val="32"/>
        </w:rPr>
        <w:t>建设</w:t>
      </w:r>
    </w:p>
    <w:p>
      <w:pPr>
        <w:ind w:firstLineChars="200" w:firstLine="640"/>
        <w:rPr>
          <w:rFonts w:eastAsia="仿宋_GB2312"/>
          <w:sz w:val="32"/>
          <w:szCs w:val="32"/>
        </w:rPr>
      </w:pPr>
      <w:r>
        <w:rPr>
          <w:rFonts w:eastAsia="仿宋_GB2312"/>
          <w:sz w:val="32"/>
          <w:szCs w:val="32"/>
        </w:rPr>
        <w:t>编制《风险防控科2021年工作任务清单》，督促各业务科室清理人员业务权限。建立风险评估机制，收集各业务科室业务风险点、风险防控措施，汇总完成业务风险等级分类，对每个风险点都制定了防控措施，落实到责任科室、责任人员，实行每季度、半年和全年业务和基金运行分析报告制度，市本级基金财务和统计业务建立了风险分析和评估、预警机制。制发《攀枝花市使用国家医保信息平台经办业务相关风险点及防控措施清单》，由市、县（区）医保事务中心结合实际进一步细化措施。</w:t>
      </w:r>
    </w:p>
    <w:p>
      <w:pPr>
        <w:ind w:firstLineChars="200" w:firstLine="640"/>
        <w:rPr>
          <w:rFonts w:eastAsia="仿宋_GB2312"/>
          <w:sz w:val="32"/>
          <w:szCs w:val="32"/>
        </w:rPr>
      </w:pPr>
      <w:r>
        <w:rPr>
          <w:rFonts w:eastAsia="仿宋_GB2312"/>
          <w:sz w:val="32"/>
          <w:szCs w:val="32"/>
        </w:rPr>
        <w:t>10. 加强医保基金管理</w:t>
      </w:r>
    </w:p>
    <w:p>
      <w:pPr>
        <w:ind w:firstLineChars="200" w:firstLine="640"/>
        <w:jc w:val="left"/>
        <w:rPr>
          <w:rFonts w:eastAsia="仿宋_GB2312"/>
          <w:sz w:val="32"/>
          <w:szCs w:val="32"/>
        </w:rPr>
      </w:pPr>
      <w:r>
        <w:rPr>
          <w:rFonts w:eastAsia="仿宋_GB2312"/>
          <w:sz w:val="32"/>
          <w:szCs w:val="32"/>
        </w:rPr>
        <w:t>严格医保基金预算管理，调整优化基金支出结构，确保收支平衡，略有结余。做好“医银直连”上线工作，通过搭建市医疗保障事务中心综柜制业务系统与各支出户银行直联模式的医银平台，实现单笔、批量数据处理，市本级基金财务已实现全险种、全业务的“医银直联”，真正实现了基金应拨尽拨和“数据网上走，资金银行流”，有效保障医保基金安全。</w:t>
      </w:r>
    </w:p>
    <w:p>
      <w:pPr>
        <w:pStyle w:val="2"/>
        <w:tabs>
          <w:tab w:val="left" w:pos="3180"/>
        </w:tabs>
        <w:spacing w:before="0" w:after="0" w:line="240" w:lineRule="auto"/>
        <w:ind w:firstLineChars="200" w:firstLine="640"/>
        <w:rPr>
          <w:rFonts w:ascii="Times New Roman" w:eastAsia="黑体" w:cs="Times New Roman" w:hAnsi="Times New Roman"/>
          <w:b w:val="0"/>
          <w:bCs w:val="0"/>
          <w:color w:val="000000"/>
        </w:rPr>
      </w:pPr>
      <w:bookmarkStart w:id="30" w:name="_Toc28546"/>
      <w:bookmarkStart w:id="31" w:name="_Toc12302"/>
      <w:bookmarkStart w:id="32" w:name="_Toc21642"/>
      <w:bookmarkStart w:id="33" w:name="_Toc82085530"/>
      <w:bookmarkStart w:id="34" w:name="_Toc15377200"/>
      <w:bookmarkStart w:id="35" w:name="_Toc15396601"/>
      <w:bookmarkStart w:id="36" w:name="_Toc82085417"/>
      <w:bookmarkStart w:id="37" w:name="_Toc19943"/>
      <w:bookmarkStart w:id="38" w:name="_Toc18843"/>
      <w:r>
        <w:rPr>
          <w:rFonts w:ascii="Times New Roman" w:eastAsia="黑体" w:cs="Times New Roman" w:hAnsi="Times New Roman"/>
          <w:b w:val="0"/>
          <w:bCs w:val="0"/>
          <w:color w:val="000000"/>
        </w:rPr>
        <w:t>二、机构设置</w:t>
      </w:r>
      <w:bookmarkEnd w:id="30"/>
      <w:bookmarkEnd w:id="31"/>
      <w:bookmarkEnd w:id="32"/>
      <w:bookmarkEnd w:id="33"/>
      <w:bookmarkEnd w:id="34"/>
      <w:bookmarkEnd w:id="35"/>
      <w:bookmarkEnd w:id="36"/>
      <w:bookmarkEnd w:id="37"/>
      <w:bookmarkEnd w:id="38"/>
      <w:r>
        <w:rPr>
          <w:rFonts w:ascii="Times New Roman" w:eastAsia="黑体" w:cs="Times New Roman" w:hAnsi="Times New Roman"/>
          <w:b w:val="0"/>
          <w:bCs w:val="0"/>
          <w:color w:val="000000"/>
        </w:rPr>
        <w:tab/>
      </w:r>
    </w:p>
    <w:p>
      <w:pPr>
        <w:ind w:firstLineChars="200" w:firstLine="640"/>
        <w:rPr>
          <w:rFonts w:eastAsia="仿宋_GB2312"/>
          <w:color w:val="000000"/>
          <w:sz w:val="32"/>
          <w:szCs w:val="32"/>
        </w:rPr>
      </w:pPr>
      <w:r>
        <w:rPr>
          <w:rFonts w:eastAsia="仿宋_GB2312"/>
          <w:color w:val="000000"/>
          <w:sz w:val="32"/>
          <w:szCs w:val="32"/>
        </w:rPr>
        <w:t>攀枝花市医疗保障事务中心属参照公务员法管理的事业单位，无下属二级单位。</w:t>
      </w:r>
    </w:p>
    <w:p>
      <w:pPr>
        <w:pStyle w:val="16"/>
        <w:adjustRightInd w:val="0"/>
        <w:snapToGrid w:val="0"/>
        <w:spacing w:beforeLines="0" w:before="30"/>
        <w:ind w:firstLineChars="200" w:firstLine="640"/>
        <w:rPr>
          <w:rFonts w:ascii="Times New Roman" w:eastAsia="仿宋" w:hAnsi="Times New Roman"/>
          <w:sz w:val="32"/>
          <w:szCs w:val="32"/>
        </w:rPr>
      </w:pPr>
    </w:p>
    <w:p>
      <w:pPr>
        <w:rPr>
          <w:rFonts w:eastAsia="黑体"/>
          <w:sz w:val="32"/>
          <w:szCs w:val="32"/>
        </w:rPr>
      </w:pPr>
      <w:bookmarkStart w:id="39" w:name="_Toc15377204"/>
      <w:bookmarkStart w:id="40" w:name="_Toc15396602"/>
      <w:r>
        <w:rPr>
          <w:rFonts w:eastAsia="黑体"/>
          <w:sz w:val="32"/>
          <w:szCs w:val="32"/>
        </w:rPr>
        <w:br w:type="page"/>
      </w:r>
    </w:p>
    <w:p>
      <w:pPr>
        <w:spacing w:line="600" w:lineRule="exact"/>
        <w:jc w:val="center"/>
        <w:outlineLvl w:val="0"/>
        <w:rPr>
          <w:rStyle w:val="1Char"/>
          <w:rFonts w:eastAsia="黑体"/>
          <w:b w:val="0"/>
        </w:rPr>
      </w:pPr>
      <w:bookmarkStart w:id="41" w:name="_Toc15160"/>
      <w:bookmarkStart w:id="42" w:name="_Toc4942"/>
      <w:bookmarkStart w:id="43" w:name="_Toc22325"/>
      <w:bookmarkStart w:id="44" w:name="_Toc1754"/>
      <w:bookmarkStart w:id="45" w:name="_Toc23219"/>
      <w:r>
        <w:rPr>
          <w:rStyle w:val="1Char"/>
          <w:rFonts w:eastAsia="黑体"/>
          <w:b w:val="0"/>
        </w:rPr>
        <w:t>第二部分  2021年度部门决算情况说明</w:t>
      </w:r>
      <w:bookmarkEnd w:id="39"/>
      <w:bookmarkEnd w:id="40"/>
      <w:bookmarkEnd w:id="41"/>
      <w:bookmarkEnd w:id="42"/>
      <w:bookmarkEnd w:id="43"/>
      <w:bookmarkEnd w:id="44"/>
    </w:p>
    <w:p>
      <w:pPr>
        <w:ind w:firstLineChars="200" w:firstLine="640"/>
        <w:rPr>
          <w:sz w:val="32"/>
          <w:szCs w:val="32"/>
        </w:rPr>
      </w:pPr>
      <w:bookmarkEnd w:id="45"/>
    </w:p>
    <w:p>
      <w:pPr>
        <w:pStyle w:val="31"/>
        <w:outlineLvl w:val="1"/>
        <w:rPr>
          <w:rStyle w:val="2Char"/>
          <w:rFonts w:ascii="Times New Roman" w:eastAsia="黑体" w:cs="Times New Roman" w:hAnsi="Times New Roman"/>
          <w:b w:val="0"/>
        </w:rPr>
      </w:pPr>
      <w:bookmarkStart w:id="46" w:name="_Toc15396603"/>
      <w:bookmarkStart w:id="47" w:name="_Toc22073"/>
      <w:bookmarkStart w:id="48" w:name="_Toc28903"/>
      <w:bookmarkStart w:id="49" w:name="_Toc15377205"/>
      <w:bookmarkStart w:id="50" w:name="_Toc5702"/>
      <w:bookmarkStart w:id="51" w:name="_Toc7376"/>
      <w:r>
        <w:rPr>
          <w:rFonts w:eastAsia="黑体"/>
          <w:sz w:val="32"/>
          <w:szCs w:val="32"/>
        </w:rPr>
        <w:t>一、收</w:t>
      </w:r>
      <w:r>
        <w:rPr>
          <w:rStyle w:val="2Char"/>
          <w:rFonts w:ascii="Times New Roman" w:eastAsia="黑体" w:cs="Times New Roman" w:hAnsi="Times New Roman"/>
          <w:b w:val="0"/>
        </w:rPr>
        <w:t>入支出决算总体情况说明</w:t>
      </w:r>
      <w:bookmarkEnd w:id="46"/>
      <w:bookmarkEnd w:id="47"/>
      <w:bookmarkEnd w:id="48"/>
      <w:bookmarkEnd w:id="49"/>
      <w:bookmarkEnd w:id="50"/>
      <w:bookmarkEnd w:id="51"/>
    </w:p>
    <w:p>
      <w:pPr>
        <w:pStyle w:val="31"/>
        <w:rPr>
          <w:rFonts w:eastAsia="仿宋_GB2312"/>
          <w:color w:val="000000"/>
          <w:sz w:val="32"/>
          <w:szCs w:val="32"/>
        </w:rPr>
      </w:pPr>
      <w:r>
        <w:rPr>
          <w:rFonts w:eastAsia="仿宋_GB2312"/>
          <w:color w:val="000000"/>
          <w:sz w:val="32"/>
          <w:szCs w:val="32"/>
        </w:rPr>
        <w:t>2021年度全年收入合计1159.56万元。全年支出总计1159.56万元。与2020年相比，收入总计增加145.44万元，上涨6.97%。支出总计增加145.44万元，上涨6.97%。主要变动原因是人员的增加，致人员经费</w:t>
      </w:r>
      <w:r>
        <w:rPr>
          <w:rFonts w:eastAsia="仿宋_GB2312" w:hint="eastAsia"/>
          <w:color w:val="000000"/>
          <w:sz w:val="32"/>
          <w:szCs w:val="32"/>
        </w:rPr>
        <w:t>、</w:t>
      </w:r>
      <w:r>
        <w:rPr>
          <w:rFonts w:eastAsia="仿宋_GB2312"/>
          <w:color w:val="000000"/>
          <w:sz w:val="32"/>
          <w:szCs w:val="32"/>
        </w:rPr>
        <w:t>日常公用经费</w:t>
      </w:r>
      <w:r>
        <w:rPr>
          <w:rFonts w:eastAsia="仿宋_GB2312" w:hint="eastAsia"/>
          <w:color w:val="000000"/>
          <w:sz w:val="32"/>
          <w:szCs w:val="32"/>
        </w:rPr>
        <w:t>、</w:t>
      </w:r>
      <w:r>
        <w:rPr>
          <w:rFonts w:eastAsia="仿宋_GB2312"/>
          <w:color w:val="000000"/>
          <w:sz w:val="32"/>
          <w:szCs w:val="32"/>
        </w:rPr>
        <w:t>项目资金</w:t>
      </w:r>
      <w:r>
        <w:rPr>
          <w:rFonts w:eastAsia="仿宋_GB2312" w:hint="eastAsia"/>
          <w:color w:val="000000"/>
          <w:sz w:val="32"/>
          <w:szCs w:val="32"/>
        </w:rPr>
        <w:t>相应</w:t>
      </w:r>
      <w:r>
        <w:rPr>
          <w:rFonts w:eastAsia="仿宋_GB2312"/>
          <w:color w:val="000000"/>
          <w:sz w:val="32"/>
          <w:szCs w:val="32"/>
        </w:rPr>
        <w:t>增加。</w:t>
      </w:r>
    </w:p>
    <w:p>
      <w:pPr>
        <w:pStyle w:val="31"/>
        <w:rPr>
          <w:rStyle w:val="2Char"/>
          <w:rFonts w:ascii="Times New Roman" w:eastAsia="黑体" w:cs="Times New Roman" w:hAnsi="Times New Roman"/>
          <w:b w:val="0"/>
        </w:rPr>
      </w:pPr>
    </w:p>
    <w:p>
      <w:pPr>
        <w:pStyle w:val="31"/>
        <w:ind w:firstLineChars="0" w:firstLine="0"/>
        <w:jc w:val="center"/>
        <w:rPr>
          <w:rStyle w:val="2Char"/>
          <w:rFonts w:ascii="Times New Roman" w:eastAsia="黑体" w:cs="Times New Roman" w:hAnsi="Times New Roman"/>
          <w:b w:val="0"/>
        </w:rPr>
      </w:pPr>
      <w:r>
        <w:rPr>
          <w:rFonts w:eastAsia="仿宋_GB2312"/>
          <w:color w:val="000000"/>
          <w:sz w:val="32"/>
          <w:szCs w:val="3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254.25pt;height:171.0pt;" o:ole="">
            <v:stroke color="#000000"/>
            <v:imagedata r:id="rId5" o:title="5"/>
            <o:lock aspectratio="t"/>
          </v:shape>
          <o:OLEObject Type="Embed" ProgID="Package" ShapeID="_x0000_i1" DrawAspect="Content" ObjectID="_1393063351" r:id="rId6"/>
        </w:object>
      </w:r>
    </w:p>
    <w:p>
      <w:pPr>
        <w:jc w:val="center"/>
        <w:rPr>
          <w:rFonts w:eastAsia="仿宋"/>
          <w:sz w:val="32"/>
          <w:szCs w:val="32"/>
        </w:rPr>
      </w:pPr>
      <w:r>
        <w:rPr>
          <w:rFonts w:eastAsia="仿宋"/>
          <w:sz w:val="32"/>
          <w:szCs w:val="32"/>
        </w:rPr>
        <w:t>（图1：收、支决算总计变动情况图）（柱状图）</w:t>
      </w:r>
    </w:p>
    <w:p>
      <w:pPr>
        <w:pStyle w:val="31"/>
        <w:ind w:firstLineChars="0" w:firstLine="0"/>
        <w:outlineLvl w:val="1"/>
        <w:rPr>
          <w:rStyle w:val="2Char"/>
          <w:rFonts w:ascii="Times New Roman" w:eastAsia="黑体" w:cs="Times New Roman" w:hAnsi="Times New Roman"/>
          <w:b w:val="0"/>
        </w:rPr>
      </w:pPr>
      <w:r>
        <w:rPr>
          <w:rFonts w:eastAsia="黑体" w:hint="eastAsia"/>
          <w:sz w:val="32"/>
          <w:szCs w:val="32"/>
        </w:rPr>
        <w:t xml:space="preserve">     </w:t>
      </w:r>
      <w:bookmarkStart w:id="52" w:name="_Toc27138"/>
      <w:bookmarkStart w:id="53" w:name="_Toc26728"/>
      <w:bookmarkStart w:id="54" w:name="_Toc29355"/>
      <w:bookmarkStart w:id="55" w:name="_Toc15377206"/>
      <w:bookmarkStart w:id="56" w:name="_Toc15396604"/>
      <w:bookmarkStart w:id="57" w:name="_Toc24000"/>
      <w:r>
        <w:rPr>
          <w:rFonts w:eastAsia="黑体"/>
          <w:sz w:val="32"/>
          <w:szCs w:val="32"/>
        </w:rPr>
        <w:t>二、收</w:t>
      </w:r>
      <w:r>
        <w:rPr>
          <w:rStyle w:val="2Char"/>
          <w:rFonts w:ascii="Times New Roman" w:eastAsia="黑体" w:cs="Times New Roman" w:hAnsi="Times New Roman"/>
          <w:b w:val="0"/>
        </w:rPr>
        <w:t>入决算情况说明</w:t>
      </w:r>
      <w:bookmarkEnd w:id="52"/>
      <w:bookmarkEnd w:id="53"/>
      <w:bookmarkEnd w:id="54"/>
      <w:bookmarkEnd w:id="55"/>
      <w:bookmarkEnd w:id="56"/>
      <w:bookmarkEnd w:id="57"/>
    </w:p>
    <w:p>
      <w:pPr>
        <w:ind w:firstLineChars="200" w:firstLine="640"/>
        <w:rPr>
          <w:rFonts w:eastAsia="仿宋"/>
          <w:sz w:val="32"/>
          <w:szCs w:val="32"/>
        </w:rPr>
      </w:pPr>
      <w:r>
        <w:rPr>
          <w:rFonts w:eastAsia="仿宋"/>
          <w:sz w:val="32"/>
          <w:szCs w:val="32"/>
        </w:rPr>
        <w:t>2021年本年收入合计1159.56万元，其中：一般公共预算财政拨款收入1159.56万元，占100%；政府性基金预算财政拨款收入0万元，占0%；国有资本经营预算财政拨款收入0万元，占0%；上级补助收入0万元，占0%；事业收入0万元，占0%；经营收入0万元，占0%；附属单位上缴收入0万元，占0%；其他收入0万元，占0%。</w:t>
      </w:r>
    </w:p>
    <w:p>
      <w:pPr>
        <w:pStyle w:val="16"/>
        <w:spacing w:beforeLines="0" w:before="30"/>
        <w:ind w:firstLineChars="200" w:firstLine="640"/>
        <w:rPr>
          <w:rFonts w:ascii="Times New Roman" w:hAnsi="Times New Roman"/>
          <w:sz w:val="32"/>
          <w:szCs w:val="32"/>
        </w:rPr>
      </w:pPr>
    </w:p>
    <w:p>
      <w:pPr>
        <w:pStyle w:val="16"/>
        <w:spacing w:beforeLines="0" w:before="30"/>
        <w:jc w:val="center"/>
        <w:rPr>
          <w:rFonts w:ascii="Times New Roman" w:hAnsi="Times New Roman"/>
          <w:sz w:val="32"/>
          <w:szCs w:val="32"/>
        </w:rPr>
      </w:pPr>
      <w:r>
        <w:rPr>
          <w:rFonts w:ascii="Times New Roman" w:hAnsi="Times New Roman"/>
          <w:color w:val="000000"/>
          <w:sz w:val="32"/>
          <w:szCs w:val="32"/>
        </w:rPr>
        <w:object>
          <v:shape id="_x0000_i2" type="#_x0000_t75" filled="f" stroked="f" style="width:300.0pt;height:189.0pt;" o:ole="">
            <v:stroke color="#000000"/>
            <v:imagedata r:id="rId7" o:title="7"/>
            <o:lock aspectratio="t"/>
          </v:shape>
          <o:OLEObject Type="Embed" ProgID="Package" ShapeID="_x0000_i2" DrawAspect="Content" ObjectID="_1393063352" r:id="rId8"/>
        </w:object>
      </w:r>
    </w:p>
    <w:p>
      <w:pPr>
        <w:jc w:val="center"/>
        <w:rPr>
          <w:rFonts w:eastAsia="仿宋_GB2312"/>
          <w:sz w:val="32"/>
          <w:szCs w:val="32"/>
        </w:rPr>
      </w:pPr>
      <w:r>
        <w:rPr>
          <w:rFonts w:eastAsia="仿宋"/>
          <w:sz w:val="32"/>
          <w:szCs w:val="32"/>
        </w:rPr>
        <w:t>（图2：收入决算结构图）</w:t>
      </w:r>
    </w:p>
    <w:p>
      <w:pPr>
        <w:pStyle w:val="31"/>
        <w:outlineLvl w:val="1"/>
        <w:rPr>
          <w:rStyle w:val="2Char"/>
          <w:rFonts w:ascii="Times New Roman" w:eastAsia="黑体" w:cs="Times New Roman" w:hAnsi="Times New Roman"/>
          <w:b w:val="0"/>
        </w:rPr>
      </w:pPr>
      <w:bookmarkStart w:id="58" w:name="_Toc29493"/>
      <w:bookmarkStart w:id="59" w:name="_Toc18833"/>
      <w:bookmarkStart w:id="60" w:name="_Toc12316"/>
      <w:bookmarkStart w:id="61" w:name="_Toc23378"/>
      <w:bookmarkStart w:id="62" w:name="_Toc15377207"/>
      <w:bookmarkStart w:id="63" w:name="_Toc15396605"/>
      <w:r>
        <w:rPr>
          <w:rFonts w:eastAsia="黑体"/>
          <w:sz w:val="32"/>
          <w:szCs w:val="32"/>
        </w:rPr>
        <w:t>三、支</w:t>
      </w:r>
      <w:r>
        <w:rPr>
          <w:rStyle w:val="2Char"/>
          <w:rFonts w:ascii="Times New Roman" w:eastAsia="黑体" w:cs="Times New Roman" w:hAnsi="Times New Roman"/>
          <w:b w:val="0"/>
        </w:rPr>
        <w:t>出决算情况说明</w:t>
      </w:r>
      <w:bookmarkEnd w:id="58"/>
      <w:bookmarkEnd w:id="59"/>
      <w:bookmarkEnd w:id="60"/>
      <w:bookmarkEnd w:id="61"/>
      <w:bookmarkEnd w:id="62"/>
      <w:bookmarkEnd w:id="63"/>
    </w:p>
    <w:p>
      <w:pPr>
        <w:ind w:firstLineChars="200" w:firstLine="640"/>
      </w:pPr>
      <w:r>
        <w:rPr>
          <w:rFonts w:eastAsia="仿宋"/>
          <w:sz w:val="32"/>
          <w:szCs w:val="32"/>
        </w:rPr>
        <w:t>2021年本年支出合计1159.56万元，其中：基本支出892.99万元，占77.01%；项目支出266.57万元，占22.99%；上缴上级支出0万元，占0%；经营支出0万元，占0%；对附属单位补助支出0万元，占0%。</w:t>
      </w:r>
    </w:p>
    <w:p>
      <w:pPr>
        <w:pStyle w:val="16"/>
        <w:spacing w:beforeLines="0" w:before="30"/>
        <w:jc w:val="center"/>
        <w:rPr>
          <w:rFonts w:ascii="Times New Roman" w:hAnsi="Times New Roman"/>
          <w:sz w:val="32"/>
          <w:szCs w:val="32"/>
        </w:rPr>
      </w:pPr>
      <w:r>
        <w:rPr>
          <w:rFonts w:ascii="Times New Roman" w:hAnsi="Times New Roman"/>
          <w:color w:val="000000"/>
          <w:sz w:val="32"/>
          <w:szCs w:val="32"/>
        </w:rPr>
        <w:object>
          <v:shape id="_x0000_i3" type="#_x0000_t75" filled="f" stroked="f" style="width:244.5pt;height:151.5pt;" o:ole="">
            <v:stroke color="#000000"/>
            <v:imagedata r:id="rId9" o:title="9" cropbottom="-53f"/>
            <o:lock aspectratio="t"/>
          </v:shape>
          <o:OLEObject Type="Embed" ProgID="Package" ShapeID="_x0000_i3" DrawAspect="Content" ObjectID="_1393063353" r:id="rId10"/>
        </w:object>
      </w:r>
    </w:p>
    <w:p>
      <w:pPr>
        <w:pStyle w:val="15"/>
        <w:ind w:firstLine="420"/>
      </w:pPr>
      <w:r>
        <w:rPr>
          <w:rFonts w:eastAsia="仿宋"/>
          <w:sz w:val="32"/>
          <w:szCs w:val="32"/>
        </w:rPr>
        <w:t>（图3：支出决算结构图）（饼状图）</w:t>
      </w:r>
    </w:p>
    <w:p>
      <w:pPr>
        <w:outlineLvl w:val="1"/>
        <w:rPr>
          <w:rStyle w:val="2Char"/>
          <w:rFonts w:ascii="Times New Roman" w:eastAsia="黑体" w:cs="Times New Roman" w:hAnsi="Times New Roman"/>
          <w:b w:val="0"/>
        </w:rPr>
      </w:pPr>
      <w:bookmarkStart w:id="64" w:name="_Toc6764"/>
      <w:bookmarkStart w:id="65" w:name="_Toc15396606"/>
      <w:bookmarkStart w:id="66" w:name="_Toc27380"/>
      <w:bookmarkStart w:id="67" w:name="_Toc15377208"/>
      <w:bookmarkStart w:id="68" w:name="_Toc2188"/>
      <w:bookmarkStart w:id="69" w:name="_Toc19913"/>
      <w:r>
        <w:rPr>
          <w:rFonts w:eastAsia="黑体" w:hint="eastAsia"/>
          <w:sz w:val="32"/>
          <w:szCs w:val="32"/>
        </w:rPr>
        <w:t xml:space="preserve">    </w:t>
      </w:r>
      <w:r>
        <w:rPr>
          <w:rFonts w:eastAsia="黑体"/>
          <w:sz w:val="32"/>
          <w:szCs w:val="32"/>
        </w:rPr>
        <w:t>四、财</w:t>
      </w:r>
      <w:r>
        <w:rPr>
          <w:rStyle w:val="2Char"/>
          <w:rFonts w:ascii="Times New Roman" w:eastAsia="黑体" w:cs="Times New Roman" w:hAnsi="Times New Roman"/>
          <w:b w:val="0"/>
        </w:rPr>
        <w:t>政拨款收入支出决算总体情况说明</w:t>
      </w:r>
      <w:bookmarkEnd w:id="64"/>
      <w:bookmarkEnd w:id="65"/>
      <w:bookmarkEnd w:id="66"/>
      <w:bookmarkEnd w:id="67"/>
      <w:bookmarkEnd w:id="68"/>
      <w:bookmarkEnd w:id="69"/>
    </w:p>
    <w:p>
      <w:pPr>
        <w:pStyle w:val="31"/>
        <w:rPr>
          <w:rFonts w:eastAsia="仿宋_GB2312"/>
          <w:color w:val="000000"/>
          <w:sz w:val="32"/>
          <w:szCs w:val="32"/>
        </w:rPr>
      </w:pPr>
      <w:r>
        <w:rPr>
          <w:rFonts w:eastAsia="仿宋_GB2312"/>
          <w:color w:val="000000"/>
          <w:sz w:val="32"/>
          <w:szCs w:val="32"/>
        </w:rPr>
        <w:t>2021年财政拨款收入总计1159.56万元。财政拨款支出总计1159.56万元。与2020年相比，财政拨款收入总计增加145.44万元，上涨6.97%。财政拨款支出总计增加145.44万元，上涨6.97%。主要变动原因是人员的增加，致人员经费</w:t>
      </w:r>
      <w:r>
        <w:rPr>
          <w:rFonts w:eastAsia="仿宋_GB2312" w:hint="eastAsia"/>
          <w:color w:val="000000"/>
          <w:sz w:val="32"/>
          <w:szCs w:val="32"/>
        </w:rPr>
        <w:t>、</w:t>
      </w:r>
      <w:r>
        <w:rPr>
          <w:rFonts w:eastAsia="仿宋_GB2312"/>
          <w:color w:val="000000"/>
          <w:sz w:val="32"/>
          <w:szCs w:val="32"/>
        </w:rPr>
        <w:t>日常公用经费</w:t>
      </w:r>
      <w:r>
        <w:rPr>
          <w:rFonts w:eastAsia="仿宋_GB2312" w:hint="eastAsia"/>
          <w:color w:val="000000"/>
          <w:sz w:val="32"/>
          <w:szCs w:val="32"/>
        </w:rPr>
        <w:t>、</w:t>
      </w:r>
      <w:r>
        <w:rPr>
          <w:rFonts w:eastAsia="仿宋_GB2312"/>
          <w:color w:val="000000"/>
          <w:sz w:val="32"/>
          <w:szCs w:val="32"/>
        </w:rPr>
        <w:t>项目资金</w:t>
      </w:r>
      <w:r>
        <w:rPr>
          <w:rFonts w:eastAsia="仿宋_GB2312" w:hint="eastAsia"/>
          <w:color w:val="000000"/>
          <w:sz w:val="32"/>
          <w:szCs w:val="32"/>
        </w:rPr>
        <w:t>相应</w:t>
      </w:r>
      <w:r>
        <w:rPr>
          <w:rFonts w:eastAsia="仿宋_GB2312"/>
          <w:color w:val="000000"/>
          <w:sz w:val="32"/>
          <w:szCs w:val="32"/>
        </w:rPr>
        <w:t>增加。</w:t>
      </w:r>
    </w:p>
    <w:p>
      <w:pPr>
        <w:pStyle w:val="16"/>
        <w:spacing w:beforeLines="0" w:before="30"/>
        <w:rPr>
          <w:rFonts w:ascii="Times New Roman" w:hAnsi="Times New Roman"/>
          <w:sz w:val="32"/>
          <w:szCs w:val="32"/>
        </w:rPr>
      </w:pPr>
    </w:p>
    <w:p>
      <w:pPr>
        <w:pStyle w:val="16"/>
        <w:spacing w:beforeLines="0" w:before="30"/>
        <w:jc w:val="center"/>
        <w:rPr>
          <w:rFonts w:ascii="Times New Roman" w:hAnsi="Times New Roman"/>
          <w:sz w:val="32"/>
          <w:szCs w:val="32"/>
        </w:rPr>
      </w:pPr>
      <w:r>
        <w:rPr>
          <w:rFonts w:ascii="Times New Roman" w:eastAsia="仿宋" w:hAnsi="Times New Roman"/>
          <w:color w:val="000000"/>
          <w:sz w:val="32"/>
          <w:szCs w:val="32"/>
        </w:rPr>
        <w:object>
          <v:shape id="_x0000_i4" type="#_x0000_t75" filled="f" stroked="f" style="width:245.25pt;height:166.5pt;" o:ole="">
            <v:stroke color="#000000"/>
            <v:imagedata r:id="rId11" o:title="11" cropbottom="-73f"/>
            <o:lock aspectratio="t"/>
          </v:shape>
          <o:OLEObject Type="Embed" ProgID="Package" ShapeID="_x0000_i4" DrawAspect="Content" ObjectID="_1393063354" r:id="rId12"/>
        </w:object>
      </w:r>
    </w:p>
    <w:p>
      <w:pPr>
        <w:ind w:firstLine="640"/>
        <w:jc w:val="center"/>
        <w:rPr>
          <w:rFonts w:eastAsia="仿宋"/>
          <w:b/>
          <w:sz w:val="32"/>
          <w:szCs w:val="32"/>
        </w:rPr>
      </w:pPr>
      <w:r>
        <w:rPr>
          <w:rFonts w:eastAsia="仿宋"/>
          <w:sz w:val="32"/>
          <w:szCs w:val="32"/>
        </w:rPr>
        <w:t>（图4：财政拨款收、支决算总计变动情况）（柱状图</w:t>
      </w:r>
    </w:p>
    <w:p>
      <w:pPr>
        <w:outlineLvl w:val="1"/>
        <w:rPr>
          <w:rStyle w:val="2Char"/>
          <w:rFonts w:ascii="Times New Roman" w:eastAsia="黑体" w:cs="Times New Roman" w:hAnsi="Times New Roman"/>
          <w:b w:val="0"/>
        </w:rPr>
      </w:pPr>
      <w:bookmarkStart w:id="70" w:name="_Toc15377209"/>
      <w:bookmarkStart w:id="71" w:name="_Toc8293"/>
      <w:bookmarkStart w:id="72" w:name="_Toc10451"/>
      <w:bookmarkStart w:id="73" w:name="_Toc8870"/>
      <w:bookmarkStart w:id="74" w:name="_Toc32018"/>
      <w:bookmarkStart w:id="75" w:name="_Toc15396607"/>
      <w:r>
        <w:rPr>
          <w:rFonts w:eastAsia="黑体" w:hint="eastAsia"/>
          <w:sz w:val="32"/>
          <w:szCs w:val="32"/>
        </w:rPr>
        <w:t xml:space="preserve">     </w:t>
      </w:r>
      <w:r>
        <w:rPr>
          <w:rFonts w:eastAsia="黑体"/>
          <w:sz w:val="32"/>
          <w:szCs w:val="32"/>
        </w:rPr>
        <w:t>五、</w:t>
      </w:r>
      <w:r>
        <w:rPr>
          <w:rFonts w:eastAsia="黑体"/>
          <w:b/>
          <w:sz w:val="32"/>
          <w:szCs w:val="32"/>
        </w:rPr>
        <w:t>一</w:t>
      </w:r>
      <w:r>
        <w:rPr>
          <w:rStyle w:val="2Char"/>
          <w:rFonts w:ascii="Times New Roman" w:eastAsia="黑体" w:cs="Times New Roman" w:hAnsi="Times New Roman"/>
          <w:b w:val="0"/>
        </w:rPr>
        <w:t>般公共预算财政拨款支出决算情况说明</w:t>
      </w:r>
      <w:bookmarkEnd w:id="70"/>
      <w:bookmarkEnd w:id="71"/>
      <w:bookmarkEnd w:id="72"/>
      <w:bookmarkEnd w:id="73"/>
      <w:bookmarkEnd w:id="74"/>
      <w:bookmarkEnd w:id="75"/>
      <w:r>
        <w:rPr>
          <w:rStyle w:val="2Char"/>
          <w:rFonts w:ascii="Times New Roman" w:eastAsia="黑体" w:cs="Times New Roman" w:hAnsi="Times New Roman" w:hint="eastAsia"/>
          <w:b w:val="0"/>
        </w:rPr>
        <w:t xml:space="preserve"> </w:t>
      </w:r>
    </w:p>
    <w:p>
      <w:pPr>
        <w:ind w:firstLineChars="200" w:firstLine="640"/>
        <w:outlineLvl w:val="2"/>
        <w:rPr>
          <w:rFonts w:eastAsia="仿宋"/>
          <w:b/>
          <w:sz w:val="32"/>
          <w:szCs w:val="32"/>
        </w:rPr>
      </w:pPr>
      <w:bookmarkStart w:id="76" w:name="_Toc15377210"/>
      <w:r>
        <w:rPr>
          <w:rFonts w:eastAsia="仿宋"/>
          <w:b/>
          <w:sz w:val="32"/>
          <w:szCs w:val="32"/>
        </w:rPr>
        <w:t>（一）一般公共预算财政拨款支出决算总体情况</w:t>
      </w:r>
      <w:bookmarkEnd w:id="76"/>
    </w:p>
    <w:p>
      <w:pPr>
        <w:pStyle w:val="31"/>
        <w:rPr>
          <w:rFonts w:eastAsia="仿宋_GB2312"/>
          <w:color w:val="000000"/>
          <w:sz w:val="32"/>
          <w:szCs w:val="32"/>
        </w:rPr>
      </w:pPr>
      <w:r>
        <w:rPr>
          <w:rFonts w:eastAsia="仿宋"/>
          <w:sz w:val="32"/>
          <w:szCs w:val="32"/>
        </w:rPr>
        <w:t>2021年一般公共预算财政拨款支出1159.56万元，占本年支出合计的100%。与2020年相比，一般公共预算财政拨款支出增加255.44万元，增长22.03%。主要变动原因是</w:t>
      </w:r>
      <w:r>
        <w:rPr>
          <w:rFonts w:eastAsia="仿宋_GB2312"/>
          <w:color w:val="000000"/>
          <w:sz w:val="32"/>
          <w:szCs w:val="32"/>
        </w:rPr>
        <w:t>人员的增加，致人员经费</w:t>
      </w:r>
      <w:r>
        <w:rPr>
          <w:rFonts w:eastAsia="仿宋_GB2312" w:hint="eastAsia"/>
          <w:color w:val="000000"/>
          <w:sz w:val="32"/>
          <w:szCs w:val="32"/>
        </w:rPr>
        <w:t>、</w:t>
      </w:r>
      <w:r>
        <w:rPr>
          <w:rFonts w:eastAsia="仿宋_GB2312"/>
          <w:color w:val="000000"/>
          <w:sz w:val="32"/>
          <w:szCs w:val="32"/>
        </w:rPr>
        <w:t>日常公用经费</w:t>
      </w:r>
      <w:r>
        <w:rPr>
          <w:rFonts w:eastAsia="仿宋_GB2312" w:hint="eastAsia"/>
          <w:color w:val="000000"/>
          <w:sz w:val="32"/>
          <w:szCs w:val="32"/>
        </w:rPr>
        <w:t>、</w:t>
      </w:r>
      <w:r>
        <w:rPr>
          <w:rFonts w:eastAsia="仿宋_GB2312"/>
          <w:color w:val="000000"/>
          <w:sz w:val="32"/>
          <w:szCs w:val="32"/>
        </w:rPr>
        <w:t>项目资金</w:t>
      </w:r>
      <w:r>
        <w:rPr>
          <w:rFonts w:eastAsia="仿宋_GB2312" w:hint="eastAsia"/>
          <w:color w:val="000000"/>
          <w:sz w:val="32"/>
          <w:szCs w:val="32"/>
        </w:rPr>
        <w:t>相应</w:t>
      </w:r>
      <w:r>
        <w:rPr>
          <w:rFonts w:eastAsia="仿宋_GB2312"/>
          <w:color w:val="000000"/>
          <w:sz w:val="32"/>
          <w:szCs w:val="32"/>
        </w:rPr>
        <w:t>增加。</w:t>
      </w:r>
    </w:p>
    <w:p>
      <w:pPr>
        <w:ind w:firstLineChars="200" w:firstLine="640"/>
        <w:rPr>
          <w:rFonts w:eastAsia="仿宋"/>
          <w:sz w:val="32"/>
          <w:szCs w:val="32"/>
        </w:rPr>
      </w:pPr>
    </w:p>
    <w:p>
      <w:pPr>
        <w:pStyle w:val="16"/>
        <w:spacing w:beforeLines="0" w:before="30"/>
        <w:jc w:val="center"/>
        <w:rPr>
          <w:rFonts w:ascii="Times New Roman" w:hAnsi="Times New Roman"/>
          <w:sz w:val="32"/>
          <w:szCs w:val="32"/>
        </w:rPr>
      </w:pPr>
      <w:r>
        <w:rPr>
          <w:rFonts w:ascii="Times New Roman" w:eastAsia="仿宋" w:hAnsi="Times New Roman"/>
          <w:color w:val="000000"/>
          <w:sz w:val="32"/>
          <w:szCs w:val="32"/>
        </w:rPr>
        <w:object>
          <v:shape id="_x0000_i5" type="#_x0000_t75" filled="f" stroked="f" style="width:227.25pt;height:169.5pt;" o:ole="">
            <v:stroke color="#000000"/>
            <v:imagedata r:id="rId13" o:title="13" cropbottom="-34f"/>
            <o:lock aspectratio="t"/>
          </v:shape>
          <o:OLEObject Type="Embed" ProgID="Package" ShapeID="_x0000_i5" DrawAspect="Content" ObjectID="_1393063355" r:id="rId14"/>
        </w:object>
      </w:r>
    </w:p>
    <w:p>
      <w:pPr>
        <w:jc w:val="center"/>
        <w:rPr>
          <w:rFonts w:eastAsia="仿宋"/>
          <w:sz w:val="32"/>
          <w:szCs w:val="32"/>
        </w:rPr>
      </w:pPr>
      <w:r>
        <w:rPr>
          <w:rFonts w:eastAsia="仿宋"/>
          <w:sz w:val="32"/>
          <w:szCs w:val="32"/>
        </w:rPr>
        <w:t>（图5：一般公共预算财政拨款支出决算变动情况）（柱状图）</w:t>
      </w:r>
    </w:p>
    <w:p>
      <w:pPr>
        <w:outlineLvl w:val="2"/>
        <w:rPr>
          <w:rFonts w:eastAsia="仿宋"/>
          <w:b/>
          <w:sz w:val="32"/>
          <w:szCs w:val="32"/>
        </w:rPr>
      </w:pPr>
      <w:r>
        <w:rPr>
          <w:rFonts w:eastAsia="仿宋" w:hint="eastAsia"/>
          <w:b/>
          <w:sz w:val="32"/>
          <w:szCs w:val="32"/>
        </w:rPr>
        <w:t xml:space="preserve">   </w:t>
      </w:r>
      <w:bookmarkStart w:id="77" w:name="_Toc15377211"/>
      <w:r>
        <w:rPr>
          <w:rFonts w:eastAsia="仿宋"/>
          <w:b/>
          <w:sz w:val="32"/>
          <w:szCs w:val="32"/>
        </w:rPr>
        <w:t>（二）一般公共预算财政拨款支出决算结构情况</w:t>
      </w:r>
      <w:bookmarkEnd w:id="77"/>
    </w:p>
    <w:p>
      <w:pPr>
        <w:ind w:firstLineChars="200" w:firstLine="640"/>
        <w:rPr>
          <w:rFonts w:eastAsia="仿宋"/>
          <w:b/>
          <w:sz w:val="32"/>
          <w:szCs w:val="32"/>
        </w:rPr>
      </w:pPr>
      <w:r>
        <w:rPr>
          <w:rFonts w:eastAsia="仿宋"/>
          <w:sz w:val="32"/>
          <w:szCs w:val="32"/>
        </w:rPr>
        <w:t>2021年一般公共预算财政拨款支出1159.56万元，主要用于以下方面:</w:t>
      </w:r>
      <w:r>
        <w:rPr>
          <w:rFonts w:eastAsia="仿宋"/>
          <w:b/>
          <w:sz w:val="32"/>
          <w:szCs w:val="32"/>
        </w:rPr>
        <w:t>一般公共服务（类）</w:t>
      </w:r>
      <w:r>
        <w:rPr>
          <w:rFonts w:eastAsia="仿宋"/>
          <w:sz w:val="32"/>
          <w:szCs w:val="32"/>
        </w:rPr>
        <w:t>支出1.20万元，占0.10%；</w:t>
      </w:r>
      <w:r>
        <w:rPr>
          <w:rFonts w:eastAsia="仿宋"/>
          <w:b/>
          <w:sz w:val="32"/>
          <w:szCs w:val="32"/>
        </w:rPr>
        <w:t>教育支出（类）</w:t>
      </w:r>
      <w:r>
        <w:rPr>
          <w:rFonts w:eastAsia="仿宋"/>
          <w:sz w:val="32"/>
          <w:szCs w:val="32"/>
        </w:rPr>
        <w:t>0万元，占0%；</w:t>
      </w:r>
      <w:r>
        <w:rPr>
          <w:rFonts w:eastAsia="仿宋"/>
          <w:b/>
          <w:sz w:val="32"/>
          <w:szCs w:val="32"/>
        </w:rPr>
        <w:t>科学技术（类）</w:t>
      </w:r>
      <w:r>
        <w:rPr>
          <w:rFonts w:eastAsia="仿宋"/>
          <w:sz w:val="32"/>
          <w:szCs w:val="32"/>
        </w:rPr>
        <w:t>支出0万元，占0%；</w:t>
      </w:r>
      <w:r>
        <w:rPr>
          <w:rFonts w:eastAsia="仿宋"/>
          <w:b/>
          <w:bCs/>
          <w:sz w:val="32"/>
          <w:szCs w:val="32"/>
        </w:rPr>
        <w:t>文化旅游体育与传媒（类）支出0万元，占0%</w:t>
      </w:r>
      <w:r>
        <w:rPr>
          <w:rFonts w:eastAsia="仿宋"/>
          <w:sz w:val="32"/>
          <w:szCs w:val="32"/>
        </w:rPr>
        <w:t>；</w:t>
      </w:r>
      <w:r>
        <w:rPr>
          <w:rFonts w:eastAsia="仿宋"/>
          <w:b/>
          <w:sz w:val="32"/>
          <w:szCs w:val="32"/>
        </w:rPr>
        <w:t>社会保障和就业（类）</w:t>
      </w:r>
      <w:r>
        <w:rPr>
          <w:rFonts w:eastAsia="仿宋"/>
          <w:sz w:val="32"/>
          <w:szCs w:val="32"/>
        </w:rPr>
        <w:t>支出111.25万元，占9.59%；</w:t>
      </w:r>
      <w:r>
        <w:rPr>
          <w:rFonts w:eastAsia="仿宋"/>
          <w:b/>
          <w:bCs/>
          <w:sz w:val="32"/>
          <w:szCs w:val="32"/>
        </w:rPr>
        <w:t>卫生健康支出</w:t>
      </w:r>
      <w:r>
        <w:rPr>
          <w:rFonts w:eastAsia="仿宋"/>
          <w:sz w:val="32"/>
          <w:szCs w:val="32"/>
        </w:rPr>
        <w:t>985.52万元，占84.99%；住房保障支出61.58万元，占5.31%。</w:t>
      </w:r>
    </w:p>
    <w:p>
      <w:pPr>
        <w:pStyle w:val="16"/>
        <w:spacing w:beforeLines="0" w:before="93"/>
        <w:rPr>
          <w:rFonts w:ascii="Times New Roman" w:hAnsi="Times New Roman"/>
        </w:rPr>
      </w:pPr>
    </w:p>
    <w:p>
      <w:pPr>
        <w:pStyle w:val="16"/>
        <w:spacing w:beforeLines="0" w:before="30"/>
        <w:jc w:val="center"/>
        <w:rPr>
          <w:rFonts w:ascii="Times New Roman" w:hAnsi="Times New Roman"/>
          <w:sz w:val="32"/>
          <w:szCs w:val="32"/>
        </w:rPr>
      </w:pPr>
      <w:r>
        <w:rPr>
          <w:rFonts w:ascii="Times New Roman" w:eastAsia="仿宋" w:hAnsi="Times New Roman"/>
          <w:color w:val="000000"/>
          <w:sz w:val="32"/>
          <w:szCs w:val="32"/>
        </w:rPr>
        <w:object>
          <v:shape id="_x0000_i6" type="#_x0000_t75" filled="f" stroked="f" style="width:249.75pt;height:157.5pt;" o:ole="">
            <v:stroke color="#000000"/>
            <v:imagedata r:id="rId15" o:title="15" cropbottom="-13f"/>
            <o:lock aspectratio="t"/>
          </v:shape>
          <o:OLEObject Type="Embed" ProgID="Package" ShapeID="_x0000_i6" DrawAspect="Content" ObjectID="_1393063356" r:id="rId16"/>
        </w:object>
      </w:r>
    </w:p>
    <w:p>
      <w:pPr>
        <w:jc w:val="center"/>
        <w:rPr>
          <w:rFonts w:eastAsia="仿宋"/>
          <w:sz w:val="32"/>
          <w:szCs w:val="32"/>
        </w:rPr>
      </w:pPr>
      <w:r>
        <w:rPr>
          <w:rFonts w:eastAsia="仿宋"/>
          <w:sz w:val="32"/>
          <w:szCs w:val="32"/>
        </w:rPr>
        <w:t>（图6：一般公共预算财政拨款支出决算结构）（饼状图）</w:t>
      </w:r>
    </w:p>
    <w:p>
      <w:pPr>
        <w:outlineLvl w:val="2"/>
        <w:rPr>
          <w:rFonts w:eastAsia="仿宋"/>
          <w:b/>
          <w:sz w:val="32"/>
          <w:szCs w:val="32"/>
        </w:rPr>
      </w:pPr>
      <w:r>
        <w:rPr>
          <w:rFonts w:eastAsia="仿宋" w:hint="eastAsia"/>
          <w:b/>
          <w:sz w:val="32"/>
          <w:szCs w:val="32"/>
        </w:rPr>
        <w:t xml:space="preserve">   </w:t>
      </w:r>
      <w:bookmarkStart w:id="78" w:name="_Toc15377212"/>
      <w:r>
        <w:rPr>
          <w:rFonts w:eastAsia="仿宋"/>
          <w:b/>
          <w:sz w:val="32"/>
          <w:szCs w:val="32"/>
        </w:rPr>
        <w:t>（三）一般公共预算财政拨款支出决算具体情况</w:t>
      </w:r>
      <w:bookmarkEnd w:id="78"/>
    </w:p>
    <w:p>
      <w:pPr>
        <w:ind w:firstLineChars="200" w:firstLine="640"/>
        <w:rPr>
          <w:rFonts w:eastAsia="仿宋"/>
          <w:sz w:val="32"/>
          <w:szCs w:val="32"/>
        </w:rPr>
      </w:pPr>
      <w:bookmarkStart w:id="79" w:name="_Toc15377444"/>
      <w:bookmarkStart w:id="80" w:name="_Toc21030"/>
      <w:bookmarkStart w:id="81" w:name="_Toc29676"/>
      <w:bookmarkStart w:id="82" w:name="_Toc15377213"/>
      <w:bookmarkStart w:id="83" w:name="_Toc15378460"/>
      <w:r>
        <w:rPr>
          <w:rFonts w:eastAsia="仿宋"/>
          <w:b/>
          <w:sz w:val="32"/>
          <w:szCs w:val="32"/>
        </w:rPr>
        <w:t>2021年一般公共预算支出决算数为1159.56万元</w:t>
      </w:r>
      <w:r>
        <w:rPr>
          <w:rFonts w:eastAsia="仿宋"/>
          <w:sz w:val="32"/>
          <w:szCs w:val="32"/>
        </w:rPr>
        <w:t>，</w:t>
      </w:r>
      <w:r>
        <w:rPr>
          <w:rStyle w:val="25"/>
          <w:rFonts w:eastAsia="仿宋"/>
          <w:bCs/>
          <w:sz w:val="32"/>
          <w:szCs w:val="32"/>
        </w:rPr>
        <w:t>完成预算100%。其中：</w:t>
      </w:r>
      <w:bookmarkEnd w:id="79"/>
      <w:bookmarkEnd w:id="80"/>
      <w:bookmarkEnd w:id="81"/>
      <w:bookmarkEnd w:id="82"/>
      <w:bookmarkEnd w:id="83"/>
    </w:p>
    <w:p>
      <w:pPr>
        <w:ind w:firstLineChars="200" w:firstLine="640"/>
        <w:rPr>
          <w:rFonts w:eastAsia="仿宋"/>
          <w:b/>
          <w:sz w:val="32"/>
          <w:szCs w:val="32"/>
        </w:rPr>
      </w:pPr>
      <w:r>
        <w:rPr>
          <w:rStyle w:val="25"/>
          <w:rFonts w:eastAsia="仿宋"/>
          <w:bCs/>
          <w:sz w:val="32"/>
          <w:szCs w:val="32"/>
        </w:rPr>
        <w:t>1.一般公共服务（类）</w:t>
      </w:r>
      <w:r>
        <w:rPr>
          <w:rStyle w:val="25"/>
          <w:rFonts w:eastAsia="仿宋_GB2312"/>
          <w:bCs/>
          <w:color w:val="000000"/>
          <w:sz w:val="32"/>
          <w:szCs w:val="32"/>
        </w:rPr>
        <w:t>组织事务</w:t>
      </w:r>
      <w:r>
        <w:rPr>
          <w:rStyle w:val="25"/>
          <w:rFonts w:eastAsia="仿宋"/>
          <w:bCs/>
          <w:sz w:val="32"/>
          <w:szCs w:val="32"/>
        </w:rPr>
        <w:t>（款）其他组织事务支出（项）:</w:t>
      </w:r>
      <w:r>
        <w:rPr>
          <w:rStyle w:val="25"/>
          <w:rFonts w:eastAsia="仿宋"/>
          <w:b w:val="0"/>
          <w:bCs/>
          <w:sz w:val="32"/>
          <w:szCs w:val="32"/>
        </w:rPr>
        <w:t>支出决算为1.20万元，完成预算100%，决算数等于预算数。</w:t>
      </w:r>
    </w:p>
    <w:p>
      <w:pPr>
        <w:ind w:firstLineChars="200" w:firstLine="640"/>
        <w:rPr>
          <w:rStyle w:val="25"/>
          <w:rFonts w:eastAsia="仿宋"/>
          <w:b w:val="0"/>
          <w:bCs/>
          <w:sz w:val="32"/>
          <w:szCs w:val="32"/>
        </w:rPr>
      </w:pPr>
      <w:r>
        <w:rPr>
          <w:rStyle w:val="25"/>
          <w:rFonts w:eastAsia="仿宋" w:hint="eastAsia"/>
          <w:bCs/>
          <w:sz w:val="32"/>
          <w:szCs w:val="32"/>
        </w:rPr>
        <w:t>2</w:t>
      </w:r>
      <w:r>
        <w:rPr>
          <w:rStyle w:val="25"/>
          <w:rFonts w:eastAsia="仿宋"/>
          <w:bCs/>
          <w:sz w:val="32"/>
          <w:szCs w:val="32"/>
        </w:rPr>
        <w:t>.社会保障和就业（类）人力资源和社会保障管理事务（款）其他人力资源和社会保障管理事务支出（项）:</w:t>
      </w:r>
      <w:r>
        <w:rPr>
          <w:rStyle w:val="25"/>
          <w:rFonts w:eastAsia="仿宋"/>
          <w:b w:val="0"/>
          <w:bCs/>
          <w:sz w:val="32"/>
          <w:szCs w:val="32"/>
        </w:rPr>
        <w:t>支出决算为10.26万元，完成预算100%，决算数等于预算数。</w:t>
      </w:r>
    </w:p>
    <w:p>
      <w:pPr>
        <w:ind w:firstLineChars="200" w:firstLine="640"/>
        <w:rPr>
          <w:rStyle w:val="25"/>
          <w:b w:val="0"/>
          <w:color w:val="000000"/>
          <w:kern w:val="0"/>
          <w:sz w:val="32"/>
          <w:szCs w:val="32"/>
        </w:rPr>
      </w:pPr>
      <w:r>
        <w:rPr>
          <w:rStyle w:val="25"/>
          <w:rFonts w:eastAsia="仿宋" w:hint="eastAsia"/>
          <w:bCs/>
          <w:sz w:val="32"/>
          <w:szCs w:val="32"/>
        </w:rPr>
        <w:t>3</w:t>
      </w:r>
      <w:r>
        <w:rPr>
          <w:rStyle w:val="25"/>
          <w:rFonts w:eastAsia="仿宋"/>
          <w:bCs/>
          <w:sz w:val="32"/>
          <w:szCs w:val="32"/>
        </w:rPr>
        <w:t>.社会保障和就业（类）行政事业单位养老支出（款）行政单位离退休（项）:</w:t>
      </w:r>
      <w:r>
        <w:rPr>
          <w:rStyle w:val="25"/>
          <w:rFonts w:eastAsia="仿宋"/>
          <w:b w:val="0"/>
          <w:bCs/>
          <w:sz w:val="32"/>
          <w:szCs w:val="32"/>
        </w:rPr>
        <w:t>支出决算为43.62万元，完成预算100%，决算数等于预算数。</w:t>
      </w:r>
    </w:p>
    <w:p>
      <w:pPr>
        <w:ind w:firstLineChars="200" w:firstLine="640"/>
        <w:rPr>
          <w:rStyle w:val="25"/>
          <w:b w:val="0"/>
          <w:color w:val="000000"/>
          <w:kern w:val="0"/>
          <w:sz w:val="32"/>
          <w:szCs w:val="32"/>
        </w:rPr>
      </w:pPr>
      <w:r>
        <w:rPr>
          <w:rStyle w:val="25"/>
          <w:rFonts w:eastAsia="仿宋" w:hint="eastAsia"/>
          <w:bCs/>
          <w:sz w:val="32"/>
          <w:szCs w:val="32"/>
        </w:rPr>
        <w:t>4</w:t>
      </w:r>
      <w:r>
        <w:rPr>
          <w:rStyle w:val="25"/>
          <w:rFonts w:eastAsia="仿宋"/>
          <w:bCs/>
          <w:sz w:val="32"/>
          <w:szCs w:val="32"/>
        </w:rPr>
        <w:t>.社会保障和就业（类）行政事业单位养老支出（款）  机关事业单位基本养老保险缴费支出（项）:</w:t>
      </w:r>
      <w:r>
        <w:rPr>
          <w:rStyle w:val="25"/>
          <w:rFonts w:eastAsia="仿宋"/>
          <w:b w:val="0"/>
          <w:bCs/>
          <w:sz w:val="32"/>
          <w:szCs w:val="32"/>
        </w:rPr>
        <w:t>支出决算为57.37万元，完成预算100%，决算数等于预算数。</w:t>
      </w:r>
    </w:p>
    <w:p>
      <w:pPr>
        <w:ind w:firstLineChars="200" w:firstLine="640"/>
        <w:rPr>
          <w:rStyle w:val="25"/>
          <w:rFonts w:eastAsia="仿宋"/>
          <w:b w:val="0"/>
          <w:bCs/>
          <w:sz w:val="32"/>
          <w:szCs w:val="32"/>
        </w:rPr>
      </w:pPr>
      <w:r>
        <w:rPr>
          <w:rFonts w:eastAsia="仿宋" w:hint="eastAsia"/>
          <w:b/>
          <w:bCs/>
          <w:sz w:val="32"/>
          <w:szCs w:val="32"/>
        </w:rPr>
        <w:t>5</w:t>
      </w:r>
      <w:r>
        <w:rPr>
          <w:rFonts w:eastAsia="仿宋"/>
          <w:b/>
          <w:bCs/>
          <w:sz w:val="32"/>
          <w:szCs w:val="32"/>
        </w:rPr>
        <w:t>.卫生健康</w:t>
      </w:r>
      <w:r>
        <w:rPr>
          <w:rStyle w:val="25"/>
          <w:rFonts w:eastAsia="仿宋"/>
          <w:bCs/>
          <w:sz w:val="32"/>
          <w:szCs w:val="32"/>
        </w:rPr>
        <w:t>（类）医疗保障管理事务（款）行政运行（项）:</w:t>
      </w:r>
      <w:r>
        <w:rPr>
          <w:rStyle w:val="25"/>
          <w:rFonts w:eastAsia="仿宋"/>
          <w:b w:val="0"/>
          <w:bCs/>
          <w:sz w:val="32"/>
          <w:szCs w:val="32"/>
        </w:rPr>
        <w:t>支出决算为730.41万元，完成预算100%，决算数等于预算数。</w:t>
      </w:r>
    </w:p>
    <w:p>
      <w:pPr>
        <w:ind w:firstLineChars="200" w:firstLine="640"/>
        <w:rPr>
          <w:rStyle w:val="25"/>
          <w:rFonts w:eastAsia="仿宋"/>
          <w:b w:val="0"/>
          <w:bCs/>
          <w:sz w:val="32"/>
          <w:szCs w:val="32"/>
        </w:rPr>
      </w:pPr>
      <w:r>
        <w:rPr>
          <w:rFonts w:eastAsia="仿宋_GB2312" w:hint="eastAsia"/>
          <w:b/>
          <w:sz w:val="32"/>
          <w:szCs w:val="32"/>
        </w:rPr>
        <w:t>6</w:t>
      </w:r>
      <w:r>
        <w:rPr>
          <w:rFonts w:eastAsia="仿宋_GB2312"/>
          <w:b/>
          <w:sz w:val="32"/>
          <w:szCs w:val="32"/>
        </w:rPr>
        <w:t>.</w:t>
      </w:r>
      <w:r>
        <w:rPr>
          <w:rFonts w:eastAsia="仿宋"/>
          <w:b/>
          <w:bCs/>
          <w:sz w:val="32"/>
          <w:szCs w:val="32"/>
        </w:rPr>
        <w:t>卫生健康</w:t>
      </w:r>
      <w:r>
        <w:rPr>
          <w:rStyle w:val="25"/>
          <w:rFonts w:eastAsia="仿宋"/>
          <w:bCs/>
          <w:sz w:val="32"/>
          <w:szCs w:val="32"/>
        </w:rPr>
        <w:t>（类）医疗保障管理事务（款）医疗保障经办事务（项）:</w:t>
      </w:r>
      <w:r>
        <w:rPr>
          <w:rStyle w:val="25"/>
          <w:rFonts w:eastAsia="仿宋"/>
          <w:b w:val="0"/>
          <w:bCs/>
          <w:sz w:val="32"/>
          <w:szCs w:val="32"/>
        </w:rPr>
        <w:t>支出决算为40万元，完成预算100%，决算数等于预算数。</w:t>
      </w:r>
    </w:p>
    <w:p>
      <w:pPr>
        <w:ind w:firstLineChars="200" w:firstLine="640"/>
        <w:rPr>
          <w:rStyle w:val="25"/>
          <w:rFonts w:eastAsia="仿宋"/>
          <w:b w:val="0"/>
          <w:bCs/>
          <w:sz w:val="32"/>
          <w:szCs w:val="32"/>
        </w:rPr>
      </w:pPr>
      <w:r>
        <w:rPr>
          <w:rFonts w:eastAsia="仿宋_GB2312" w:hint="eastAsia"/>
          <w:b/>
          <w:sz w:val="32"/>
          <w:szCs w:val="32"/>
        </w:rPr>
        <w:t>7</w:t>
      </w:r>
      <w:r>
        <w:rPr>
          <w:rFonts w:eastAsia="仿宋_GB2312"/>
          <w:b/>
          <w:sz w:val="32"/>
          <w:szCs w:val="32"/>
        </w:rPr>
        <w:t>.</w:t>
      </w:r>
      <w:r>
        <w:rPr>
          <w:rFonts w:eastAsia="仿宋"/>
          <w:b/>
          <w:bCs/>
          <w:sz w:val="32"/>
          <w:szCs w:val="32"/>
        </w:rPr>
        <w:t>卫生健康</w:t>
      </w:r>
      <w:r>
        <w:rPr>
          <w:rStyle w:val="25"/>
          <w:rFonts w:eastAsia="仿宋"/>
          <w:bCs/>
          <w:sz w:val="32"/>
          <w:szCs w:val="32"/>
        </w:rPr>
        <w:t>（类）医疗保障管理事务（款）其他医疗保障管理事务支出（项）:</w:t>
      </w:r>
      <w:r>
        <w:rPr>
          <w:rStyle w:val="25"/>
          <w:rFonts w:eastAsia="仿宋"/>
          <w:b w:val="0"/>
          <w:bCs/>
          <w:sz w:val="32"/>
          <w:szCs w:val="32"/>
        </w:rPr>
        <w:t>支出决算为215.11万元，完成预算100%，决算数等于预算数。</w:t>
      </w:r>
    </w:p>
    <w:p>
      <w:pPr>
        <w:ind w:firstLineChars="200" w:firstLine="640"/>
        <w:rPr>
          <w:rFonts w:eastAsia="仿宋_GB2312"/>
          <w:b/>
          <w:bCs/>
          <w:color w:val="000000"/>
          <w:sz w:val="32"/>
          <w:szCs w:val="32"/>
        </w:rPr>
      </w:pPr>
      <w:r>
        <w:rPr>
          <w:rFonts w:eastAsia="仿宋_GB2312" w:hint="eastAsia"/>
          <w:b/>
          <w:sz w:val="32"/>
          <w:szCs w:val="32"/>
        </w:rPr>
        <w:t>8</w:t>
      </w:r>
      <w:r>
        <w:rPr>
          <w:rFonts w:eastAsia="仿宋_GB2312"/>
          <w:b/>
          <w:sz w:val="32"/>
          <w:szCs w:val="32"/>
        </w:rPr>
        <w:t>.</w:t>
      </w:r>
      <w:r>
        <w:rPr>
          <w:rFonts w:eastAsia="仿宋_GB2312"/>
          <w:b/>
          <w:bCs/>
          <w:color w:val="000000"/>
          <w:sz w:val="32"/>
          <w:szCs w:val="32"/>
        </w:rPr>
        <w:t>住房保障支出</w:t>
      </w:r>
      <w:r>
        <w:rPr>
          <w:rStyle w:val="25"/>
          <w:rFonts w:eastAsia="仿宋_GB2312"/>
          <w:bCs/>
          <w:color w:val="000000"/>
          <w:sz w:val="32"/>
          <w:szCs w:val="32"/>
        </w:rPr>
        <w:t>（类）住房改革支出（款）住房公积金（项）:</w:t>
      </w:r>
      <w:r>
        <w:rPr>
          <w:rStyle w:val="25"/>
          <w:rFonts w:eastAsia="仿宋_GB2312"/>
          <w:b w:val="0"/>
          <w:bCs/>
          <w:color w:val="000000"/>
          <w:sz w:val="32"/>
          <w:szCs w:val="32"/>
        </w:rPr>
        <w:t>支出决算为61.58万元，完成预算100%。</w:t>
      </w:r>
      <w:r>
        <w:rPr>
          <w:rStyle w:val="25"/>
          <w:rFonts w:eastAsia="仿宋"/>
          <w:b w:val="0"/>
          <w:bCs/>
          <w:sz w:val="32"/>
          <w:szCs w:val="32"/>
        </w:rPr>
        <w:t>决算数等于预算数。</w:t>
      </w:r>
    </w:p>
    <w:p>
      <w:pPr>
        <w:tabs>
          <w:tab w:val="right" w:pos="8306"/>
        </w:tabs>
        <w:ind w:firstLineChars="200" w:firstLine="640"/>
        <w:outlineLvl w:val="1"/>
        <w:rPr>
          <w:rStyle w:val="2Char"/>
          <w:rFonts w:ascii="Times New Roman" w:cs="Times New Roman" w:hAnsi="Times New Roman"/>
        </w:rPr>
      </w:pPr>
      <w:bookmarkStart w:id="84" w:name="_Toc23149"/>
      <w:bookmarkStart w:id="85" w:name="_Toc15377214"/>
      <w:bookmarkStart w:id="86" w:name="_Toc21008"/>
      <w:bookmarkStart w:id="87" w:name="_Toc15396608"/>
      <w:bookmarkStart w:id="88" w:name="_Toc3526"/>
      <w:bookmarkStart w:id="89" w:name="_Toc10236"/>
      <w:r>
        <w:rPr>
          <w:rFonts w:eastAsia="黑体"/>
          <w:sz w:val="32"/>
          <w:szCs w:val="32"/>
        </w:rPr>
        <w:t>六</w:t>
      </w:r>
      <w:r>
        <w:rPr>
          <w:rFonts w:eastAsia="黑体"/>
          <w:b/>
          <w:sz w:val="32"/>
          <w:szCs w:val="32"/>
        </w:rPr>
        <w:t>、一</w:t>
      </w:r>
      <w:r>
        <w:rPr>
          <w:rStyle w:val="2Char"/>
          <w:rFonts w:ascii="Times New Roman" w:eastAsia="黑体" w:cs="Times New Roman" w:hAnsi="Times New Roman"/>
          <w:b w:val="0"/>
        </w:rPr>
        <w:t>般公共预算财政拨款基本支出决算情况说明</w:t>
      </w:r>
      <w:bookmarkEnd w:id="84"/>
      <w:bookmarkEnd w:id="85"/>
      <w:bookmarkEnd w:id="86"/>
      <w:bookmarkEnd w:id="87"/>
      <w:bookmarkEnd w:id="88"/>
      <w:bookmarkEnd w:id="89"/>
      <w:r>
        <w:rPr>
          <w:rStyle w:val="2Char"/>
          <w:rFonts w:ascii="Times New Roman" w:eastAsia="黑体" w:cs="Times New Roman" w:hAnsi="Times New Roman"/>
          <w:b w:val="0"/>
        </w:rPr>
        <w:tab/>
      </w:r>
    </w:p>
    <w:p>
      <w:pPr>
        <w:ind w:firstLineChars="200" w:firstLine="640"/>
        <w:rPr>
          <w:rFonts w:eastAsia="仿宋_GB2312"/>
          <w:sz w:val="32"/>
          <w:szCs w:val="32"/>
        </w:rPr>
      </w:pPr>
      <w:r>
        <w:rPr>
          <w:rFonts w:eastAsia="仿宋_GB2312"/>
          <w:sz w:val="32"/>
          <w:szCs w:val="32"/>
        </w:rPr>
        <w:t>2021年一般公共预算财政拨款基本支出892.99万元，其中：人员经费788.26万元，主要包括：基本工资、津贴补贴、奖金、机关事业单位基本养老保险缴费、</w:t>
      </w:r>
      <w:r>
        <w:rPr>
          <w:rFonts w:eastAsia="仿宋_GB2312"/>
          <w:color w:val="000000"/>
          <w:kern w:val="0"/>
          <w:sz w:val="32"/>
          <w:szCs w:val="32"/>
        </w:rPr>
        <w:t>职工基本医疗保险缴费、公务员医疗补助缴费</w:t>
      </w:r>
      <w:r>
        <w:rPr>
          <w:rFonts w:eastAsia="仿宋_GB2312"/>
          <w:sz w:val="32"/>
          <w:szCs w:val="32"/>
        </w:rPr>
        <w:t>、住房公积金、其他工资福利支出、生活补助、医疗费补助。</w:t>
      </w:r>
    </w:p>
    <w:p>
      <w:pPr>
        <w:ind w:firstLineChars="200" w:firstLine="640"/>
        <w:rPr>
          <w:rFonts w:eastAsia="仿宋"/>
          <w:b/>
          <w:sz w:val="32"/>
          <w:szCs w:val="32"/>
        </w:rPr>
      </w:pPr>
      <w:r>
        <w:rPr>
          <w:rFonts w:eastAsia="仿宋"/>
          <w:sz w:val="32"/>
          <w:szCs w:val="32"/>
        </w:rPr>
        <w:t>公用经费104.73万元，主要包括：办公费、水费、电费、邮电费、差旅费、公务接待费、工会经费、福利费、其他交通费、其他商品和服务支出。</w:t>
      </w:r>
    </w:p>
    <w:p>
      <w:pPr>
        <w:ind w:firstLineChars="200" w:firstLine="640"/>
        <w:outlineLvl w:val="1"/>
        <w:rPr>
          <w:rStyle w:val="2Char"/>
          <w:rFonts w:ascii="Times New Roman" w:eastAsia="黑体" w:cs="Times New Roman" w:hAnsi="Times New Roman"/>
          <w:b w:val="0"/>
        </w:rPr>
      </w:pPr>
      <w:bookmarkStart w:id="90" w:name="_Toc15377215"/>
      <w:bookmarkStart w:id="91" w:name="_Toc15396609"/>
      <w:bookmarkStart w:id="92" w:name="_Toc3495"/>
      <w:bookmarkStart w:id="93" w:name="_Toc12870"/>
      <w:bookmarkStart w:id="94" w:name="_Toc13643"/>
      <w:bookmarkStart w:id="95" w:name="_Toc24485"/>
      <w:r>
        <w:rPr>
          <w:rFonts w:eastAsia="黑体"/>
          <w:sz w:val="32"/>
          <w:szCs w:val="32"/>
        </w:rPr>
        <w:t>七、</w:t>
      </w:r>
      <w:r>
        <w:rPr>
          <w:rStyle w:val="2Char"/>
          <w:rFonts w:ascii="Times New Roman" w:eastAsia="黑体" w:cs="Times New Roman" w:hAnsi="Times New Roman"/>
        </w:rPr>
        <w:t>“</w:t>
      </w:r>
      <w:r>
        <w:rPr>
          <w:rStyle w:val="2Char"/>
          <w:rFonts w:ascii="Times New Roman" w:eastAsia="黑体" w:cs="Times New Roman" w:hAnsi="Times New Roman"/>
          <w:b w:val="0"/>
        </w:rPr>
        <w:t>三公”经费财政拨款支出决算情况说明</w:t>
      </w:r>
      <w:bookmarkEnd w:id="90"/>
      <w:bookmarkEnd w:id="91"/>
      <w:bookmarkEnd w:id="92"/>
      <w:bookmarkEnd w:id="93"/>
      <w:bookmarkEnd w:id="94"/>
      <w:bookmarkEnd w:id="95"/>
    </w:p>
    <w:p>
      <w:pPr>
        <w:ind w:firstLineChars="200" w:firstLine="640"/>
        <w:outlineLvl w:val="2"/>
        <w:rPr>
          <w:rFonts w:eastAsia="仿宋"/>
          <w:b/>
          <w:sz w:val="32"/>
          <w:szCs w:val="32"/>
        </w:rPr>
      </w:pPr>
      <w:bookmarkStart w:id="96" w:name="_Toc15377216"/>
      <w:r>
        <w:rPr>
          <w:rFonts w:eastAsia="仿宋"/>
          <w:b/>
          <w:sz w:val="32"/>
          <w:szCs w:val="32"/>
        </w:rPr>
        <w:t>（一）“三公”经费财政拨款支出决算总体情况说明</w:t>
      </w:r>
      <w:bookmarkEnd w:id="96"/>
    </w:p>
    <w:p>
      <w:pPr>
        <w:ind w:firstLineChars="200" w:firstLine="640"/>
        <w:rPr>
          <w:rFonts w:eastAsia="仿宋_GB2312"/>
          <w:color w:val="333333"/>
          <w:sz w:val="32"/>
          <w:szCs w:val="32"/>
        </w:rPr>
      </w:pPr>
      <w:r>
        <w:rPr>
          <w:rFonts w:eastAsia="仿宋"/>
          <w:sz w:val="32"/>
          <w:szCs w:val="32"/>
        </w:rPr>
        <w:t>2021年“三公”经费财政拨款支出决算为1.04万元，完成预算100%，决算数与预算数持平。主要原因是</w:t>
      </w:r>
      <w:r>
        <w:rPr>
          <w:rFonts w:eastAsia="仿宋_GB2312"/>
          <w:color w:val="000000"/>
          <w:sz w:val="32"/>
          <w:szCs w:val="32"/>
        </w:rPr>
        <w:t>我中心认真贯彻落实中央八项规定和省市十项规定，控制公务接待次数，严把接待支付关，降低行政运行成本。</w:t>
      </w:r>
    </w:p>
    <w:p>
      <w:pPr>
        <w:ind w:firstLineChars="200" w:firstLine="640"/>
        <w:outlineLvl w:val="2"/>
        <w:rPr>
          <w:rFonts w:eastAsia="仿宋"/>
          <w:b/>
          <w:sz w:val="32"/>
          <w:szCs w:val="32"/>
        </w:rPr>
      </w:pPr>
      <w:bookmarkStart w:id="97" w:name="_Toc15377217"/>
      <w:r>
        <w:rPr>
          <w:rFonts w:eastAsia="仿宋"/>
          <w:b/>
          <w:sz w:val="32"/>
          <w:szCs w:val="32"/>
        </w:rPr>
        <w:t>（二）“三公”经费财政拨款支出决算具体情况说明</w:t>
      </w:r>
      <w:bookmarkEnd w:id="97"/>
    </w:p>
    <w:p>
      <w:pPr>
        <w:ind w:firstLineChars="200" w:firstLine="640"/>
        <w:rPr>
          <w:rFonts w:eastAsia="仿宋"/>
          <w:sz w:val="32"/>
          <w:szCs w:val="32"/>
        </w:rPr>
      </w:pPr>
      <w:r>
        <w:rPr>
          <w:rFonts w:eastAsia="仿宋"/>
          <w:sz w:val="32"/>
          <w:szCs w:val="32"/>
        </w:rPr>
        <w:t>2021年“三公”经费财政拨款支出决算中，因公出国（境）费支出决算0万元，占0%；公务用车购置及运行维护费支出决算0万元，占0%；公务接待费支出决算1.04万元，占100%。具体情况如下：</w:t>
      </w:r>
    </w:p>
    <w:p>
      <w:pPr>
        <w:pStyle w:val="16"/>
        <w:spacing w:beforeLines="0" w:before="30"/>
        <w:ind w:firstLineChars="200" w:firstLine="640"/>
        <w:rPr>
          <w:rFonts w:ascii="Times New Roman" w:hAnsi="Times New Roman"/>
          <w:sz w:val="32"/>
          <w:szCs w:val="32"/>
        </w:rPr>
      </w:pPr>
    </w:p>
    <w:p>
      <w:pPr>
        <w:pStyle w:val="16"/>
        <w:spacing w:beforeLines="0" w:before="30"/>
        <w:jc w:val="center"/>
        <w:rPr>
          <w:rFonts w:ascii="Times New Roman" w:hAnsi="Times New Roman"/>
          <w:sz w:val="32"/>
          <w:szCs w:val="32"/>
        </w:rPr>
      </w:pPr>
      <w:r>
        <w:rPr>
          <w:rFonts w:ascii="Times New Roman" w:eastAsia="仿宋" w:hAnsi="Times New Roman"/>
          <w:color w:val="000000"/>
          <w:sz w:val="32"/>
          <w:szCs w:val="32"/>
        </w:rPr>
        <w:object>
          <v:shape id="_x0000_i7" type="#_x0000_t75" filled="f" stroked="f" style="width:240.75pt;height:171.0pt;" o:ole="">
            <v:stroke color="#000000"/>
            <v:imagedata r:id="rId17" o:title="17"/>
            <o:lock aspectratio="t"/>
          </v:shape>
          <o:OLEObject Type="Embed" ProgID="Package" ShapeID="_x0000_i7" DrawAspect="Content" ObjectID="_1393063357" r:id="rId18"/>
        </w:object>
      </w:r>
    </w:p>
    <w:p>
      <w:pPr>
        <w:jc w:val="center"/>
        <w:rPr>
          <w:rFonts w:eastAsia="仿宋"/>
          <w:sz w:val="32"/>
          <w:szCs w:val="32"/>
        </w:rPr>
      </w:pPr>
      <w:r>
        <w:rPr>
          <w:rFonts w:eastAsia="仿宋"/>
          <w:sz w:val="32"/>
          <w:szCs w:val="32"/>
        </w:rPr>
        <w:t>（图7：“三公”经费财政拨款支出结构）（饼状图）</w:t>
      </w:r>
    </w:p>
    <w:p>
      <w:pPr>
        <w:ind w:firstLineChars="200" w:firstLine="640"/>
        <w:rPr>
          <w:rFonts w:eastAsia="仿宋_GB2312"/>
          <w:b/>
          <w:sz w:val="32"/>
          <w:szCs w:val="32"/>
        </w:rPr>
      </w:pPr>
      <w:r>
        <w:rPr>
          <w:rFonts w:eastAsia="仿宋_GB2312"/>
          <w:b/>
          <w:sz w:val="32"/>
          <w:szCs w:val="32"/>
        </w:rPr>
        <w:t>1.因公出国（境）经费支出</w:t>
      </w:r>
      <w:r>
        <w:rPr>
          <w:rFonts w:eastAsia="仿宋_GB2312"/>
          <w:sz w:val="32"/>
          <w:szCs w:val="32"/>
        </w:rPr>
        <w:t>0万元，</w:t>
      </w:r>
      <w:r>
        <w:rPr>
          <w:rStyle w:val="25"/>
          <w:rFonts w:eastAsia="仿宋"/>
          <w:b w:val="0"/>
          <w:bCs/>
          <w:sz w:val="32"/>
          <w:szCs w:val="32"/>
        </w:rPr>
        <w:t>完成预算0%。</w:t>
      </w:r>
      <w:r>
        <w:rPr>
          <w:rFonts w:eastAsia="仿宋_GB2312"/>
          <w:sz w:val="32"/>
          <w:szCs w:val="32"/>
        </w:rPr>
        <w:t>全年安排因公出国（境）团组0次，出国（境）0人。因公出国（境）支出决算比2020年增加/减少0万元，增长/下降0%。</w:t>
      </w:r>
    </w:p>
    <w:p>
      <w:pPr>
        <w:ind w:firstLineChars="200" w:firstLine="640"/>
        <w:rPr>
          <w:rFonts w:eastAsia="仿宋_GB2312"/>
          <w:sz w:val="32"/>
          <w:szCs w:val="32"/>
        </w:rPr>
      </w:pPr>
      <w:r>
        <w:rPr>
          <w:rFonts w:eastAsia="仿宋_GB2312"/>
          <w:sz w:val="32"/>
          <w:szCs w:val="32"/>
        </w:rPr>
        <w:t>开支内容包括：无</w:t>
      </w:r>
    </w:p>
    <w:p>
      <w:pPr>
        <w:ind w:firstLineChars="200" w:firstLine="640"/>
        <w:rPr>
          <w:rFonts w:eastAsia="仿宋_GB2312"/>
          <w:b/>
          <w:sz w:val="32"/>
          <w:szCs w:val="32"/>
        </w:rPr>
      </w:pPr>
      <w:r>
        <w:rPr>
          <w:rFonts w:eastAsia="仿宋_GB2312"/>
          <w:b/>
          <w:sz w:val="32"/>
          <w:szCs w:val="32"/>
        </w:rPr>
        <w:t>2.公务用车购置及运行维护费支出</w:t>
      </w:r>
      <w:r>
        <w:rPr>
          <w:rFonts w:eastAsia="仿宋_GB2312"/>
          <w:sz w:val="32"/>
          <w:szCs w:val="32"/>
        </w:rPr>
        <w:t>0万元,</w:t>
      </w:r>
      <w:r>
        <w:rPr>
          <w:rStyle w:val="25"/>
          <w:rFonts w:eastAsia="仿宋"/>
          <w:b w:val="0"/>
          <w:bCs/>
          <w:sz w:val="32"/>
          <w:szCs w:val="32"/>
        </w:rPr>
        <w:t>完成预算0%。</w:t>
      </w:r>
      <w:r>
        <w:rPr>
          <w:rFonts w:eastAsia="仿宋_GB2312"/>
          <w:sz w:val="32"/>
          <w:szCs w:val="32"/>
        </w:rPr>
        <w:t>公务用车购置及运行维护费支出决算比2020年增加/减少0万元，增长/下降0%。</w:t>
      </w:r>
    </w:p>
    <w:p>
      <w:pPr>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0万元。全年按规定更新购置公务用车0辆，其中：轿车0辆、金额0万元，越野车0辆、金额0万元，载客汽车0辆、金额0万元。截至2021年12月底，单位共有公务用车0辆，其中：轿车0辆、越野车0辆、载客汽车0辆。</w:t>
      </w:r>
    </w:p>
    <w:p>
      <w:pPr>
        <w:ind w:firstLineChars="200" w:firstLine="640"/>
        <w:rPr>
          <w:rFonts w:eastAsia="仿宋_GB2312"/>
          <w:sz w:val="32"/>
          <w:szCs w:val="32"/>
        </w:rPr>
      </w:pPr>
      <w:r>
        <w:rPr>
          <w:rFonts w:eastAsia="仿宋_GB2312"/>
          <w:b/>
          <w:sz w:val="32"/>
          <w:szCs w:val="32"/>
        </w:rPr>
        <w:t>公务用车运行维护费支出</w:t>
      </w:r>
      <w:r>
        <w:rPr>
          <w:rFonts w:eastAsia="仿宋_GB2312"/>
          <w:sz w:val="32"/>
          <w:szCs w:val="32"/>
        </w:rPr>
        <w:t>0万元。</w:t>
      </w:r>
    </w:p>
    <w:p>
      <w:pPr>
        <w:ind w:firstLineChars="200" w:firstLine="640"/>
        <w:rPr>
          <w:rFonts w:eastAsia="仿宋_GB2312"/>
          <w:color w:val="333333"/>
          <w:sz w:val="32"/>
          <w:szCs w:val="32"/>
        </w:rPr>
      </w:pPr>
      <w:r>
        <w:rPr>
          <w:rFonts w:eastAsia="仿宋_GB2312"/>
          <w:b/>
          <w:sz w:val="32"/>
          <w:szCs w:val="32"/>
        </w:rPr>
        <w:t>3.公务接待费支出</w:t>
      </w:r>
      <w:r>
        <w:rPr>
          <w:rFonts w:eastAsia="仿宋_GB2312"/>
          <w:sz w:val="32"/>
          <w:szCs w:val="32"/>
        </w:rPr>
        <w:t>1.04万元，</w:t>
      </w:r>
      <w:r>
        <w:rPr>
          <w:rStyle w:val="25"/>
          <w:rFonts w:eastAsia="仿宋"/>
          <w:b w:val="0"/>
          <w:bCs/>
          <w:sz w:val="32"/>
          <w:szCs w:val="32"/>
        </w:rPr>
        <w:t>完成预算100%。</w:t>
      </w:r>
      <w:r>
        <w:rPr>
          <w:rFonts w:eastAsia="仿宋_GB2312"/>
          <w:sz w:val="32"/>
          <w:szCs w:val="32"/>
        </w:rPr>
        <w:t>公务接待费支出决算跟2020年持平，主要原因是</w:t>
      </w:r>
      <w:r>
        <w:rPr>
          <w:rFonts w:eastAsia="仿宋_GB2312"/>
          <w:color w:val="000000"/>
          <w:sz w:val="32"/>
          <w:szCs w:val="32"/>
        </w:rPr>
        <w:t>我中心认真贯彻落实中央八项规定和省市十项规定，控制公务接待次数，严把接待支付关，降低行政运行成本。</w:t>
      </w:r>
      <w:r>
        <w:rPr>
          <w:rFonts w:eastAsia="仿宋_GB2312"/>
          <w:sz w:val="32"/>
          <w:szCs w:val="32"/>
        </w:rPr>
        <w:t>其中：</w:t>
      </w:r>
    </w:p>
    <w:p>
      <w:pPr>
        <w:ind w:firstLineChars="200" w:firstLine="640"/>
        <w:rPr>
          <w:rFonts w:eastAsia="仿宋_GB2312"/>
          <w:color w:val="000000"/>
          <w:sz w:val="32"/>
          <w:szCs w:val="32"/>
        </w:rPr>
      </w:pPr>
      <w:r>
        <w:rPr>
          <w:rFonts w:eastAsia="仿宋"/>
          <w:b/>
          <w:sz w:val="32"/>
          <w:szCs w:val="32"/>
        </w:rPr>
        <w:t>国内公务接待支出</w:t>
      </w:r>
      <w:r>
        <w:rPr>
          <w:rFonts w:eastAsia="仿宋"/>
          <w:sz w:val="32"/>
          <w:szCs w:val="32"/>
        </w:rPr>
        <w:t>1.04</w:t>
      </w:r>
      <w:r>
        <w:rPr>
          <w:rFonts w:eastAsia="仿宋_GB2312"/>
          <w:sz w:val="32"/>
          <w:szCs w:val="32"/>
        </w:rPr>
        <w:t>万元，主要用于执行公务、开展业务活动开支的用餐费。国内公务接待6批次，64人次（不包括陪同人员），共计支出1.04万元，具体内容包括</w:t>
      </w:r>
      <w:r>
        <w:rPr>
          <w:rFonts w:eastAsia="仿宋_GB2312"/>
          <w:color w:val="000000"/>
          <w:sz w:val="32"/>
          <w:szCs w:val="32"/>
        </w:rPr>
        <w:t>（1）接待开江县医保局赴攀枝花考察学习DRG付费改革工作0.2126万元；（2）接待省异地结算中心集中开展跨省联网定点医疗机构“蹲点式调研”0.0658万元；（3）接待四川省医疗保障局飞行检查组0.33万元；（4）接待国家支付方式改革试点交叉调研评估工作组0.28万元；（5）接待省医保局基金监管处处长李雅宣来我市进行《医疗保障基金使用监督管理条例》培训0.0510万元；（6）接待遂宁医保中心赴攀枝花开展医疗保障相关工作考察学习0.0985万元。</w:t>
      </w:r>
    </w:p>
    <w:p>
      <w:pPr>
        <w:ind w:firstLineChars="200" w:firstLine="640"/>
        <w:rPr>
          <w:rFonts w:eastAsia="仿宋_GB2312"/>
          <w:sz w:val="32"/>
          <w:szCs w:val="32"/>
        </w:rPr>
      </w:pPr>
      <w:r>
        <w:rPr>
          <w:rFonts w:eastAsia="仿宋"/>
          <w:b/>
          <w:sz w:val="32"/>
          <w:szCs w:val="32"/>
        </w:rPr>
        <w:t>外事接待支出</w:t>
      </w:r>
      <w:r>
        <w:rPr>
          <w:rFonts w:eastAsia="仿宋"/>
          <w:sz w:val="32"/>
          <w:szCs w:val="32"/>
        </w:rPr>
        <w:t>0</w:t>
      </w:r>
      <w:r>
        <w:rPr>
          <w:rFonts w:eastAsia="仿宋_GB2312"/>
          <w:sz w:val="32"/>
          <w:szCs w:val="32"/>
        </w:rPr>
        <w:t>万元，外事接待0批次，0人，共计支出0万元。</w:t>
      </w:r>
    </w:p>
    <w:p>
      <w:pPr>
        <w:ind w:firstLineChars="200" w:firstLine="640"/>
        <w:outlineLvl w:val="1"/>
        <w:rPr>
          <w:rStyle w:val="2Char"/>
          <w:rFonts w:ascii="Times New Roman" w:eastAsia="黑体" w:cs="Times New Roman" w:hAnsi="Times New Roman"/>
        </w:rPr>
      </w:pPr>
      <w:bookmarkStart w:id="98" w:name="_Toc15377218"/>
      <w:bookmarkStart w:id="99" w:name="_Toc10065"/>
      <w:bookmarkStart w:id="100" w:name="_Toc1170"/>
      <w:bookmarkStart w:id="101" w:name="_Toc4150"/>
      <w:bookmarkStart w:id="102" w:name="_Toc10230"/>
      <w:bookmarkStart w:id="103" w:name="_Toc15396610"/>
      <w:r>
        <w:rPr>
          <w:rFonts w:eastAsia="黑体"/>
          <w:sz w:val="32"/>
          <w:szCs w:val="32"/>
        </w:rPr>
        <w:t>八、</w:t>
      </w:r>
      <w:r>
        <w:rPr>
          <w:rStyle w:val="2Char"/>
          <w:rFonts w:ascii="Times New Roman" w:eastAsia="黑体" w:cs="Times New Roman" w:hAnsi="Times New Roman"/>
          <w:b w:val="0"/>
        </w:rPr>
        <w:t>政府性基金预算支出决算情况说明</w:t>
      </w:r>
      <w:bookmarkEnd w:id="98"/>
      <w:bookmarkEnd w:id="99"/>
      <w:bookmarkEnd w:id="100"/>
      <w:bookmarkEnd w:id="101"/>
      <w:bookmarkEnd w:id="102"/>
      <w:bookmarkEnd w:id="103"/>
    </w:p>
    <w:p>
      <w:pPr>
        <w:ind w:firstLineChars="200" w:firstLine="640"/>
        <w:rPr>
          <w:rFonts w:eastAsia="仿宋_GB2312"/>
          <w:sz w:val="32"/>
          <w:szCs w:val="32"/>
        </w:rPr>
      </w:pPr>
      <w:r>
        <w:rPr>
          <w:rFonts w:eastAsia="仿宋_GB2312"/>
          <w:sz w:val="32"/>
          <w:szCs w:val="32"/>
        </w:rPr>
        <w:t>2021年政府性基金预算财政拨款支出0万元。</w:t>
      </w:r>
    </w:p>
    <w:p>
      <w:pPr>
        <w:numPr>
          <w:ilvl w:val="0"/>
          <w:numId w:val="1"/>
        </w:numPr>
        <w:ind w:left="0" w:firstLineChars="200" w:firstLine="640"/>
        <w:outlineLvl w:val="1"/>
        <w:rPr>
          <w:rStyle w:val="2Char"/>
          <w:rFonts w:ascii="Times New Roman" w:eastAsia="黑体" w:cs="Times New Roman" w:hAnsi="Times New Roman"/>
          <w:b w:val="0"/>
        </w:rPr>
      </w:pPr>
      <w:bookmarkStart w:id="104" w:name="_Toc13961"/>
      <w:bookmarkStart w:id="105" w:name="_Toc10855"/>
      <w:bookmarkStart w:id="106" w:name="_Toc24417"/>
      <w:bookmarkStart w:id="107" w:name="_Toc17542"/>
      <w:bookmarkStart w:id="108" w:name="_Toc15396611"/>
      <w:bookmarkStart w:id="109" w:name="_Toc15377219"/>
      <w:bookmarkStart w:id="110" w:name="_Toc24110"/>
      <w:r>
        <w:rPr>
          <w:rStyle w:val="2Char"/>
          <w:rFonts w:ascii="Times New Roman" w:eastAsia="黑体" w:cs="Times New Roman" w:hAnsi="Times New Roman"/>
          <w:b w:val="0"/>
        </w:rPr>
        <w:t>国有资本经营预算支出决算情况说明</w:t>
      </w:r>
      <w:bookmarkEnd w:id="104"/>
      <w:bookmarkEnd w:id="105"/>
      <w:bookmarkEnd w:id="106"/>
      <w:bookmarkEnd w:id="107"/>
      <w:bookmarkEnd w:id="108"/>
      <w:bookmarkEnd w:id="109"/>
    </w:p>
    <w:p>
      <w:pPr>
        <w:ind w:firstLineChars="200" w:firstLine="640"/>
        <w:rPr>
          <w:rFonts w:eastAsia="方正小标宋简体"/>
          <w:sz w:val="32"/>
          <w:szCs w:val="32"/>
        </w:rPr>
      </w:pPr>
      <w:bookmarkEnd w:id="110"/>
      <w:r>
        <w:rPr>
          <w:rFonts w:eastAsia="仿宋_GB2312"/>
          <w:sz w:val="32"/>
          <w:szCs w:val="32"/>
        </w:rPr>
        <w:t>2021年国有资本经营预算财政拨款支出0万元。</w:t>
      </w:r>
    </w:p>
    <w:p>
      <w:pPr>
        <w:numPr>
          <w:ilvl w:val="0"/>
          <w:numId w:val="1"/>
        </w:numPr>
        <w:ind w:left="0" w:firstLineChars="200" w:firstLine="640"/>
        <w:outlineLvl w:val="1"/>
        <w:rPr>
          <w:rStyle w:val="2Char"/>
          <w:rFonts w:ascii="Times New Roman" w:eastAsia="黑体" w:cs="Times New Roman" w:hAnsi="Times New Roman"/>
          <w:b w:val="0"/>
        </w:rPr>
      </w:pPr>
      <w:bookmarkStart w:id="111" w:name="_Toc18652"/>
      <w:bookmarkStart w:id="112" w:name="_Toc15377221"/>
      <w:bookmarkStart w:id="113" w:name="_Toc15396612"/>
      <w:bookmarkStart w:id="114" w:name="_Toc3676"/>
      <w:bookmarkStart w:id="115" w:name="_Toc22026"/>
      <w:bookmarkStart w:id="116" w:name="_Toc32669"/>
      <w:bookmarkStart w:id="117" w:name="_Toc776"/>
      <w:r>
        <w:rPr>
          <w:rStyle w:val="2Char"/>
          <w:rFonts w:ascii="Times New Roman" w:eastAsia="黑体" w:cs="Times New Roman" w:hAnsi="Times New Roman"/>
          <w:b w:val="0"/>
        </w:rPr>
        <w:t>其他重要事项的情况说明</w:t>
      </w:r>
      <w:bookmarkEnd w:id="111"/>
      <w:bookmarkEnd w:id="112"/>
      <w:bookmarkEnd w:id="113"/>
      <w:bookmarkEnd w:id="114"/>
      <w:bookmarkEnd w:id="115"/>
      <w:bookmarkEnd w:id="116"/>
    </w:p>
    <w:p>
      <w:pPr>
        <w:ind w:firstLineChars="200" w:firstLine="640"/>
        <w:outlineLvl w:val="2"/>
        <w:rPr>
          <w:rFonts w:eastAsia="仿宋"/>
          <w:sz w:val="32"/>
          <w:szCs w:val="32"/>
        </w:rPr>
      </w:pPr>
      <w:bookmarkStart w:id="118" w:name="_Toc15377222"/>
      <w:bookmarkEnd w:id="117"/>
      <w:r>
        <w:rPr>
          <w:rFonts w:eastAsia="仿宋"/>
          <w:b/>
          <w:sz w:val="32"/>
          <w:szCs w:val="32"/>
        </w:rPr>
        <w:t>（一）机关运行经费支出情况</w:t>
      </w:r>
      <w:bookmarkEnd w:id="118"/>
    </w:p>
    <w:p>
      <w:pPr>
        <w:ind w:firstLineChars="200" w:firstLine="640"/>
        <w:rPr>
          <w:rFonts w:eastAsia="仿宋_GB2312"/>
          <w:color w:val="000000"/>
          <w:sz w:val="32"/>
          <w:szCs w:val="32"/>
        </w:rPr>
      </w:pPr>
      <w:r>
        <w:rPr>
          <w:rFonts w:eastAsia="仿宋_GB2312"/>
          <w:sz w:val="32"/>
          <w:szCs w:val="32"/>
        </w:rPr>
        <w:t>2021年，攀枝花市医疗保障事务中心机关运行经费支出104.73万元，比2020年增加20.21万元，增长23.91%。主要原因是</w:t>
      </w:r>
      <w:r>
        <w:rPr>
          <w:rFonts w:eastAsia="仿宋_GB2312"/>
          <w:color w:val="000000"/>
          <w:sz w:val="32"/>
          <w:szCs w:val="32"/>
        </w:rPr>
        <w:t>增加了疫情防控物品采购，人事档案数字化信息采集，职工全面体检费用，驻村干部部分费用，稽核科误餐补助等费用。</w:t>
      </w:r>
    </w:p>
    <w:p>
      <w:pPr>
        <w:autoSpaceDE w:val="0"/>
        <w:autoSpaceDN w:val="0"/>
        <w:adjustRightInd w:val="0"/>
        <w:ind w:firstLineChars="200" w:firstLine="640"/>
        <w:jc w:val="left"/>
        <w:outlineLvl w:val="2"/>
        <w:rPr>
          <w:rFonts w:eastAsia="仿宋"/>
          <w:b/>
          <w:sz w:val="32"/>
          <w:szCs w:val="32"/>
        </w:rPr>
      </w:pPr>
      <w:bookmarkStart w:id="119" w:name="_Toc15377223"/>
      <w:r>
        <w:rPr>
          <w:rFonts w:eastAsia="仿宋"/>
          <w:b/>
          <w:sz w:val="32"/>
          <w:szCs w:val="32"/>
        </w:rPr>
        <w:t>（二）政府采购支出情况</w:t>
      </w:r>
      <w:bookmarkEnd w:id="119"/>
    </w:p>
    <w:p>
      <w:pPr>
        <w:ind w:firstLineChars="200" w:firstLine="640"/>
        <w:rPr>
          <w:rFonts w:eastAsia="仿宋_GB2312"/>
          <w:sz w:val="32"/>
          <w:szCs w:val="32"/>
        </w:rPr>
      </w:pPr>
      <w:r>
        <w:rPr>
          <w:rFonts w:eastAsia="仿宋_GB2312"/>
          <w:sz w:val="32"/>
          <w:szCs w:val="32"/>
        </w:rPr>
        <w:t>2021年，攀枝花市医疗保障事务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ind w:firstLineChars="200" w:firstLine="640"/>
        <w:jc w:val="left"/>
        <w:outlineLvl w:val="2"/>
        <w:rPr>
          <w:rFonts w:eastAsia="仿宋"/>
          <w:b/>
          <w:sz w:val="32"/>
          <w:szCs w:val="32"/>
        </w:rPr>
      </w:pPr>
      <w:bookmarkStart w:id="120" w:name="_Toc15377224"/>
      <w:r>
        <w:rPr>
          <w:rFonts w:eastAsia="仿宋"/>
          <w:b/>
          <w:sz w:val="32"/>
          <w:szCs w:val="32"/>
        </w:rPr>
        <w:t>（三）国有资产占有使用情况</w:t>
      </w:r>
      <w:bookmarkEnd w:id="120"/>
    </w:p>
    <w:p>
      <w:pPr>
        <w:autoSpaceDE w:val="0"/>
        <w:autoSpaceDN w:val="0"/>
        <w:adjustRightInd w:val="0"/>
        <w:ind w:firstLineChars="200" w:firstLine="640"/>
        <w:jc w:val="left"/>
        <w:rPr>
          <w:rFonts w:eastAsia="仿宋_GB2312"/>
          <w:sz w:val="32"/>
          <w:szCs w:val="32"/>
        </w:rPr>
      </w:pPr>
      <w:r>
        <w:rPr>
          <w:rFonts w:eastAsia="仿宋_GB2312"/>
          <w:sz w:val="32"/>
          <w:szCs w:val="32"/>
        </w:rPr>
        <w:t>截至2021年12月31日，攀枝花市医疗保障事务中心共有车辆0辆，其中：主要领导干部用车0辆、机要通信用车0辆、应急保障用车0辆、其他用车0辆。单价50万元以上通用设备0台（套），单价100万元以上专用设备0台（套）。</w:t>
      </w:r>
    </w:p>
    <w:p>
      <w:pPr>
        <w:autoSpaceDE w:val="0"/>
        <w:autoSpaceDN w:val="0"/>
        <w:adjustRightInd w:val="0"/>
        <w:ind w:firstLineChars="200" w:firstLine="640"/>
        <w:jc w:val="left"/>
        <w:outlineLvl w:val="2"/>
        <w:rPr>
          <w:rFonts w:eastAsia="仿宋"/>
          <w:b/>
          <w:sz w:val="32"/>
          <w:szCs w:val="32"/>
        </w:rPr>
      </w:pPr>
      <w:r>
        <w:rPr>
          <w:rFonts w:eastAsia="仿宋"/>
          <w:b/>
          <w:sz w:val="32"/>
          <w:szCs w:val="32"/>
        </w:rPr>
        <w:t>（四）预算绩效管理情况</w:t>
      </w:r>
    </w:p>
    <w:p>
      <w:pPr>
        <w:ind w:firstLineChars="200" w:firstLine="640"/>
        <w:rPr>
          <w:rFonts w:eastAsia="仿宋_GB2312"/>
          <w:sz w:val="32"/>
          <w:szCs w:val="32"/>
        </w:rPr>
      </w:pPr>
      <w:r>
        <w:rPr>
          <w:rFonts w:eastAsia="仿宋_GB2312"/>
          <w:sz w:val="32"/>
          <w:szCs w:val="32"/>
        </w:rPr>
        <w:t>根据预算绩效管理要求，攀枝花市医疗保障事务中心在2021年度预算编制阶段，组织对</w:t>
      </w:r>
      <w:r>
        <w:rPr>
          <w:rFonts w:eastAsia="仿宋_GB2312"/>
          <w:color w:val="000000"/>
          <w:sz w:val="32"/>
          <w:szCs w:val="32"/>
        </w:rPr>
        <w:t>“医保业务运行费”“收入征管成本补助资金（追加工作经费）”“启用国家医保2020版疾病诊断编码项目”“下达2021年中央财政医疗服务与保障能力提升补助资金”“社保公共服务能力提升</w:t>
      </w:r>
      <w:r>
        <w:rPr>
          <w:rFonts w:eastAsia="仿宋_GB2312"/>
          <w:sz w:val="32"/>
          <w:szCs w:val="32"/>
        </w:rPr>
        <w:t>项目</w:t>
      </w:r>
      <w:r>
        <w:rPr>
          <w:rFonts w:eastAsia="仿宋_GB2312"/>
          <w:color w:val="000000"/>
          <w:sz w:val="32"/>
          <w:szCs w:val="32"/>
        </w:rPr>
        <w:t>”</w:t>
      </w:r>
      <w:r>
        <w:rPr>
          <w:rFonts w:eastAsia="仿宋_GB2312"/>
          <w:sz w:val="32"/>
          <w:szCs w:val="32"/>
        </w:rPr>
        <w:t>等5个项目开展了预算事前绩效评估，对5个项目编制了绩效目标，预算执行过程中，选取4个项目开展绩效监控，年终执行完毕后，对4个项目开展了绩效自评。同时，本部门对2021年部门整体开展绩效自评，《2021年攀枝花市医疗保障事务中心部门整体绩效评价报告》见附件（第四部分）。</w:t>
      </w:r>
    </w:p>
    <w:p>
      <w:pPr>
        <w:widowControl/>
        <w:ind w:firstLineChars="200" w:firstLine="640"/>
        <w:jc w:val="left"/>
        <w:rPr>
          <w:rStyle w:val="1Char"/>
          <w:rFonts w:eastAsia="黑体"/>
          <w:b w:val="0"/>
        </w:rPr>
      </w:pPr>
      <w:r>
        <w:rPr>
          <w:rFonts w:eastAsia="仿宋_GB2312"/>
          <w:b/>
          <w:sz w:val="32"/>
          <w:szCs w:val="32"/>
        </w:rPr>
        <w:br w:type="page"/>
      </w:r>
      <w:r>
        <w:rPr>
          <w:rStyle w:val="1Char"/>
          <w:rFonts w:eastAsia="黑体" w:hint="eastAsia"/>
          <w:b w:val="0"/>
        </w:rPr>
        <w:t xml:space="preserve">       </w:t>
      </w:r>
      <w:bookmarkStart w:id="121" w:name="_Toc985"/>
      <w:bookmarkStart w:id="122" w:name="_Toc28882"/>
      <w:bookmarkStart w:id="123" w:name="_Toc4516"/>
      <w:bookmarkStart w:id="124" w:name="_Toc11986"/>
      <w:bookmarkStart w:id="125" w:name="_Toc15396613"/>
      <w:bookmarkStart w:id="126" w:name="_Toc15377225"/>
      <w:bookmarkStart w:id="127" w:name="_Toc19278"/>
      <w:r>
        <w:rPr>
          <w:rStyle w:val="1Char"/>
          <w:rFonts w:eastAsia="黑体"/>
          <w:b w:val="0"/>
        </w:rPr>
        <w:t>第三部分  名词解释</w:t>
      </w:r>
      <w:bookmarkEnd w:id="121"/>
      <w:bookmarkEnd w:id="122"/>
      <w:bookmarkEnd w:id="123"/>
      <w:bookmarkEnd w:id="124"/>
      <w:bookmarkEnd w:id="125"/>
      <w:bookmarkEnd w:id="126"/>
    </w:p>
    <w:p>
      <w:pPr>
        <w:pStyle w:val="30"/>
        <w:ind w:firstLineChars="200" w:firstLine="640"/>
        <w:rPr>
          <w:rFonts w:ascii="Times New Roman" w:eastAsia="仿宋_GB2312" w:cs="Times New Roman" w:hAnsi="Times New Roman"/>
          <w:color w:val="auto"/>
          <w:sz w:val="32"/>
          <w:szCs w:val="32"/>
        </w:rPr>
      </w:pPr>
      <w:bookmarkEnd w:id="127"/>
    </w:p>
    <w:p>
      <w:pPr>
        <w:pStyle w:val="30"/>
        <w:ind w:firstLineChars="200" w:firstLine="640"/>
        <w:rPr>
          <w:rFonts w:ascii="Times New Roman" w:eastAsia="仿宋_GB2312" w:cs="Times New Roman" w:hAnsi="Times New Roman"/>
          <w:color w:val="auto"/>
          <w:sz w:val="32"/>
          <w:szCs w:val="32"/>
        </w:rPr>
      </w:pPr>
      <w:bookmarkStart w:id="128" w:name="_Toc29616"/>
      <w:bookmarkStart w:id="129" w:name="_Toc18705"/>
      <w:r>
        <w:rPr>
          <w:rFonts w:ascii="Times New Roman" w:eastAsia="仿宋_GB2312" w:cs="Times New Roman" w:hAnsi="Times New Roman"/>
          <w:color w:val="auto"/>
          <w:sz w:val="32"/>
          <w:szCs w:val="32"/>
        </w:rPr>
        <w:t>1.财政拨款收入：指单位从同级财政部门取得的财政预算资金。</w:t>
      </w:r>
      <w:bookmarkEnd w:id="128"/>
      <w:bookmarkEnd w:id="129"/>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2.事业收入：指事业单位开展专业业务活动及辅助活动取得的收入。</w:t>
      </w:r>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3.经营收入：指事业单位在专业业务活动及其辅助活动之外开展非独立核算经营活动取得的收入。</w:t>
      </w:r>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4.其他收入：指单位取得的除上述收入以外的各项收入。5.使用非财政拨款结余：指事业单位使用以前年度积累的非财政拨款结余弥补当年收支差额的金额。</w:t>
      </w:r>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6.年初结转和结余：指以前年度尚未完成、结转到本年按有关规定继续使用的资金。</w:t>
      </w:r>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7.结余分配：指事业单位按照会计制度规定缴纳的所得税、提取的专用结余以及转入非财政拨款结余的金额等。</w:t>
      </w:r>
    </w:p>
    <w:p>
      <w:pPr>
        <w:pStyle w:val="3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8、年末结转和结余：指单位按有关规定结转到下年或以后年度继续使用的资金。</w:t>
      </w:r>
    </w:p>
    <w:p>
      <w:pPr>
        <w:ind w:firstLineChars="200" w:firstLine="640"/>
        <w:rPr>
          <w:rFonts w:eastAsia="仿宋_GB2312"/>
          <w:color w:val="000000"/>
          <w:sz w:val="32"/>
          <w:szCs w:val="32"/>
        </w:rPr>
      </w:pPr>
      <w:r>
        <w:rPr>
          <w:rFonts w:eastAsia="仿宋_GB2312"/>
          <w:sz w:val="32"/>
          <w:szCs w:val="32"/>
        </w:rPr>
        <w:t>9.</w:t>
      </w:r>
      <w:r>
        <w:rPr>
          <w:rFonts w:eastAsia="仿宋_GB2312"/>
          <w:color w:val="000000"/>
          <w:sz w:val="32"/>
          <w:szCs w:val="32"/>
        </w:rPr>
        <w:t>一般公共服务（类）</w:t>
      </w:r>
      <w:r>
        <w:rPr>
          <w:rStyle w:val="25"/>
          <w:rFonts w:eastAsia="仿宋_GB2312"/>
          <w:b w:val="0"/>
          <w:bCs/>
          <w:color w:val="000000"/>
          <w:sz w:val="32"/>
          <w:szCs w:val="32"/>
        </w:rPr>
        <w:t>组织事务</w:t>
      </w:r>
      <w:r>
        <w:rPr>
          <w:rFonts w:eastAsia="仿宋_GB2312"/>
          <w:color w:val="000000"/>
          <w:sz w:val="32"/>
          <w:szCs w:val="32"/>
        </w:rPr>
        <w:t>（款）</w:t>
      </w:r>
      <w:r>
        <w:rPr>
          <w:rStyle w:val="25"/>
          <w:rFonts w:eastAsia="仿宋_GB2312"/>
          <w:b w:val="0"/>
          <w:bCs/>
          <w:color w:val="000000"/>
          <w:sz w:val="32"/>
          <w:szCs w:val="32"/>
        </w:rPr>
        <w:t>其他组织事务支出</w:t>
      </w:r>
      <w:r>
        <w:rPr>
          <w:rFonts w:eastAsia="仿宋_GB2312"/>
          <w:color w:val="000000"/>
          <w:sz w:val="32"/>
          <w:szCs w:val="32"/>
        </w:rPr>
        <w:t>（项）：2013299指反映除上述项目以外其他用于中国共产党组织部门的事务支出。</w:t>
      </w:r>
    </w:p>
    <w:p>
      <w:pPr>
        <w:ind w:firstLineChars="200" w:firstLine="640"/>
        <w:rPr>
          <w:rFonts w:eastAsia="仿宋_GB2312"/>
          <w:sz w:val="32"/>
          <w:szCs w:val="32"/>
        </w:rPr>
      </w:pPr>
      <w:r>
        <w:rPr>
          <w:rFonts w:eastAsia="仿宋_GB2312"/>
          <w:sz w:val="32"/>
          <w:szCs w:val="32"/>
        </w:rPr>
        <w:t>10.社会保障和就业（类）人力资源和社会保障管理事务（款）其他人力资源和社会保障管理事务支出（项）：2080199指其他用于人力资源和社会保障管理事务方面的支出。</w:t>
      </w:r>
    </w:p>
    <w:p>
      <w:pPr>
        <w:numPr>
          <w:ilvl w:val="0"/>
          <w:numId w:val="2"/>
        </w:numPr>
        <w:ind w:left="0" w:firstLineChars="200" w:firstLine="640"/>
        <w:rPr>
          <w:rFonts w:eastAsia="仿宋_GB2312"/>
          <w:color w:val="000000"/>
          <w:sz w:val="32"/>
          <w:szCs w:val="32"/>
        </w:rPr>
      </w:pPr>
      <w:r>
        <w:rPr>
          <w:rFonts w:eastAsia="仿宋_GB2312"/>
          <w:sz w:val="32"/>
          <w:szCs w:val="32"/>
        </w:rPr>
        <w:t>社会保障和就业（类）行政事业单位养老支出（款）行政单位离退休（项）：</w:t>
      </w:r>
      <w:r>
        <w:rPr>
          <w:rFonts w:eastAsia="仿宋_GB2312"/>
          <w:color w:val="000000"/>
          <w:sz w:val="32"/>
          <w:szCs w:val="32"/>
        </w:rPr>
        <w:t>2080501指反映行政单位（包括实行公务员管理的事业单位）开支的离退休经费。</w:t>
      </w:r>
    </w:p>
    <w:p>
      <w:pPr>
        <w:numPr>
          <w:ilvl w:val="0"/>
          <w:numId w:val="2"/>
        </w:numPr>
        <w:ind w:left="0" w:firstLineChars="200" w:firstLine="640"/>
        <w:rPr>
          <w:rFonts w:eastAsia="仿宋_GB2312"/>
          <w:sz w:val="32"/>
          <w:szCs w:val="32"/>
        </w:rPr>
      </w:pPr>
      <w:r>
        <w:rPr>
          <w:rFonts w:eastAsia="仿宋_GB2312"/>
          <w:sz w:val="32"/>
          <w:szCs w:val="32"/>
        </w:rPr>
        <w:t>社会保障和就业（类）行政事业单位养老支出（款） 机关事业单位基本养老保险缴费支出（项）：</w:t>
      </w:r>
      <w:r>
        <w:rPr>
          <w:rFonts w:eastAsia="仿宋_GB2312"/>
          <w:color w:val="000000"/>
          <w:sz w:val="32"/>
          <w:szCs w:val="32"/>
        </w:rPr>
        <w:t>2080505指反映机关事业单位实施养老保险制度由单位缴纳的基本养老保险费支出。</w:t>
      </w:r>
    </w:p>
    <w:p>
      <w:pPr>
        <w:numPr>
          <w:ilvl w:val="0"/>
          <w:numId w:val="2"/>
        </w:numPr>
        <w:ind w:left="0" w:firstLineChars="200" w:firstLine="640"/>
        <w:rPr>
          <w:rFonts w:eastAsia="仿宋_GB2312"/>
          <w:sz w:val="32"/>
          <w:szCs w:val="32"/>
        </w:rPr>
      </w:pPr>
      <w:r>
        <w:rPr>
          <w:rFonts w:eastAsia="仿宋_GB2312"/>
          <w:color w:val="000000"/>
          <w:sz w:val="32"/>
          <w:szCs w:val="32"/>
        </w:rPr>
        <w:t>卫生健康</w:t>
      </w:r>
      <w:r>
        <w:rPr>
          <w:rFonts w:eastAsia="仿宋_GB2312"/>
          <w:sz w:val="32"/>
          <w:szCs w:val="32"/>
        </w:rPr>
        <w:t>（类）医疗保障管理事务（款）</w:t>
      </w:r>
      <w:r>
        <w:rPr>
          <w:rFonts w:eastAsia="仿宋_GB2312"/>
          <w:color w:val="000000"/>
          <w:sz w:val="32"/>
          <w:szCs w:val="32"/>
        </w:rPr>
        <w:t>行政运行</w:t>
      </w:r>
      <w:r>
        <w:rPr>
          <w:rFonts w:eastAsia="仿宋_GB2312"/>
          <w:sz w:val="32"/>
          <w:szCs w:val="32"/>
        </w:rPr>
        <w:t>（项）：</w:t>
      </w:r>
      <w:r>
        <w:rPr>
          <w:rFonts w:eastAsia="仿宋_GB2312"/>
          <w:color w:val="000000"/>
          <w:sz w:val="32"/>
          <w:szCs w:val="32"/>
        </w:rPr>
        <w:t>2101501指反映行政单位（包括实行公务员管理的事业单位）的基本支出。</w:t>
      </w:r>
    </w:p>
    <w:p>
      <w:pPr>
        <w:numPr>
          <w:ilvl w:val="0"/>
          <w:numId w:val="2"/>
        </w:numPr>
        <w:ind w:left="0" w:firstLineChars="200" w:firstLine="640"/>
        <w:rPr>
          <w:rFonts w:eastAsia="仿宋_GB2312"/>
          <w:sz w:val="32"/>
          <w:szCs w:val="32"/>
        </w:rPr>
      </w:pPr>
      <w:r>
        <w:rPr>
          <w:rFonts w:eastAsia="仿宋_GB2312"/>
          <w:color w:val="000000"/>
          <w:sz w:val="32"/>
          <w:szCs w:val="32"/>
        </w:rPr>
        <w:t>卫生健康</w:t>
      </w:r>
      <w:r>
        <w:rPr>
          <w:rFonts w:eastAsia="仿宋_GB2312"/>
          <w:sz w:val="32"/>
          <w:szCs w:val="32"/>
        </w:rPr>
        <w:t>（类）医疗保障管理事务（款）</w:t>
      </w:r>
      <w:r>
        <w:rPr>
          <w:rFonts w:eastAsia="仿宋_GB2312"/>
          <w:color w:val="000000"/>
          <w:sz w:val="32"/>
          <w:szCs w:val="32"/>
        </w:rPr>
        <w:t>医疗保障经办事务</w:t>
      </w:r>
      <w:r>
        <w:rPr>
          <w:rFonts w:eastAsia="仿宋_GB2312"/>
          <w:sz w:val="32"/>
          <w:szCs w:val="32"/>
        </w:rPr>
        <w:t>（项）：</w:t>
      </w:r>
      <w:r>
        <w:rPr>
          <w:rFonts w:eastAsia="仿宋_GB2312"/>
          <w:color w:val="000000"/>
          <w:sz w:val="32"/>
          <w:szCs w:val="32"/>
        </w:rPr>
        <w:t>2101506指反映医保基金核算、精算、参保登记、权益记录、转移接续等医疗保障经办支出。</w:t>
      </w:r>
    </w:p>
    <w:p>
      <w:pPr>
        <w:numPr>
          <w:ilvl w:val="0"/>
          <w:numId w:val="2"/>
        </w:numPr>
        <w:ind w:left="0" w:firstLineChars="200" w:firstLine="640"/>
        <w:rPr>
          <w:rFonts w:eastAsia="仿宋_GB2312"/>
          <w:color w:val="000000"/>
          <w:sz w:val="32"/>
          <w:szCs w:val="32"/>
        </w:rPr>
      </w:pPr>
      <w:r>
        <w:rPr>
          <w:rFonts w:eastAsia="仿宋_GB2312"/>
          <w:color w:val="000000"/>
          <w:sz w:val="32"/>
          <w:szCs w:val="32"/>
        </w:rPr>
        <w:t>卫生健康</w:t>
      </w:r>
      <w:r>
        <w:rPr>
          <w:rFonts w:eastAsia="仿宋_GB2312"/>
          <w:sz w:val="32"/>
          <w:szCs w:val="32"/>
        </w:rPr>
        <w:t>（类）医疗保障管理事务（款）</w:t>
      </w:r>
      <w:r>
        <w:rPr>
          <w:rFonts w:eastAsia="仿宋_GB2312"/>
          <w:color w:val="000000"/>
          <w:sz w:val="32"/>
          <w:szCs w:val="32"/>
        </w:rPr>
        <w:t>其他医疗保障管理事务支出</w:t>
      </w:r>
      <w:r>
        <w:rPr>
          <w:rFonts w:eastAsia="仿宋_GB2312"/>
          <w:sz w:val="32"/>
          <w:szCs w:val="32"/>
        </w:rPr>
        <w:t>（项）：</w:t>
      </w:r>
      <w:r>
        <w:rPr>
          <w:rFonts w:eastAsia="仿宋_GB2312"/>
          <w:color w:val="000000"/>
          <w:sz w:val="32"/>
          <w:szCs w:val="32"/>
        </w:rPr>
        <w:t>2101599指用于其他医疗保障管理事务方面的支出。</w:t>
      </w:r>
    </w:p>
    <w:p>
      <w:pPr>
        <w:numPr>
          <w:ilvl w:val="0"/>
          <w:numId w:val="2"/>
        </w:numPr>
        <w:ind w:left="0" w:firstLineChars="200" w:firstLine="640"/>
        <w:rPr>
          <w:rFonts w:eastAsia="仿宋_GB2312"/>
          <w:color w:val="000000"/>
          <w:sz w:val="32"/>
          <w:szCs w:val="32"/>
        </w:rPr>
      </w:pPr>
      <w:r>
        <w:rPr>
          <w:rFonts w:eastAsia="仿宋_GB2312"/>
          <w:sz w:val="32"/>
          <w:szCs w:val="32"/>
        </w:rPr>
        <w:t>住房保障（类）住房改革支出（款）</w:t>
      </w:r>
      <w:r>
        <w:rPr>
          <w:rFonts w:eastAsia="仿宋_GB2312"/>
          <w:color w:val="000000"/>
          <w:sz w:val="32"/>
          <w:szCs w:val="32"/>
        </w:rPr>
        <w:t>住房公积金，</w:t>
      </w:r>
      <w:r>
        <w:rPr>
          <w:rFonts w:eastAsia="仿宋_GB2312"/>
          <w:sz w:val="32"/>
          <w:szCs w:val="32"/>
        </w:rPr>
        <w:t>（项）：</w:t>
      </w:r>
      <w:r>
        <w:rPr>
          <w:rFonts w:eastAsia="仿宋_GB2312"/>
          <w:color w:val="000000"/>
          <w:sz w:val="32"/>
          <w:szCs w:val="32"/>
        </w:rPr>
        <w:t>2210201指反映行政事业单位按人力资源和社会保障部、财政部规定的基本工资和津贴补贴以及规定比例为职工缴纳的住房公积金。</w:t>
      </w:r>
    </w:p>
    <w:p>
      <w:pPr>
        <w:numPr>
          <w:ilvl w:val="0"/>
          <w:numId w:val="2"/>
        </w:numPr>
        <w:ind w:left="0" w:firstLineChars="200" w:firstLine="640"/>
        <w:rPr>
          <w:rFonts w:eastAsia="仿宋_GB2312"/>
          <w:sz w:val="32"/>
          <w:szCs w:val="32"/>
        </w:rPr>
      </w:pPr>
      <w:r>
        <w:rPr>
          <w:rFonts w:eastAsia="仿宋_GB2312"/>
          <w:sz w:val="32"/>
          <w:szCs w:val="32"/>
        </w:rPr>
        <w:t>基本支出：指为保障机构正常运转、完成日常工作任务而发生的人员支出和公用支出。</w:t>
      </w:r>
    </w:p>
    <w:p>
      <w:pPr>
        <w:numPr>
          <w:ilvl w:val="0"/>
          <w:numId w:val="2"/>
        </w:numPr>
        <w:ind w:left="0" w:firstLineChars="200" w:firstLine="640"/>
        <w:rPr>
          <w:rFonts w:eastAsia="仿宋_GB2312"/>
          <w:sz w:val="32"/>
          <w:szCs w:val="32"/>
        </w:rPr>
      </w:pPr>
      <w:r>
        <w:rPr>
          <w:rFonts w:eastAsia="仿宋_GB2312"/>
          <w:sz w:val="32"/>
          <w:szCs w:val="32"/>
        </w:rPr>
        <w:t>项目支出：指在基本支出之外为完成特定行政任务和事业发展目标所发生的支出。</w:t>
      </w:r>
    </w:p>
    <w:p>
      <w:pPr>
        <w:numPr>
          <w:ilvl w:val="0"/>
          <w:numId w:val="2"/>
        </w:numPr>
        <w:ind w:left="0" w:firstLineChars="200" w:firstLine="640"/>
        <w:rPr>
          <w:rFonts w:eastAsia="仿宋_GB2312"/>
          <w:sz w:val="32"/>
          <w:szCs w:val="32"/>
        </w:rPr>
      </w:pPr>
      <w:r>
        <w:rPr>
          <w:rFonts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2"/>
        </w:numPr>
        <w:ind w:left="0" w:firstLineChars="200" w:firstLine="640"/>
        <w:rPr>
          <w:rFonts w:eastAsia="仿宋_GB2312"/>
          <w:sz w:val="32"/>
          <w:szCs w:val="32"/>
        </w:rPr>
      </w:pPr>
      <w:r>
        <w:rPr>
          <w:rFonts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6"/>
        <w:spacing w:beforeLines="0" w:before="93"/>
      </w:pPr>
    </w:p>
    <w:p>
      <w:pPr>
        <w:ind w:firstLineChars="200" w:firstLine="640"/>
        <w:jc w:val="center"/>
        <w:outlineLvl w:val="0"/>
        <w:rPr>
          <w:rStyle w:val="1Char"/>
          <w:rFonts w:eastAsia="黑体"/>
          <w:b w:val="0"/>
        </w:rPr>
      </w:pPr>
      <w:bookmarkStart w:id="130" w:name="_Toc15377226"/>
      <w:r>
        <w:rPr>
          <w:b/>
          <w:sz w:val="32"/>
          <w:szCs w:val="32"/>
        </w:rPr>
        <w:br w:type="page"/>
      </w:r>
      <w:bookmarkStart w:id="131" w:name="_Toc15396614"/>
      <w:bookmarkStart w:id="132" w:name="_Toc4585"/>
      <w:bookmarkStart w:id="133" w:name="_Toc18736"/>
      <w:bookmarkStart w:id="134" w:name="_Toc12899"/>
      <w:bookmarkStart w:id="135" w:name="_Toc19884"/>
      <w:bookmarkStart w:id="136" w:name="_Toc16368"/>
      <w:r>
        <w:rPr>
          <w:rStyle w:val="1Char"/>
          <w:rFonts w:eastAsia="黑体"/>
          <w:b w:val="0"/>
        </w:rPr>
        <w:t>第四部分  附件</w:t>
      </w:r>
      <w:bookmarkEnd w:id="131"/>
      <w:bookmarkEnd w:id="132"/>
      <w:bookmarkEnd w:id="133"/>
      <w:bookmarkEnd w:id="134"/>
      <w:bookmarkEnd w:id="135"/>
    </w:p>
    <w:p>
      <w:pPr>
        <w:jc w:val="left"/>
        <w:outlineLvl w:val="1"/>
        <w:rPr>
          <w:rFonts w:eastAsia="黑体"/>
          <w:sz w:val="32"/>
          <w:szCs w:val="32"/>
        </w:rPr>
      </w:pPr>
      <w:bookmarkStart w:id="137" w:name="_Toc8561"/>
      <w:bookmarkStart w:id="138" w:name="_Toc655"/>
      <w:bookmarkStart w:id="139" w:name="_Toc14086"/>
      <w:bookmarkStart w:id="140" w:name="_Toc19920"/>
      <w:bookmarkEnd w:id="136"/>
      <w:r>
        <w:rPr>
          <w:rFonts w:eastAsia="黑体"/>
          <w:sz w:val="32"/>
          <w:szCs w:val="32"/>
        </w:rPr>
        <w:t>附件1</w:t>
      </w:r>
      <w:bookmarkEnd w:id="137"/>
      <w:bookmarkEnd w:id="138"/>
      <w:bookmarkEnd w:id="139"/>
      <w:bookmarkEnd w:id="140"/>
    </w:p>
    <w:p>
      <w:pPr>
        <w:spacing w:line="600" w:lineRule="exact"/>
        <w:ind w:firstLineChars="200" w:firstLine="880"/>
        <w:jc w:val="center"/>
        <w:rPr>
          <w:rFonts w:eastAsia="方正小标宋_GBK"/>
          <w:kern w:val="0"/>
          <w:sz w:val="44"/>
          <w:szCs w:val="44"/>
        </w:rPr>
      </w:pPr>
      <w:r>
        <w:rPr>
          <w:rFonts w:eastAsia="方正小标宋_GBK"/>
          <w:kern w:val="0"/>
          <w:sz w:val="44"/>
          <w:szCs w:val="44"/>
        </w:rPr>
        <w:t>攀枝花市医疗保障事务中心</w:t>
      </w:r>
    </w:p>
    <w:p>
      <w:pPr>
        <w:spacing w:line="600" w:lineRule="exact"/>
        <w:ind w:firstLineChars="200" w:firstLine="880"/>
        <w:jc w:val="center"/>
        <w:rPr>
          <w:rFonts w:eastAsia="方正小标宋_GBK"/>
          <w:kern w:val="0"/>
          <w:sz w:val="44"/>
          <w:szCs w:val="44"/>
          <w:lang w:val="zh-CN"/>
        </w:rPr>
      </w:pPr>
      <w:r>
        <w:rPr>
          <w:rFonts w:eastAsia="方正小标宋_GBK"/>
          <w:kern w:val="0"/>
          <w:sz w:val="44"/>
          <w:szCs w:val="44"/>
        </w:rPr>
        <w:t>2021年部门整体绩效评价报告</w:t>
      </w:r>
    </w:p>
    <w:p>
      <w:pPr>
        <w:widowControl/>
        <w:ind w:firstLineChars="200" w:firstLine="640"/>
        <w:rPr>
          <w:rFonts w:eastAsia="黑体"/>
          <w:kern w:val="0"/>
          <w:sz w:val="32"/>
          <w:szCs w:val="32"/>
          <w:shd w:val="clear" w:color="auto" w:fill="FFFFFF"/>
        </w:rPr>
      </w:pPr>
    </w:p>
    <w:p>
      <w:pPr>
        <w:widowControl/>
        <w:adjustRightInd w:val="0"/>
        <w:snapToGrid w:val="0"/>
        <w:spacing w:line="578" w:lineRule="exact"/>
        <w:ind w:firstLineChars="200" w:firstLine="640"/>
        <w:contextualSpacing/>
        <w:jc w:val="left"/>
        <w:rPr>
          <w:rFonts w:eastAsia="黑体"/>
          <w:kern w:val="0"/>
          <w:sz w:val="32"/>
          <w:szCs w:val="32"/>
          <w:shd w:val="clear" w:color="auto" w:fill="FFFFFF"/>
          <w:lang w:val="zh-CN"/>
        </w:rPr>
      </w:pPr>
      <w:bookmarkStart w:id="141" w:name="_Toc25138"/>
      <w:r>
        <w:rPr>
          <w:rFonts w:eastAsia="黑体"/>
          <w:kern w:val="0"/>
          <w:sz w:val="32"/>
          <w:szCs w:val="32"/>
          <w:shd w:val="clear" w:color="auto" w:fill="FFFFFF"/>
        </w:rPr>
        <w:t>一、</w:t>
      </w:r>
      <w:r>
        <w:rPr>
          <w:rFonts w:eastAsia="黑体"/>
          <w:kern w:val="0"/>
          <w:sz w:val="32"/>
          <w:szCs w:val="32"/>
          <w:shd w:val="clear" w:color="auto" w:fill="FFFFFF"/>
          <w:lang w:val="zh-CN"/>
        </w:rPr>
        <w:t>部门（单位）概况</w:t>
      </w:r>
      <w:bookmarkEnd w:id="141"/>
    </w:p>
    <w:p>
      <w:pPr>
        <w:widowControl/>
        <w:spacing w:line="578" w:lineRule="exact"/>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（一）机构组成。</w:t>
      </w:r>
    </w:p>
    <w:p>
      <w:pPr>
        <w:widowControl/>
        <w:spacing w:line="578" w:lineRule="exact"/>
        <w:ind w:firstLineChars="200" w:firstLine="640"/>
        <w:rPr>
          <w:rFonts w:eastAsia="仿宋_GB2312"/>
          <w:kern w:val="0"/>
          <w:sz w:val="32"/>
          <w:szCs w:val="32"/>
          <w:shd w:val="clear" w:color="auto" w:fill="FFFFFF"/>
          <w:lang w:val="zh-CN"/>
        </w:rPr>
      </w:pPr>
      <w:r>
        <w:rPr>
          <w:rFonts w:eastAsia="仿宋_GB2312"/>
          <w:sz w:val="32"/>
          <w:szCs w:val="32"/>
        </w:rPr>
        <w:t>市医疗保障事务中心为参照公务员管理的事业单位，内设10个科室，分别为：办公室、基金财务科、</w:t>
      </w:r>
      <w:r>
        <w:rPr>
          <w:rFonts w:eastAsia="仿宋_GB2312"/>
          <w:kern w:val="0"/>
          <w:sz w:val="32"/>
          <w:szCs w:val="32"/>
        </w:rPr>
        <w:t>参保登记科、风险防控科</w:t>
      </w:r>
      <w:r>
        <w:rPr>
          <w:rFonts w:eastAsia="仿宋_GB2312"/>
          <w:sz w:val="32"/>
          <w:szCs w:val="32"/>
        </w:rPr>
        <w:t>、稽核科、医药服务科、费用审核结算科、综合业务科、异地就医科和档案科。</w:t>
      </w:r>
    </w:p>
    <w:p>
      <w:pPr>
        <w:widowControl/>
        <w:numPr>
          <w:ilvl w:val="0"/>
          <w:numId w:val="3"/>
        </w:numPr>
        <w:adjustRightInd w:val="0"/>
        <w:snapToGrid w:val="0"/>
        <w:spacing w:line="578" w:lineRule="exact"/>
        <w:ind w:left="0" w:firstLineChars="200" w:firstLine="640"/>
        <w:contextualSpacing/>
        <w:rPr>
          <w:rFonts w:eastAsia="仿宋_GB2312"/>
          <w:kern w:val="0"/>
          <w:sz w:val="32"/>
          <w:szCs w:val="32"/>
          <w:shd w:val="clear" w:color="auto" w:fill="FFFFFF"/>
          <w:lang w:val="zh-CN"/>
        </w:rPr>
      </w:pPr>
      <w:r>
        <w:rPr>
          <w:rFonts w:eastAsia="仿宋_GB2312"/>
          <w:kern w:val="0"/>
          <w:sz w:val="32"/>
          <w:szCs w:val="32"/>
          <w:shd w:val="clear" w:color="auto" w:fill="FFFFFF"/>
          <w:lang w:val="zh-CN"/>
        </w:rPr>
        <w:t>机构职能。</w:t>
      </w:r>
    </w:p>
    <w:p>
      <w:pPr>
        <w:widowControl/>
        <w:adjustRightInd w:val="0"/>
        <w:snapToGrid w:val="0"/>
        <w:spacing w:line="578" w:lineRule="exact"/>
        <w:ind w:firstLineChars="200" w:firstLine="640"/>
        <w:contextualSpacing/>
        <w:rPr>
          <w:rFonts w:eastAsia="仿宋_GB2312"/>
          <w:kern w:val="0"/>
          <w:sz w:val="32"/>
          <w:szCs w:val="32"/>
          <w:shd w:val="clear" w:color="auto" w:fill="FFFFFF"/>
          <w:lang w:val="zh-CN"/>
        </w:rPr>
      </w:pPr>
      <w:r>
        <w:rPr>
          <w:rFonts w:eastAsia="仿宋_GB2312"/>
          <w:sz w:val="32"/>
          <w:szCs w:val="32"/>
        </w:rPr>
        <w:t>负责城镇职工基本医疗保险、城乡居民基本医疗保险、生育保险、医疗救助以及药品、医用耗材招采具体经办业务，制定、完善业务经办管理规程。负责对定点医药机构执行政策规定和为参保人员提供医疗服务进行指导和检查。承担全市疾病应急救助基金支付审核。承担离休干部、六级以上革命伤残军人（警察）、建国初期参加工作退休干部及其他医疗照顾人员医药费用审核报销的具体业务工作。参与医疗保障业务经办信息系统建设。</w:t>
      </w:r>
    </w:p>
    <w:p>
      <w:pPr>
        <w:widowControl/>
        <w:numPr>
          <w:ilvl w:val="0"/>
          <w:numId w:val="3"/>
        </w:numPr>
        <w:adjustRightInd w:val="0"/>
        <w:snapToGrid w:val="0"/>
        <w:spacing w:line="578" w:lineRule="exact"/>
        <w:ind w:left="0"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人员概况。</w:t>
      </w:r>
    </w:p>
    <w:p>
      <w:pPr>
        <w:spacing w:line="578" w:lineRule="exact"/>
        <w:ind w:firstLineChars="200" w:firstLine="640"/>
        <w:rPr>
          <w:sz w:val="32"/>
          <w:szCs w:val="32"/>
          <w:lang w:val="zh-CN"/>
        </w:rPr>
      </w:pPr>
      <w:r>
        <w:rPr>
          <w:rFonts w:eastAsia="仿宋_GB2312"/>
          <w:sz w:val="32"/>
          <w:szCs w:val="32"/>
        </w:rPr>
        <w:t>攀枝花市医疗保障事务中心（以下简称“市医保中心”）执行政府会计准则制度，单位基本性质为参照公务员制度管理的公益一类事业单位。截至2021年12月31日，独立编制机构数1个，编制人数45人，年末实有人数43人。</w:t>
      </w:r>
    </w:p>
    <w:p>
      <w:pPr>
        <w:widowControl/>
        <w:adjustRightInd w:val="0"/>
        <w:snapToGrid w:val="0"/>
        <w:spacing w:line="578" w:lineRule="exact"/>
        <w:ind w:firstLineChars="200" w:firstLine="640"/>
        <w:contextualSpacing/>
        <w:jc w:val="left"/>
        <w:rPr>
          <w:rFonts w:eastAsia="黑体"/>
          <w:kern w:val="0"/>
          <w:sz w:val="32"/>
          <w:szCs w:val="32"/>
          <w:shd w:val="clear" w:color="auto" w:fill="FFFFFF"/>
        </w:rPr>
      </w:pPr>
      <w:bookmarkStart w:id="142" w:name="_Toc2070"/>
      <w:r>
        <w:rPr>
          <w:rFonts w:eastAsia="黑体"/>
          <w:kern w:val="0"/>
          <w:sz w:val="32"/>
          <w:szCs w:val="32"/>
          <w:shd w:val="clear" w:color="auto" w:fill="FFFFFF"/>
        </w:rPr>
        <w:t>二、部门财政资金收支情况</w:t>
      </w:r>
      <w:bookmarkEnd w:id="142"/>
    </w:p>
    <w:p>
      <w:pPr>
        <w:pStyle w:val="18"/>
        <w:spacing w:line="578" w:lineRule="exact"/>
        <w:ind w:firstLineChars="200" w:firstLine="640"/>
        <w:rPr>
          <w:rFonts w:ascii="Times New Roman" w:eastAsia="仿宋_GB2312" w:hAnsi="Times New Roman"/>
          <w:kern w:val="0"/>
          <w:szCs w:val="32"/>
          <w:shd w:val="clear" w:color="auto" w:fill="FFFFFF"/>
          <w:lang w:val="zh-CN"/>
        </w:rPr>
      </w:pPr>
      <w:r>
        <w:rPr>
          <w:rFonts w:ascii="Times New Roman" w:eastAsia="仿宋_GB2312" w:hAnsi="Times New Roman"/>
          <w:kern w:val="0"/>
          <w:szCs w:val="32"/>
          <w:shd w:val="clear" w:color="auto" w:fill="FFFFFF"/>
          <w:lang w:val="zh-CN"/>
        </w:rPr>
        <w:t>（一）部门财政资金收入情况。</w:t>
      </w:r>
    </w:p>
    <w:p>
      <w:pPr>
        <w:pStyle w:val="18"/>
        <w:spacing w:line="578" w:lineRule="exact"/>
        <w:ind w:firstLineChars="200" w:firstLine="640"/>
        <w:rPr>
          <w:rFonts w:ascii="Times New Roman" w:eastAsia="仿宋_GB2312" w:hAnsi="Times New Roman"/>
          <w:kern w:val="0"/>
          <w:szCs w:val="32"/>
          <w:shd w:val="clear" w:color="auto" w:fill="FFFFFF"/>
          <w:lang w:val="zh-CN"/>
        </w:rPr>
      </w:pPr>
      <w:r>
        <w:rPr>
          <w:rFonts w:ascii="Times New Roman" w:eastAsia="仿宋_GB2312" w:hAnsi="Times New Roman"/>
          <w:szCs w:val="32"/>
        </w:rPr>
        <w:t>2021年，医保中心一般公共预算财政拨款收入1159.56万元。</w:t>
      </w:r>
    </w:p>
    <w:p>
      <w:pPr>
        <w:widowControl/>
        <w:numPr>
          <w:ilvl w:val="0"/>
          <w:numId w:val="4"/>
        </w:numPr>
        <w:adjustRightInd w:val="0"/>
        <w:snapToGrid w:val="0"/>
        <w:spacing w:line="578" w:lineRule="exact"/>
        <w:ind w:left="-1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部门财政资金支出情况。</w:t>
      </w:r>
    </w:p>
    <w:p>
      <w:pPr>
        <w:widowControl/>
        <w:adjustRightInd w:val="0"/>
        <w:snapToGrid w:val="0"/>
        <w:spacing w:line="578" w:lineRule="exact"/>
        <w:ind w:firstLineChars="200" w:firstLine="640"/>
        <w:contextualSpacing/>
        <w:jc w:val="left"/>
        <w:rPr>
          <w:rFonts w:eastAsia="仿宋_GB2312"/>
          <w:kern w:val="0"/>
          <w:sz w:val="32"/>
          <w:szCs w:val="32"/>
          <w:shd w:val="clear" w:color="auto" w:fill="FFFFFF"/>
          <w:lang w:val="zh-CN"/>
        </w:rPr>
      </w:pPr>
      <w:r>
        <w:rPr>
          <w:rFonts w:eastAsia="仿宋_GB2312"/>
          <w:sz w:val="32"/>
          <w:szCs w:val="32"/>
        </w:rPr>
        <w:t>2021年，财政拨款支出1159.56万元，其中一般公共服务支出1.2万元，社会保障和就业支出111.25万元，卫生健康支出985.52万元，住房保障支出61.58万元。</w:t>
      </w:r>
    </w:p>
    <w:p>
      <w:pPr>
        <w:widowControl/>
        <w:adjustRightInd w:val="0"/>
        <w:snapToGrid w:val="0"/>
        <w:spacing w:line="578"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8" w:lineRule="exact"/>
        <w:ind w:firstLineChars="200" w:firstLine="640"/>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t>（一）部门预算项目绩效管理。</w:t>
      </w:r>
    </w:p>
    <w:p>
      <w:pPr>
        <w:spacing w:line="578" w:lineRule="exact"/>
        <w:ind w:firstLineChars="200" w:firstLine="640"/>
        <w:rPr>
          <w:rFonts w:eastAsia="仿宋_GB2312"/>
          <w:sz w:val="32"/>
          <w:szCs w:val="32"/>
        </w:rPr>
      </w:pPr>
      <w:r>
        <w:rPr>
          <w:rFonts w:eastAsia="仿宋_GB2312"/>
          <w:sz w:val="32"/>
          <w:szCs w:val="32"/>
        </w:rPr>
        <w:t>1、基本支出安排及使用情况。</w:t>
      </w:r>
    </w:p>
    <w:p>
      <w:pPr>
        <w:spacing w:line="578" w:lineRule="exact"/>
        <w:ind w:firstLineChars="200" w:firstLine="640"/>
        <w:rPr>
          <w:rFonts w:eastAsia="仿宋_GB2312"/>
          <w:sz w:val="32"/>
          <w:szCs w:val="32"/>
        </w:rPr>
      </w:pPr>
      <w:r>
        <w:rPr>
          <w:rFonts w:eastAsia="仿宋_GB2312"/>
          <w:sz w:val="32"/>
          <w:szCs w:val="32"/>
        </w:rPr>
        <w:t>2021年，财政年初部门基本支出预算批复数808.85万元。其中工资福利支出644.84万元，日常公用支出99.71万元，对个人和家庭的补助支出24.30万元。主要用于机关事业人员的工资、社会保险、住房公积金、机关养老保险、日常公用经费及行政事业单位离退休费等支出。</w:t>
      </w:r>
    </w:p>
    <w:p>
      <w:pPr>
        <w:spacing w:line="578" w:lineRule="exact"/>
        <w:ind w:firstLineChars="200" w:firstLine="640"/>
        <w:rPr>
          <w:rFonts w:eastAsia="仿宋_GB2312"/>
          <w:sz w:val="32"/>
          <w:szCs w:val="32"/>
        </w:rPr>
      </w:pPr>
      <w:r>
        <w:rPr>
          <w:rFonts w:eastAsia="仿宋_GB2312"/>
          <w:sz w:val="32"/>
          <w:szCs w:val="32"/>
        </w:rPr>
        <w:t>2、部门预算项目安排及支出情况。</w:t>
      </w:r>
    </w:p>
    <w:p>
      <w:pPr>
        <w:spacing w:line="578" w:lineRule="exact"/>
        <w:ind w:firstLineChars="200" w:firstLine="640"/>
        <w:rPr>
          <w:rFonts w:eastAsia="仿宋_GB2312"/>
          <w:sz w:val="32"/>
          <w:szCs w:val="32"/>
        </w:rPr>
      </w:pPr>
      <w:r>
        <w:rPr>
          <w:rFonts w:eastAsia="仿宋_GB2312"/>
          <w:sz w:val="32"/>
          <w:szCs w:val="32"/>
        </w:rPr>
        <w:t>2021年，财政年初部门项目支出预算批复数40万元。</w:t>
      </w:r>
    </w:p>
    <w:p>
      <w:pPr>
        <w:spacing w:line="578" w:lineRule="exact"/>
        <w:ind w:firstLineChars="200" w:firstLine="640"/>
        <w:rPr>
          <w:rFonts w:eastAsia="楷体_GB2312"/>
          <w:sz w:val="32"/>
          <w:szCs w:val="32"/>
        </w:rPr>
      </w:pPr>
      <w:r>
        <w:rPr>
          <w:rFonts w:eastAsia="楷体_GB2312"/>
          <w:sz w:val="32"/>
          <w:szCs w:val="32"/>
        </w:rPr>
        <w:t>3、追加预算安排及支出情况。</w:t>
      </w:r>
    </w:p>
    <w:p>
      <w:pPr>
        <w:spacing w:line="578" w:lineRule="exact"/>
        <w:ind w:firstLineChars="200" w:firstLine="640"/>
        <w:rPr>
          <w:rFonts w:eastAsia="仿宋_GB2312"/>
          <w:sz w:val="32"/>
          <w:szCs w:val="32"/>
        </w:rPr>
      </w:pPr>
      <w:r>
        <w:rPr>
          <w:rFonts w:eastAsia="仿宋_GB2312"/>
          <w:sz w:val="32"/>
          <w:szCs w:val="32"/>
        </w:rPr>
        <w:t>2021年，财政年初部门预算批复数848.85万元，当年追加项目预算225.37万元。其中收入征管成本（追加工作经费）195.11万元，省级专项拨款30.26万元。</w:t>
      </w:r>
    </w:p>
    <w:p>
      <w:pPr>
        <w:spacing w:line="578" w:lineRule="exact"/>
        <w:ind w:firstLineChars="200" w:firstLine="640"/>
        <w:rPr>
          <w:rFonts w:eastAsia="楷体_GB2312"/>
          <w:sz w:val="32"/>
          <w:szCs w:val="32"/>
        </w:rPr>
      </w:pPr>
      <w:r>
        <w:rPr>
          <w:rFonts w:eastAsia="楷体_GB2312"/>
          <w:sz w:val="32"/>
          <w:szCs w:val="32"/>
        </w:rPr>
        <w:t>4、专项资金安排及支出情况。</w:t>
      </w:r>
    </w:p>
    <w:p>
      <w:pPr>
        <w:spacing w:line="578" w:lineRule="exact"/>
        <w:ind w:firstLineChars="200" w:firstLine="640"/>
        <w:rPr>
          <w:rFonts w:eastAsia="仿宋_GB2312"/>
          <w:sz w:val="32"/>
          <w:szCs w:val="32"/>
        </w:rPr>
      </w:pPr>
      <w:r>
        <w:rPr>
          <w:rFonts w:eastAsia="仿宋_GB2312"/>
          <w:sz w:val="32"/>
          <w:szCs w:val="32"/>
        </w:rPr>
        <w:t>2021年，财政安排项目资金265.37万元（其中“业务运行费”20万元，“启用国家医保2020版疾病诊断编码项目”20万元，收入征管成本（追加工作经费）195.11万元，省级专项拨款30.26万元。</w:t>
      </w:r>
    </w:p>
    <w:p>
      <w:pPr>
        <w:spacing w:line="578" w:lineRule="exact"/>
        <w:ind w:firstLineChars="200" w:firstLine="640"/>
        <w:rPr>
          <w:rFonts w:eastAsia="仿宋_GB2312"/>
          <w:sz w:val="32"/>
          <w:szCs w:val="32"/>
        </w:rPr>
      </w:pPr>
      <w:r>
        <w:rPr>
          <w:rFonts w:eastAsia="仿宋_GB2312"/>
          <w:sz w:val="32"/>
          <w:szCs w:val="32"/>
        </w:rPr>
        <w:t>项目支出266.57万元，占总支出的22.99%，较上年增加53.57万元。项目支出构成：“业务运行费”支出20万元；“启用国家医保2020版疾病诊断编码项目”支出20万元，；收入征管成本补助资金支出195.11万元；中央财政医疗服务与保障能力提升补助资金支出20万元；社保公共服务能力提升支出10.26万元。驻村干部工作经费1.2万元。</w:t>
      </w:r>
    </w:p>
    <w:p>
      <w:pPr>
        <w:spacing w:line="578" w:lineRule="exact"/>
        <w:ind w:firstLineChars="200" w:firstLine="640"/>
        <w:rPr>
          <w:rFonts w:eastAsia="楷体_GB2312"/>
          <w:sz w:val="32"/>
          <w:szCs w:val="32"/>
        </w:rPr>
      </w:pPr>
      <w:r>
        <w:rPr>
          <w:rFonts w:eastAsia="楷体_GB2312"/>
          <w:sz w:val="32"/>
          <w:szCs w:val="32"/>
        </w:rPr>
        <w:t>5、其他资金收支及结转结余使用情况。</w:t>
      </w:r>
    </w:p>
    <w:p>
      <w:pPr>
        <w:spacing w:line="578" w:lineRule="exact"/>
        <w:ind w:firstLineChars="200" w:firstLine="640"/>
        <w:rPr>
          <w:rFonts w:eastAsia="仿宋_GB2312"/>
          <w:sz w:val="32"/>
          <w:szCs w:val="32"/>
        </w:rPr>
      </w:pPr>
      <w:r>
        <w:rPr>
          <w:rFonts w:eastAsia="仿宋_GB2312"/>
          <w:sz w:val="32"/>
          <w:szCs w:val="32"/>
        </w:rPr>
        <w:t>2021年，其他资金收入为利息收入0.03万元，均已年末上缴财政预算内存款账户。本年度未有结转结余资金。</w:t>
      </w:r>
    </w:p>
    <w:p>
      <w:pPr>
        <w:spacing w:line="578" w:lineRule="exact"/>
        <w:ind w:firstLineChars="200" w:firstLine="640"/>
        <w:rPr>
          <w:rFonts w:eastAsia="黑体"/>
          <w:sz w:val="32"/>
          <w:szCs w:val="32"/>
        </w:rPr>
      </w:pPr>
      <w:r>
        <w:rPr>
          <w:rFonts w:eastAsia="黑体"/>
          <w:sz w:val="32"/>
          <w:szCs w:val="32"/>
        </w:rPr>
        <w:t>（二）绩效目标完成情况分析</w:t>
      </w:r>
    </w:p>
    <w:p>
      <w:pPr>
        <w:spacing w:line="578" w:lineRule="exact"/>
        <w:ind w:firstLineChars="200" w:firstLine="640"/>
        <w:rPr>
          <w:rFonts w:eastAsia="楷体_GB2312"/>
          <w:sz w:val="32"/>
          <w:szCs w:val="32"/>
        </w:rPr>
      </w:pPr>
      <w:r>
        <w:rPr>
          <w:rFonts w:eastAsia="楷体_GB2312"/>
          <w:sz w:val="32"/>
          <w:szCs w:val="32"/>
        </w:rPr>
        <w:t>1、市级财政资金绩效目标完成情况。</w:t>
      </w:r>
    </w:p>
    <w:p>
      <w:pPr>
        <w:spacing w:line="578" w:lineRule="exact"/>
        <w:ind w:firstLineChars="200" w:firstLine="640"/>
        <w:rPr>
          <w:rFonts w:eastAsia="仿宋_GB2312"/>
          <w:sz w:val="32"/>
          <w:szCs w:val="32"/>
        </w:rPr>
      </w:pPr>
      <w:r>
        <w:rPr>
          <w:rFonts w:eastAsia="仿宋_GB2312"/>
          <w:sz w:val="32"/>
          <w:szCs w:val="32"/>
        </w:rPr>
        <w:t>（1）年初部门预算绩效目标完成情况。</w:t>
      </w:r>
    </w:p>
    <w:p>
      <w:pPr>
        <w:spacing w:line="578" w:lineRule="exact"/>
        <w:ind w:firstLineChars="200" w:firstLine="640"/>
        <w:rPr>
          <w:rFonts w:eastAsia="仿宋_GB2312"/>
          <w:sz w:val="32"/>
          <w:szCs w:val="32"/>
        </w:rPr>
      </w:pPr>
      <w:r>
        <w:rPr>
          <w:rFonts w:eastAsia="仿宋_GB2312"/>
          <w:sz w:val="32"/>
          <w:szCs w:val="32"/>
        </w:rPr>
        <w:t>市医保中心全年预算主要用于保障正常运转、完成日常工作任务以及承担全市医保事业发展相关工作。2021年预算整体绩效目标全年数1159.56万元，实际完成数1159.56万元，执行率100%。</w:t>
      </w:r>
    </w:p>
    <w:p>
      <w:pPr>
        <w:spacing w:line="578" w:lineRule="exact"/>
        <w:ind w:firstLineChars="200" w:firstLine="640"/>
        <w:rPr>
          <w:rFonts w:eastAsia="仿宋_GB2312"/>
          <w:bCs/>
          <w:sz w:val="32"/>
          <w:szCs w:val="32"/>
        </w:rPr>
      </w:pPr>
      <w:r>
        <w:rPr>
          <w:rFonts w:eastAsia="仿宋_GB2312"/>
          <w:bCs/>
          <w:sz w:val="32"/>
          <w:szCs w:val="32"/>
        </w:rPr>
        <w:t>巩固拓展医保脱贫攻坚成果</w:t>
      </w:r>
      <w:r>
        <w:rPr>
          <w:rFonts w:eastAsia="仿宋_GB2312"/>
          <w:b/>
          <w:bCs/>
          <w:sz w:val="32"/>
          <w:szCs w:val="32"/>
        </w:rPr>
        <w:t>。</w:t>
      </w:r>
      <w:r>
        <w:rPr>
          <w:rFonts w:eastAsia="仿宋_GB2312"/>
          <w:sz w:val="32"/>
          <w:szCs w:val="32"/>
        </w:rPr>
        <w:t>在落实分类资助参保政策方面，中心做好为4.5517 万名贫困人口代缴基本医疗保险个人缴费和农村地区灵活就业人员参加</w:t>
      </w:r>
      <w:r>
        <w:rPr>
          <w:rFonts w:eastAsia="仿宋_GB2312"/>
          <w:kern w:val="0"/>
          <w:sz w:val="32"/>
          <w:szCs w:val="32"/>
        </w:rPr>
        <w:t>职工医保等工作。</w:t>
      </w:r>
      <w:r>
        <w:rPr>
          <w:rFonts w:eastAsia="仿宋_GB2312"/>
          <w:sz w:val="32"/>
          <w:szCs w:val="32"/>
        </w:rPr>
        <w:t>加强参保数据比对和动态维护，切实防止“漏保”“断保”现象。2021年度全额资助建档立卡贫困人口、重点困难人员、重度残疾人参保共计7.88万人，参保率达到100%。其中残联资助1.8万人参加城乡居民医保，金额638.82万元。医疗救助资金资助特困对象和低保对象参保1.48万人，金额506.9万元。扶贫资助4.6万人参保，其中按一档资助或一档50%资助金额1366.52万元。</w:t>
      </w:r>
    </w:p>
    <w:p>
      <w:pPr>
        <w:spacing w:line="578" w:lineRule="exact"/>
        <w:ind w:firstLineChars="200" w:firstLine="640"/>
        <w:rPr>
          <w:rFonts w:eastAsia="仿宋_GB2312"/>
          <w:sz w:val="32"/>
          <w:szCs w:val="32"/>
        </w:rPr>
      </w:pPr>
      <w:r>
        <w:rPr>
          <w:rFonts w:eastAsia="仿宋_GB2312"/>
          <w:sz w:val="32"/>
          <w:szCs w:val="32"/>
        </w:rPr>
        <w:t>巩固已有医保改革成果，不断从经办服务层面充实医保惠民内涵，提高群众的满意度、获得感、幸福感。2019年底出台全市医疗保险转移接续新政，对参保人员在外地的实际缴费年限和国家省市认可的工龄，我市均予以认可，最大程度维护参保人权益。</w:t>
      </w:r>
    </w:p>
    <w:p>
      <w:pPr>
        <w:spacing w:line="578" w:lineRule="exact"/>
        <w:ind w:firstLineChars="200" w:firstLine="640"/>
        <w:rPr>
          <w:rFonts w:eastAsia="仿宋_GB2312"/>
          <w:sz w:val="32"/>
          <w:szCs w:val="32"/>
        </w:rPr>
      </w:pPr>
      <w:r>
        <w:rPr>
          <w:rFonts w:eastAsia="仿宋_GB2312"/>
          <w:bCs/>
          <w:kern w:val="0"/>
          <w:sz w:val="32"/>
          <w:szCs w:val="32"/>
        </w:rPr>
        <w:t>成功上线</w:t>
      </w:r>
      <w:r>
        <w:rPr>
          <w:rFonts w:eastAsia="仿宋_GB2312"/>
          <w:bCs/>
          <w:sz w:val="32"/>
          <w:szCs w:val="32"/>
        </w:rPr>
        <w:t>全省</w:t>
      </w:r>
      <w:r>
        <w:rPr>
          <w:rFonts w:eastAsia="仿宋_GB2312"/>
          <w:bCs/>
          <w:kern w:val="0"/>
          <w:sz w:val="32"/>
          <w:szCs w:val="32"/>
        </w:rPr>
        <w:t>医疗保障一体化大数据平台</w:t>
      </w:r>
      <w:r>
        <w:rPr>
          <w:rFonts w:eastAsia="仿宋_GB2312"/>
          <w:sz w:val="32"/>
          <w:szCs w:val="32"/>
        </w:rPr>
        <w:t>。2021年10月28日成功上线同步上线全省医疗保障一体化大数据平台、全省财务业务一体化子系统，全市6家医保经办机构、184家定点医疗机构、474家定点药店均同步接入，成为四川省第12个上线运行的城市，标志着攀枝花智慧医保建设迎来新的里程碑，正式融入全国医保“一张网”。</w:t>
      </w:r>
    </w:p>
    <w:p>
      <w:pPr>
        <w:spacing w:line="578" w:lineRule="exact"/>
        <w:ind w:firstLineChars="200" w:firstLine="640"/>
        <w:rPr>
          <w:rFonts w:eastAsia="仿宋_GB2312"/>
          <w:sz w:val="32"/>
          <w:szCs w:val="32"/>
        </w:rPr>
      </w:pPr>
      <w:r>
        <w:rPr>
          <w:rFonts w:eastAsia="仿宋_GB2312"/>
          <w:kern w:val="0"/>
          <w:sz w:val="32"/>
          <w:szCs w:val="32"/>
        </w:rPr>
        <w:t>扎实推进</w:t>
      </w:r>
      <w:r>
        <w:rPr>
          <w:rFonts w:eastAsia="仿宋_GB2312"/>
          <w:sz w:val="32"/>
          <w:szCs w:val="32"/>
        </w:rPr>
        <w:t>攀枝花市医疗保障集成式监管体系建设，持续深入开展打击欺诈骗保专项行动，坚持日常巡查、专项检查、重点检查、飞行检查相结合，</w:t>
      </w:r>
      <w:r>
        <w:rPr>
          <w:rFonts w:eastAsia="仿宋_GB2312"/>
          <w:kern w:val="0"/>
          <w:sz w:val="32"/>
          <w:szCs w:val="32"/>
        </w:rPr>
        <w:t>不断织密扎牢医保基金监管制度笼子。</w:t>
      </w:r>
      <w:r>
        <w:rPr>
          <w:rFonts w:eastAsia="仿宋_GB2312"/>
          <w:sz w:val="32"/>
          <w:szCs w:val="32"/>
        </w:rPr>
        <w:t>对定点医药机构全覆盖检查，对重点领域、关键环节、举报投诉多的重点检查、频繁检查，对造成严重损失、产生恶劣影响的案件，坚决公开曝光，形成强有力的震慑。2021年，以DRG付费方式为依托，综合施策，分类治理，集中开展“两定”机构不合理住院、虚构医疗服务、违规收费、不合理诊疗、高套病例，进销存管理、及其他履行服务协议情况等问题专项治理，完成对市本级定点医药机构全覆盖检查，共筛查数据30万余条，抽查病例1500余份，核查门诊就诊人次1000余人次，回访住院病人200人次，约谈及限期整改定点医疗机构25家次。全面完成“清零行动”，开展“回头看”专项检查、大病补充医疗保险专项检查和“三假”专项整治，追回违规医保基金334.09万元。配合省医保局飞行检查、省医保局第三方检查及市审计局审计，追回违规医保基金175.03万元。</w:t>
      </w:r>
    </w:p>
    <w:p>
      <w:pPr>
        <w:autoSpaceDE w:val="0"/>
        <w:autoSpaceDN w:val="0"/>
        <w:adjustRightInd w:val="0"/>
        <w:spacing w:line="578" w:lineRule="exact"/>
        <w:ind w:firstLineChars="200" w:firstLine="640"/>
        <w:rPr>
          <w:rFonts w:eastAsia="仿宋_GB2312"/>
          <w:sz w:val="32"/>
          <w:szCs w:val="32"/>
        </w:rPr>
      </w:pPr>
      <w:r>
        <w:rPr>
          <w:rFonts w:eastAsia="仿宋_GB2312"/>
          <w:sz w:val="32"/>
          <w:szCs w:val="32"/>
        </w:rPr>
        <w:t>为进一步促进我市康养产业和区域医疗高地建设，印发《攀枝花市安宁疗护服务按床日付费结算实施细则》，开展安宁疗护服务按床日付费纳入DRG管理；根据《攀枝花市定点医疗机构高精尖医疗技术纳入DRG付费管理试行办法》，调整52个高精尖医疗技术病组调节系数；按照《攀枝花市医疗保障局关于市中心医院新增开展精索静脉曲张等日间手术纳入DRG付费管理的批复》，再扩展10个日间手术病种纳入DRG管理。完成2020年度的DRG付费年终清算工作，全市74家医疗机构，213189例住院病例，147373.82万元住院医疗总费用纳入DRG付费，支付医疗机构统筹基金95400万元，并实现了市内住院统筹基金当期结余由“负”到“正”的转变。同时，按照国家试点工作要求，制定出CHS-DRG（1.1版）本地细分组方案和付费标准，并在国家医疗保障局对我市的疾病诊断相关分组（CHS-DRG）付费国家试点交叉调研评估工作中获得全优的好评。</w:t>
      </w:r>
    </w:p>
    <w:p>
      <w:pPr>
        <w:spacing w:line="578" w:lineRule="exact"/>
        <w:ind w:firstLineChars="200" w:firstLine="640"/>
        <w:rPr>
          <w:rFonts w:eastAsia="仿宋_GB2312"/>
          <w:sz w:val="32"/>
          <w:szCs w:val="32"/>
        </w:rPr>
      </w:pPr>
      <w:r>
        <w:rPr>
          <w:rFonts w:eastAsia="仿宋_GB2312"/>
          <w:sz w:val="32"/>
          <w:szCs w:val="32"/>
        </w:rPr>
        <w:t>（2）市级专项（项目）资金绩效目标完成情况。</w:t>
      </w:r>
    </w:p>
    <w:p>
      <w:pPr>
        <w:spacing w:line="578" w:lineRule="exact"/>
        <w:ind w:firstLineChars="200" w:firstLine="640"/>
        <w:rPr>
          <w:rFonts w:eastAsia="仿宋_GB2312"/>
          <w:sz w:val="32"/>
          <w:szCs w:val="32"/>
        </w:rPr>
      </w:pPr>
      <w:r>
        <w:rPr>
          <w:rFonts w:eastAsia="仿宋_GB2312"/>
          <w:sz w:val="32"/>
          <w:szCs w:val="32"/>
        </w:rPr>
        <w:t>市级专项资金为“启用国家医保2020版疾病诊断编码项目”专项资金，2021年该项目资金实现专款专用，全年预算数20万元，完成预算的100%。</w:t>
      </w:r>
    </w:p>
    <w:p>
      <w:pPr>
        <w:spacing w:line="578" w:lineRule="exact"/>
        <w:ind w:firstLineChars="200" w:firstLine="640"/>
        <w:rPr>
          <w:rFonts w:eastAsia="仿宋_GB2312"/>
          <w:sz w:val="32"/>
          <w:szCs w:val="32"/>
        </w:rPr>
      </w:pPr>
      <w:r>
        <w:rPr>
          <w:rFonts w:eastAsia="仿宋_GB2312"/>
          <w:sz w:val="32"/>
          <w:szCs w:val="32"/>
        </w:rPr>
        <w:t>为深入贯彻落实国家医疗保障局《关于印发国家医疗保障标准化工作指导意见的通知》（医保发〔2019〕39号）精神，根据四川省医疗保障局《关于开展医疗保障信息业务编码相关工作的通知》（川医保办发〔2019〕36号）要求，开展信息业务编码相关工作。通过向第三方项目公司购买服务，对现行我市疾病诊断编码进行映射，转化为国家医保2020版疾病诊断编码使用。</w:t>
      </w:r>
    </w:p>
    <w:p>
      <w:pPr>
        <w:spacing w:line="578" w:lineRule="exact"/>
        <w:ind w:firstLineChars="200" w:firstLine="640"/>
        <w:rPr>
          <w:rFonts w:eastAsia="仿宋_GB2312"/>
          <w:sz w:val="32"/>
          <w:szCs w:val="32"/>
        </w:rPr>
      </w:pPr>
      <w:r>
        <w:rPr>
          <w:rFonts w:eastAsia="仿宋_GB2312"/>
          <w:sz w:val="32"/>
          <w:szCs w:val="32"/>
        </w:rPr>
        <w:t>主要工作开展情况：按照《攀枝花市国家医保2020版编码标准培训检查工作方案》安排，市医保事务中心联合四川省病案质量控制中心攀枝花分中心，于2021年12月16日至23日共同组织有关人员开展国家医保2020版疾病诊断编码检查，此次检查涉及按病组点数法付费的定点医疗机构共计26家，其中三级医疗机构6家，二级医疗机构12家，一级医疗机构1家，民营医疗机构7家。抽查2021年1-6月城镇职工和城乡居民医保按病组点数法付费病例病案450份。本次检查以原国家卫计生委《住院病案首页数据填写质量规范（暂行）》《住院病案首页数据质量管理与控制指标（2016版）》《四川省住院病历质量评审标准》和《攀枝花市病案首页分类评分标准（修订版）》作为评价标准，对26家医疗机构病案首页质量进行了评分，其中病案首页质量全市平均分为98.49分，26家医疗机构评分均在96分以上。此次检查按照我市基本医疗保险病组点数法付费上传电子病案数据要求，对抽查的450例病例的上传电子病案数据进行了分析，整理了各医疗机构上传的电子病案质量。</w:t>
      </w:r>
    </w:p>
    <w:p>
      <w:pPr>
        <w:spacing w:line="578" w:lineRule="exact"/>
        <w:ind w:firstLineChars="200" w:firstLine="640"/>
        <w:rPr>
          <w:rFonts w:eastAsia="楷体_GB2312"/>
          <w:sz w:val="32"/>
          <w:szCs w:val="32"/>
        </w:rPr>
      </w:pPr>
      <w:r>
        <w:rPr>
          <w:rFonts w:eastAsia="楷体_GB2312"/>
          <w:sz w:val="32"/>
          <w:szCs w:val="32"/>
        </w:rPr>
        <w:t>（3）上级专项（项目）资金绩效目标完成情况。</w:t>
      </w:r>
    </w:p>
    <w:p>
      <w:pPr>
        <w:spacing w:line="578" w:lineRule="exact"/>
        <w:ind w:firstLineChars="200" w:firstLine="640"/>
        <w:rPr>
          <w:rFonts w:eastAsia="仿宋_GB2312"/>
          <w:sz w:val="32"/>
          <w:szCs w:val="32"/>
        </w:rPr>
      </w:pPr>
      <w:r>
        <w:rPr>
          <w:rFonts w:eastAsia="仿宋_GB2312"/>
          <w:sz w:val="32"/>
          <w:szCs w:val="32"/>
        </w:rPr>
        <w:t>省级安排①2021年中央财政医疗服务与保障能力提升补助资金20万元，实际完成额20万元，执行率100%。安排②2021年社保公共服务能力提升专项资金10.26万元，实际完成额10.26万元，执行率100%。确保了以下绩效目标任务的顺利完成。</w:t>
      </w:r>
    </w:p>
    <w:p>
      <w:pPr>
        <w:spacing w:line="578" w:lineRule="exact"/>
        <w:ind w:firstLineChars="200" w:firstLine="640"/>
        <w:rPr>
          <w:rFonts w:eastAsia="仿宋_GB2312"/>
          <w:sz w:val="32"/>
          <w:szCs w:val="32"/>
        </w:rPr>
      </w:pPr>
      <w:r>
        <w:rPr>
          <w:rFonts w:eastAsia="仿宋_GB2312"/>
          <w:sz w:val="32"/>
          <w:szCs w:val="32"/>
        </w:rPr>
        <w:t>1.优化经办流程，切实提升经办服务能力。</w:t>
      </w:r>
    </w:p>
    <w:p>
      <w:pPr>
        <w:spacing w:line="578" w:lineRule="exact"/>
        <w:ind w:firstLineChars="200" w:firstLine="640"/>
        <w:rPr>
          <w:rFonts w:eastAsia="仿宋_GB2312"/>
          <w:kern w:val="0"/>
          <w:sz w:val="32"/>
          <w:szCs w:val="32"/>
        </w:rPr>
      </w:pPr>
      <w:r>
        <w:rPr>
          <w:rFonts w:eastAsia="仿宋_GB2312"/>
          <w:sz w:val="32"/>
          <w:szCs w:val="32"/>
        </w:rPr>
        <w:t>对我市参保人员外地实缴年限或国家认可的外地工作年限，我市均予以认定。进一步完善了医保关系转移接续政策规定，简化业务经办流程。参保人员办理转入手续时，只需提供《参保凭证》一项资料即可。转移接续政策的出台及经办流程的简化为我市投资兴业的康养实体提供了方便、快捷、高效的从业人员医保关系转移接续服务。2021年1-9月，办理医疗保险关系转入1259人、基金收入199.11万元。</w:t>
      </w:r>
      <w:r>
        <w:rPr>
          <w:rFonts w:eastAsia="仿宋_GB2312"/>
          <w:kern w:val="0"/>
          <w:sz w:val="32"/>
          <w:szCs w:val="32"/>
        </w:rPr>
        <w:t>完成年度异地就医扩面任务。2021年1-10月，全市新增异地就医定点医疗机构67家，定点零售药店238家。</w:t>
      </w:r>
      <w:r>
        <w:rPr>
          <w:rFonts w:eastAsia="仿宋_GB2312"/>
          <w:sz w:val="32"/>
          <w:szCs w:val="32"/>
        </w:rPr>
        <w:t>截至10月30日，全市共有124家定点医疗机构、467家定点药店接入省级平台，其中43家医院开通省内异地就医门诊特殊疾病医疗补助即时结算业务。52家医院接入国家平台，全部开通跨省住院联网结算，其中30家医院开通了跨省（含原</w:t>
      </w:r>
      <w:r>
        <w:rPr>
          <w:rFonts w:eastAsia="仿宋_GB2312"/>
          <w:kern w:val="0"/>
          <w:sz w:val="32"/>
          <w:szCs w:val="32"/>
        </w:rPr>
        <w:t>西南片区</w:t>
      </w:r>
      <w:r>
        <w:rPr>
          <w:rFonts w:eastAsia="仿宋_GB2312"/>
          <w:sz w:val="32"/>
          <w:szCs w:val="32"/>
        </w:rPr>
        <w:t>）</w:t>
      </w:r>
      <w:r>
        <w:rPr>
          <w:rFonts w:eastAsia="仿宋_GB2312"/>
          <w:kern w:val="0"/>
          <w:sz w:val="32"/>
          <w:szCs w:val="32"/>
        </w:rPr>
        <w:t>普通门诊个人账户划卡直接结算。开通170家定点零售药店跨省个人账户划卡直接结算。</w:t>
      </w:r>
    </w:p>
    <w:p>
      <w:pPr>
        <w:spacing w:line="578" w:lineRule="exact"/>
        <w:ind w:firstLineChars="200" w:firstLine="640"/>
        <w:rPr>
          <w:rFonts w:eastAsia="仿宋_GB2312"/>
          <w:kern w:val="0"/>
          <w:sz w:val="32"/>
          <w:szCs w:val="32"/>
        </w:rPr>
      </w:pPr>
      <w:r>
        <w:rPr>
          <w:rFonts w:eastAsia="仿宋_GB2312"/>
          <w:sz w:val="32"/>
          <w:szCs w:val="32"/>
        </w:rPr>
        <w:t>2.加强</w:t>
      </w:r>
      <w:r>
        <w:rPr>
          <w:rFonts w:eastAsia="仿宋_GB2312"/>
          <w:bCs/>
          <w:kern w:val="0"/>
          <w:sz w:val="32"/>
          <w:szCs w:val="32"/>
        </w:rPr>
        <w:t>医保基金管理</w:t>
      </w:r>
    </w:p>
    <w:p>
      <w:pPr>
        <w:spacing w:line="578" w:lineRule="exact"/>
        <w:ind w:firstLineChars="200" w:firstLine="640"/>
        <w:rPr>
          <w:rFonts w:eastAsia="仿宋_GB2312"/>
          <w:sz w:val="32"/>
          <w:szCs w:val="32"/>
        </w:rPr>
      </w:pPr>
      <w:r>
        <w:rPr>
          <w:rFonts w:eastAsia="仿宋_GB2312"/>
          <w:sz w:val="32"/>
          <w:szCs w:val="32"/>
        </w:rPr>
        <w:t>严格预算管理，调整优化医保基金支出结构，确保实现收支平衡。2021年1-10月，城镇职工基本医疗保险基金收入167101万元，城镇职工基本医疗保险基金支出162278万元，职工医疗本期收支期末累计结余118692万元，统筹基金累计结余的可支撑月数为2.12个月。城乡居民医疗保险基金收入48466万元，城乡居民医疗保险基金支出56812万元，全市城乡居民医保基金累计结余25739万元，统筹基金累计结余可支撑的支付月数为3.79个月。做好“医银直连”上线工作。通过搭建市医疗保障事务中心综柜制业务系统与各支出户银行直联模式的医银平台，实现单笔、批量数据处理，市本级基金财务已实现全险种、全业务的“医银直联”，真正实现了基金应拨尽拨和“数据网上走，资金银行流”，有效防范医保基金收支平衡。</w:t>
      </w:r>
    </w:p>
    <w:p>
      <w:pPr>
        <w:spacing w:line="578" w:lineRule="exact"/>
        <w:ind w:firstLineChars="200" w:firstLine="640"/>
        <w:rPr>
          <w:rFonts w:eastAsia="仿宋_GB2312"/>
          <w:sz w:val="32"/>
          <w:szCs w:val="32"/>
        </w:rPr>
      </w:pPr>
      <w:r>
        <w:rPr>
          <w:rFonts w:eastAsia="仿宋_GB2312"/>
          <w:sz w:val="32"/>
          <w:szCs w:val="32"/>
        </w:rPr>
        <w:t>3.按年度异地就医扩面计划完成了扩面任务。</w:t>
      </w:r>
    </w:p>
    <w:p>
      <w:pPr>
        <w:spacing w:line="578" w:lineRule="exact"/>
        <w:ind w:firstLineChars="200" w:firstLine="640"/>
        <w:rPr>
          <w:rFonts w:eastAsia="仿宋_GB2312"/>
          <w:sz w:val="32"/>
          <w:szCs w:val="32"/>
        </w:rPr>
      </w:pPr>
      <w:r>
        <w:rPr>
          <w:rFonts w:eastAsia="仿宋_GB2312"/>
          <w:sz w:val="32"/>
          <w:szCs w:val="32"/>
        </w:rPr>
        <w:t>2021年1月至10月新开通异地就医疗机构67家，定点零售药店238家。截至10月30日，全市共有 124家定点医疗机构、467家定点药店接入省级平台。其中，73家医院开通住院联网结算业务,43家医院开通省内异地就医门诊特殊疾病医疗补助即时结算业务，124家医疗机构全部开通普通门诊联网结算业务，467家定点零售药店开通个人账户划卡直接结算。有52家医院接入国家平台，全部开通跨省住院联网结算，其中7家医院开通跨省（原西南片区）门诊慢特病联网结算，30家医院开通了跨省（含原西南片区）普通门诊个人账户划卡直接结算。开通170家定点零售药店跨省个人账户划卡直接结算。</w:t>
      </w:r>
    </w:p>
    <w:p>
      <w:pPr>
        <w:spacing w:line="578" w:lineRule="exact"/>
        <w:ind w:firstLineChars="200" w:firstLine="640"/>
        <w:rPr>
          <w:rFonts w:eastAsia="仿宋_GB2312"/>
          <w:sz w:val="32"/>
          <w:szCs w:val="32"/>
        </w:rPr>
      </w:pPr>
      <w:r>
        <w:rPr>
          <w:rFonts w:eastAsia="仿宋_GB2312"/>
          <w:sz w:val="32"/>
          <w:szCs w:val="32"/>
        </w:rPr>
        <w:t>4.加强队伍建设，提高公共服务水平。</w:t>
      </w:r>
    </w:p>
    <w:p>
      <w:pPr>
        <w:spacing w:line="578" w:lineRule="exact"/>
        <w:ind w:firstLineChars="200" w:firstLine="640"/>
        <w:rPr>
          <w:rFonts w:eastAsia="仿宋_GB2312"/>
          <w:sz w:val="32"/>
          <w:szCs w:val="32"/>
        </w:rPr>
      </w:pPr>
      <w:r>
        <w:rPr>
          <w:rFonts w:eastAsia="仿宋_GB2312"/>
          <w:sz w:val="32"/>
          <w:szCs w:val="32"/>
        </w:rPr>
        <w:t>完善线上服务渠道的功能。在确保国家医疗保障信息平台通畅的情况下，逐步完善线上服务渠道，优化上线网厅个人服务模块，开通自助服务终端，缓解前台经办压力，完善四川医保APP及微信小程序的医保公共服务功能，侧重开发手机端个人服务，为参保群众提供便捷高效的医保服务渠道。二是推进公共服务体系建设。积极探索银行及社区作为医保外延网点的可行性。将部分常见或风险性较低的业务下沉至银行网点及社区办理，实现医保参保登记业务家门口办。建立起以各级政务服务大厅为中心，辐射银行网点及社区便民服务中心的居民身边的医保实体服务网络。</w:t>
      </w:r>
    </w:p>
    <w:p>
      <w:pPr>
        <w:spacing w:line="578" w:lineRule="exact"/>
        <w:ind w:firstLineChars="200" w:firstLine="640"/>
        <w:rPr>
          <w:rFonts w:eastAsia="仿宋_GB2312"/>
          <w:kern w:val="0"/>
          <w:sz w:val="32"/>
          <w:szCs w:val="32"/>
        </w:rPr>
      </w:pPr>
      <w:r>
        <w:rPr>
          <w:rFonts w:eastAsia="仿宋_GB2312"/>
          <w:sz w:val="32"/>
          <w:szCs w:val="32"/>
        </w:rPr>
        <w:t>5.</w:t>
      </w:r>
      <w:r>
        <w:rPr>
          <w:rFonts w:eastAsia="仿宋_GB2312"/>
          <w:kern w:val="0"/>
          <w:sz w:val="32"/>
          <w:szCs w:val="32"/>
        </w:rPr>
        <w:t>持续做好支付方式改革和费用审核结算工作。</w:t>
      </w:r>
    </w:p>
    <w:p>
      <w:pPr>
        <w:spacing w:line="578" w:lineRule="exact"/>
        <w:ind w:firstLineChars="200" w:firstLine="640"/>
        <w:rPr>
          <w:rFonts w:eastAsia="仿宋_GB2312"/>
          <w:sz w:val="32"/>
          <w:szCs w:val="32"/>
        </w:rPr>
      </w:pPr>
      <w:r>
        <w:rPr>
          <w:rFonts w:eastAsia="仿宋_GB2312"/>
          <w:sz w:val="32"/>
          <w:szCs w:val="32"/>
        </w:rPr>
        <w:t>一是持续推进医保支付方式改革。启动CHS-DRG（1.1版）本地细分组方案；制定长期住院康复病例按床日付费办法；完成医保支付方式改革全国模仿城市任务。二是规范费用审核结算工作。健全病组点数法付费绩效分析评价制度；完善国家医保审核标准的智能审核规则；建立全市统一的基本医保审核稽核标准。</w:t>
      </w:r>
    </w:p>
    <w:p>
      <w:pPr>
        <w:spacing w:line="578" w:lineRule="exact"/>
        <w:ind w:firstLineChars="200" w:firstLine="640"/>
        <w:rPr>
          <w:rFonts w:eastAsia="仿宋_GB2312"/>
          <w:kern w:val="0"/>
          <w:sz w:val="32"/>
          <w:szCs w:val="32"/>
        </w:rPr>
      </w:pPr>
      <w:r>
        <w:rPr>
          <w:rFonts w:eastAsia="仿宋_GB2312"/>
          <w:sz w:val="32"/>
          <w:szCs w:val="32"/>
        </w:rPr>
        <w:t>6.</w:t>
      </w:r>
      <w:r>
        <w:rPr>
          <w:rFonts w:eastAsia="仿宋_GB2312"/>
          <w:kern w:val="0"/>
          <w:sz w:val="32"/>
          <w:szCs w:val="32"/>
        </w:rPr>
        <w:t>深入推进药械集中带量采购工作。</w:t>
      </w:r>
    </w:p>
    <w:p>
      <w:pPr>
        <w:spacing w:line="578" w:lineRule="exact"/>
        <w:ind w:firstLineChars="200" w:firstLine="640"/>
        <w:rPr>
          <w:rFonts w:eastAsia="仿宋_GB2312"/>
          <w:sz w:val="32"/>
          <w:szCs w:val="32"/>
        </w:rPr>
      </w:pPr>
      <w:r>
        <w:rPr>
          <w:rFonts w:eastAsia="仿宋_GB2312"/>
          <w:sz w:val="32"/>
          <w:szCs w:val="32"/>
        </w:rPr>
        <w:t>按照四川省人民政府办公厅关于进一步完善药品和医用耗材集中采购制度的指导意见》等文件精神，规范药品和医用耗材集中采购货款在线结算流程，确保四川省药械集中采购及医药监管平台在我市落地，组织县（区）医保经办机构、医药机构和医药企业深入学习集采政策，主动适应集采货款资金流、订单信息流、货物物流“三流合一”集中采购模式，建立集采药械的落地实施和药（械）质量监测机制，建立健全医药企业信用评价体系，及时向有关部门反馈情况，继续做好药品目录的接受、推送、维护工作。</w:t>
      </w:r>
    </w:p>
    <w:p>
      <w:pPr>
        <w:spacing w:line="578" w:lineRule="exact"/>
        <w:ind w:firstLineChars="200" w:firstLine="640"/>
        <w:rPr>
          <w:rFonts w:eastAsia="仿宋_GB2312"/>
          <w:sz w:val="32"/>
          <w:szCs w:val="32"/>
        </w:rPr>
      </w:pPr>
      <w:r>
        <w:rPr>
          <w:rFonts w:eastAsia="仿宋_GB2312"/>
          <w:kern w:val="0"/>
          <w:sz w:val="32"/>
          <w:szCs w:val="32"/>
        </w:rPr>
        <w:t>7.持续做好异地就医扩面和费用结算工作。</w:t>
      </w:r>
      <w:r>
        <w:rPr>
          <w:rFonts w:eastAsia="仿宋_GB2312"/>
          <w:sz w:val="32"/>
          <w:szCs w:val="32"/>
        </w:rPr>
        <w:t>按省医保局安排部署，进一步做好高血压、糖尿病、恶性肿瘤门诊放化疗、尿毒症透析、器官移植术后抗排异治疗等门诊慢特病的相关治疗费用跨省直接结算及城乡居民门诊统筹异地就医直接结算工作。进一步加强异地就医监管工作，确保医保基金合理安全支出。持续开展异地就医政策宣传，不断提高异地就医直接结算率。</w:t>
      </w:r>
    </w:p>
    <w:p>
      <w:pPr>
        <w:widowControl/>
        <w:adjustRightInd w:val="0"/>
        <w:snapToGrid w:val="0"/>
        <w:spacing w:line="578" w:lineRule="exact"/>
        <w:ind w:firstLineChars="200" w:firstLine="640"/>
        <w:contextualSpacing/>
        <w:jc w:val="left"/>
        <w:rPr>
          <w:rFonts w:eastAsia="黑体"/>
          <w:kern w:val="0"/>
          <w:sz w:val="32"/>
          <w:szCs w:val="32"/>
          <w:shd w:val="clear" w:color="auto" w:fill="FFFFFF"/>
        </w:rPr>
      </w:pPr>
      <w:bookmarkStart w:id="143" w:name="_Toc31583"/>
      <w:r>
        <w:rPr>
          <w:rFonts w:eastAsia="黑体"/>
          <w:kern w:val="0"/>
          <w:sz w:val="32"/>
          <w:szCs w:val="32"/>
          <w:shd w:val="clear" w:color="auto" w:fill="FFFFFF"/>
        </w:rPr>
        <w:t>四、评价结论及建议</w:t>
      </w:r>
      <w:bookmarkEnd w:id="143"/>
    </w:p>
    <w:p>
      <w:pPr>
        <w:widowControl/>
        <w:adjustRightInd w:val="0"/>
        <w:snapToGrid w:val="0"/>
        <w:spacing w:line="578"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（一）评价结论。</w:t>
      </w:r>
    </w:p>
    <w:p>
      <w:pPr>
        <w:widowControl/>
        <w:adjustRightInd w:val="0"/>
        <w:snapToGrid w:val="0"/>
        <w:spacing w:line="578" w:lineRule="exact"/>
        <w:ind w:firstLineChars="200" w:firstLine="640"/>
        <w:contextualSpacing/>
        <w:rPr>
          <w:rFonts w:eastAsia="仿宋_GB2312"/>
          <w:kern w:val="0"/>
          <w:sz w:val="32"/>
          <w:szCs w:val="32"/>
          <w:shd w:val="clear" w:color="auto" w:fill="FFFFFF"/>
          <w:lang w:val="zh-CN"/>
        </w:rPr>
      </w:pPr>
      <w:r>
        <w:rPr>
          <w:rFonts w:eastAsia="仿宋_GB2312"/>
          <w:bCs/>
          <w:sz w:val="32"/>
          <w:szCs w:val="32"/>
        </w:rPr>
        <w:t>2021年在平稳推进医疗保障工作的同时，加大支付方式改革力度，扩大异地就医结算范围，加强定点医疗机构监管，优化医保经办流程，提升公共服务水平，切实维护广大群众的切实利益，不断提升参保群众的满意度、获得感和安全感。市医保中心</w:t>
      </w:r>
      <w:r>
        <w:rPr>
          <w:rFonts w:eastAsia="仿宋_GB2312"/>
          <w:sz w:val="32"/>
          <w:szCs w:val="32"/>
        </w:rPr>
        <w:t>按预期绩效目标圆满完成各项医保工作任务，实现了保基本、保运转，惠民生、可持续的总体目标。</w:t>
      </w:r>
    </w:p>
    <w:p>
      <w:pPr>
        <w:spacing w:line="578" w:lineRule="exact"/>
        <w:ind w:left="630"/>
        <w:rPr>
          <w:rFonts w:eastAsia="仿宋_GB2312"/>
          <w:kern w:val="0"/>
          <w:sz w:val="32"/>
          <w:szCs w:val="32"/>
          <w:shd w:val="clear" w:color="auto" w:fill="FFFFFF"/>
          <w:lang w:val="zh-CN"/>
        </w:rPr>
      </w:pPr>
      <w:r>
        <w:rPr>
          <w:rFonts w:eastAsia="仿宋_GB2312"/>
          <w:kern w:val="0"/>
          <w:sz w:val="32"/>
          <w:szCs w:val="32"/>
          <w:shd w:val="clear" w:color="auto" w:fill="FFFFFF"/>
          <w:lang w:val="zh-CN"/>
        </w:rPr>
        <w:t>（二）存在问题。</w:t>
      </w:r>
    </w:p>
    <w:p>
      <w:pPr>
        <w:spacing w:line="578" w:lineRule="exact"/>
        <w:ind w:firstLineChars="200" w:firstLine="640"/>
        <w:rPr>
          <w:rFonts w:eastAsia="仿宋_GB2312"/>
          <w:sz w:val="32"/>
          <w:szCs w:val="32"/>
        </w:rPr>
      </w:pPr>
      <w:r>
        <w:rPr>
          <w:rFonts w:eastAsia="仿宋_GB2312"/>
          <w:sz w:val="32"/>
          <w:szCs w:val="32"/>
        </w:rPr>
        <w:t>绩效目标的设定不够规范。</w:t>
      </w:r>
    </w:p>
    <w:p>
      <w:pPr>
        <w:spacing w:line="578" w:lineRule="exact"/>
        <w:ind w:firstLineChars="200" w:firstLine="640"/>
        <w:rPr>
          <w:rFonts w:eastAsia="仿宋_GB2312"/>
          <w:sz w:val="32"/>
          <w:szCs w:val="32"/>
        </w:rPr>
      </w:pPr>
      <w:r>
        <w:rPr>
          <w:rFonts w:eastAsia="仿宋_GB2312"/>
          <w:sz w:val="32"/>
          <w:szCs w:val="32"/>
        </w:rPr>
        <w:t>干部职工对预算绩效管理工作缺乏系统的认识，在科学设置预算绩效指标上还需进一步加强。</w:t>
      </w:r>
    </w:p>
    <w:p>
      <w:pPr>
        <w:widowControl/>
        <w:adjustRightInd w:val="0"/>
        <w:snapToGrid w:val="0"/>
        <w:spacing w:line="578"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（三）改进建议。</w:t>
      </w:r>
    </w:p>
    <w:p>
      <w:pPr>
        <w:spacing w:line="578" w:lineRule="exact"/>
        <w:ind w:firstLineChars="200" w:firstLine="640"/>
        <w:rPr>
          <w:rFonts w:eastAsia="仿宋_GB2312"/>
          <w:sz w:val="32"/>
          <w:szCs w:val="32"/>
        </w:rPr>
      </w:pPr>
      <w:r>
        <w:rPr>
          <w:rFonts w:eastAsia="仿宋_GB2312"/>
          <w:sz w:val="32"/>
          <w:szCs w:val="32"/>
        </w:rPr>
        <w:t>干部职工应充分认识预算绩效管理工作的重要性，单位应加强预算绩效管理培训，提升经办人员业务水平。项目科室要积极配合财务人员，科学、合理编制项目预算绩效指标值，切实提高绩效管理水平。</w:t>
      </w:r>
    </w:p>
    <w:p>
      <w:pPr>
        <w:rPr>
          <w:sz w:val="32"/>
          <w:szCs w:val="32"/>
          <w:shd w:val="clear" w:color="auto" w:fill="FFFFFF"/>
          <w:lang w:val="zh-CN"/>
        </w:rPr>
      </w:pPr>
    </w:p>
    <w:p>
      <w:pPr>
        <w:pStyle w:val="16"/>
        <w:spacing w:beforeLines="0" w:before="30"/>
        <w:outlineLvl w:val="1"/>
        <w:rPr>
          <w:rFonts w:ascii="Times New Roman" w:eastAsia="黑体" w:hAnsi="Times New Roman"/>
          <w:sz w:val="32"/>
          <w:szCs w:val="32"/>
        </w:rPr>
      </w:pPr>
      <w:bookmarkStart w:id="144" w:name="_Toc25197"/>
      <w:bookmarkStart w:id="145" w:name="_Toc20734"/>
      <w:bookmarkStart w:id="146" w:name="_Toc137"/>
      <w:bookmarkStart w:id="147" w:name="_Toc23123"/>
      <w:r>
        <w:rPr>
          <w:rFonts w:ascii="Times New Roman" w:eastAsia="黑体" w:hAnsi="Times New Roman"/>
          <w:sz w:val="32"/>
          <w:szCs w:val="32"/>
          <w:shd w:val="clear" w:color="auto" w:fill="FFFFFF"/>
          <w:lang w:val="zh-CN"/>
        </w:rPr>
        <w:t>附件</w:t>
      </w:r>
      <w:r>
        <w:rPr>
          <w:rFonts w:ascii="Times New Roman" w:eastAsia="黑体" w:hAnsi="Times New Roman"/>
          <w:sz w:val="32"/>
          <w:szCs w:val="32"/>
          <w:shd w:val="clear" w:color="auto" w:fill="FFFFFF"/>
        </w:rPr>
        <w:t>2</w:t>
      </w:r>
      <w:bookmarkEnd w:id="144"/>
      <w:bookmarkEnd w:id="145"/>
      <w:bookmarkEnd w:id="146"/>
      <w:bookmarkEnd w:id="147"/>
    </w:p>
    <w:p>
      <w:pPr>
        <w:spacing w:line="578" w:lineRule="exact"/>
        <w:jc w:val="center"/>
        <w:rPr>
          <w:rFonts w:eastAsia="方正小标宋_GBK"/>
          <w:sz w:val="44"/>
          <w:szCs w:val="44"/>
        </w:rPr>
      </w:pPr>
    </w:p>
    <w:p>
      <w:pPr>
        <w:spacing w:line="578" w:lineRule="exact"/>
        <w:jc w:val="center"/>
        <w:rPr>
          <w:rFonts w:eastAsia="方正小标宋_GBK"/>
          <w:sz w:val="44"/>
          <w:szCs w:val="44"/>
        </w:rPr>
      </w:pPr>
      <w:r>
        <w:rPr>
          <w:rFonts w:eastAsia="方正小标宋_GBK"/>
          <w:sz w:val="44"/>
          <w:szCs w:val="44"/>
        </w:rPr>
        <w:t>攀枝花市医疗保障事务中心</w:t>
      </w:r>
    </w:p>
    <w:p>
      <w:pPr>
        <w:spacing w:line="578" w:lineRule="exact"/>
        <w:jc w:val="center"/>
        <w:rPr>
          <w:rFonts w:eastAsia="方正小标宋_GBK"/>
          <w:sz w:val="44"/>
          <w:szCs w:val="44"/>
        </w:rPr>
      </w:pPr>
      <w:r>
        <w:rPr>
          <w:rFonts w:eastAsia="方正小标宋_GBK"/>
          <w:sz w:val="44"/>
          <w:szCs w:val="44"/>
        </w:rPr>
        <w:t>业务运行费及追加工作经费项目支出</w:t>
      </w:r>
    </w:p>
    <w:p>
      <w:pPr>
        <w:spacing w:line="578" w:lineRule="exact"/>
        <w:jc w:val="center"/>
        <w:rPr>
          <w:rFonts w:eastAsia="方正小标宋_GBK"/>
          <w:sz w:val="44"/>
          <w:szCs w:val="44"/>
        </w:rPr>
      </w:pPr>
      <w:r>
        <w:rPr>
          <w:rFonts w:eastAsia="方正小标宋_GBK"/>
          <w:sz w:val="44"/>
          <w:szCs w:val="44"/>
        </w:rPr>
        <w:t>绩效自评报告</w:t>
      </w:r>
    </w:p>
    <w:p>
      <w:pPr>
        <w:spacing w:line="578" w:lineRule="exact"/>
        <w:ind w:firstLineChars="200" w:firstLine="640"/>
        <w:jc w:val="center"/>
        <w:rPr>
          <w:sz w:val="32"/>
          <w:szCs w:val="32"/>
          <w:lang w:val="zh-CN"/>
        </w:rPr>
      </w:pPr>
    </w:p>
    <w:p>
      <w:pPr>
        <w:adjustRightInd w:val="0"/>
        <w:snapToGrid w:val="0"/>
        <w:spacing w:line="578" w:lineRule="exact"/>
        <w:ind w:firstLineChars="200" w:firstLine="640"/>
        <w:rPr>
          <w:rFonts w:eastAsia="黑体"/>
          <w:sz w:val="32"/>
          <w:szCs w:val="32"/>
          <w:lang w:val="zh-CN"/>
        </w:rPr>
      </w:pPr>
      <w:bookmarkStart w:id="148" w:name="_Toc7166"/>
      <w:r>
        <w:rPr>
          <w:rFonts w:eastAsia="黑体"/>
          <w:sz w:val="32"/>
          <w:szCs w:val="32"/>
        </w:rPr>
        <w:t>一、</w:t>
      </w:r>
      <w:r>
        <w:rPr>
          <w:rFonts w:eastAsia="黑体"/>
          <w:sz w:val="32"/>
          <w:szCs w:val="32"/>
          <w:lang w:val="zh-CN"/>
        </w:rPr>
        <w:t>项目概况</w:t>
      </w:r>
      <w:bookmarkEnd w:id="148"/>
    </w:p>
    <w:p>
      <w:pPr>
        <w:adjustRightInd w:val="0"/>
        <w:snapToGrid w:val="0"/>
        <w:spacing w:line="578" w:lineRule="exact"/>
        <w:ind w:firstLineChars="200" w:firstLine="640"/>
        <w:rPr>
          <w:rFonts w:eastAsia="楷体_GB2312"/>
          <w:b/>
          <w:sz w:val="32"/>
          <w:szCs w:val="32"/>
          <w:lang w:val="zh-CN"/>
        </w:rPr>
      </w:pPr>
      <w:r>
        <w:rPr>
          <w:rFonts w:eastAsia="楷体_GB2312"/>
          <w:b/>
          <w:sz w:val="32"/>
          <w:szCs w:val="32"/>
          <w:lang w:val="zh-CN"/>
        </w:rPr>
        <w:t>（一）项目基本情况。</w:t>
      </w:r>
    </w:p>
    <w:p>
      <w:pPr>
        <w:adjustRightInd w:val="0"/>
        <w:snapToGrid w:val="0"/>
        <w:spacing w:line="578" w:lineRule="exact"/>
        <w:ind w:firstLineChars="200" w:firstLine="640"/>
        <w:rPr>
          <w:rFonts w:eastAsia="仿宋_GB2312"/>
          <w:sz w:val="32"/>
          <w:szCs w:val="32"/>
          <w:lang w:val="zh-CN"/>
        </w:rPr>
      </w:pPr>
      <w:r>
        <w:rPr>
          <w:rFonts w:eastAsia="仿宋_GB2312"/>
          <w:sz w:val="32"/>
          <w:szCs w:val="32"/>
          <w:lang w:val="zh-CN"/>
        </w:rPr>
        <w:t>1．说明项目主管部门（单位）在该项目管理中的职能。</w:t>
      </w:r>
    </w:p>
    <w:p>
      <w:pPr>
        <w:spacing w:line="578" w:lineRule="exact"/>
        <w:ind w:firstLineChars="200" w:firstLine="640"/>
        <w:rPr>
          <w:rFonts w:eastAsia="仿宋_GB2312"/>
          <w:sz w:val="32"/>
          <w:szCs w:val="32"/>
        </w:rPr>
      </w:pPr>
      <w:r>
        <w:rPr>
          <w:rFonts w:eastAsia="仿宋_GB2312"/>
          <w:sz w:val="32"/>
          <w:szCs w:val="32"/>
        </w:rPr>
        <w:t>负责城镇职工基本医疗保险、城乡居民基本医疗保险、生育保险、医疗救助以及药品、医用耗材招采具体经办业务，制定、完善业务经办管理规程；负责对定点医药机构执行政策规定和为参保人员提供医疗服务进行指导和检查；承担全市疾病应急救助基金支付审核；承担离休干部、六级以上革命伤残军人（警察）、建国初期参加工作退休干部及其他医疗照顾人员医药费用审核报销的具体业务工作；参与医疗保障业务经办信息系统建设。</w:t>
      </w:r>
    </w:p>
    <w:p>
      <w:pPr>
        <w:pStyle w:val="16"/>
        <w:spacing w:beforeLines="0" w:before="30" w:line="578" w:lineRule="exact"/>
        <w:ind w:firstLineChars="200" w:firstLine="640"/>
        <w:rPr>
          <w:rFonts w:ascii="Times New Roman" w:hAnsi="Times New Roman"/>
          <w:sz w:val="32"/>
          <w:szCs w:val="32"/>
          <w:lang w:val="zh-CN"/>
        </w:rPr>
      </w:pPr>
      <w:r>
        <w:rPr>
          <w:rFonts w:ascii="Times New Roman" w:hAnsi="Times New Roman"/>
          <w:sz w:val="32"/>
          <w:szCs w:val="32"/>
        </w:rPr>
        <w:t>2</w:t>
      </w:r>
      <w:r>
        <w:rPr>
          <w:rFonts w:ascii="Times New Roman" w:hAnsi="Times New Roman"/>
          <w:sz w:val="32"/>
          <w:szCs w:val="32"/>
          <w:lang w:val="zh-CN"/>
        </w:rPr>
        <w:t>．项目立项、资金申报的依据。</w:t>
      </w:r>
    </w:p>
    <w:p>
      <w:pPr>
        <w:spacing w:line="578" w:lineRule="exact"/>
        <w:ind w:firstLineChars="200" w:firstLine="640"/>
        <w:rPr>
          <w:rFonts w:eastAsia="仿宋_GB2312"/>
          <w:sz w:val="32"/>
          <w:szCs w:val="32"/>
        </w:rPr>
      </w:pPr>
      <w:r>
        <w:rPr>
          <w:rFonts w:eastAsia="仿宋_GB2312"/>
          <w:sz w:val="32"/>
          <w:szCs w:val="32"/>
        </w:rPr>
        <w:t>1996年6月29日，劳动和社会保障部、财政部、国家经济贸易委员会、卫生部、国家中医药管理局印发关于《关于加强城镇职工基本医疗保险费用结算管理意见》（劳社部发〔1999〕23号）第五条规定：加强定点医疗机构门诊处方、入出院标准、住院病历和特殊检查治疗等基本医疗保险管理和费用支出审核。四川省劳动和社会保障厅印发《制定城镇职工基本医疗保险结算办法有关问题的指导意见》（川劳社办〔2000〕22号）第五条规定：为了激励医院加强管理，降低消耗，提高医疗质量，惩戒消极地通过过度服务和减少合理服务来增加收入的行为，必须建立一套行之有效的审核制度。</w:t>
      </w:r>
    </w:p>
    <w:p>
      <w:pPr>
        <w:spacing w:line="578" w:lineRule="exact"/>
        <w:ind w:firstLineChars="200" w:firstLine="640"/>
        <w:rPr>
          <w:rFonts w:eastAsia="仿宋_GB2312"/>
          <w:sz w:val="32"/>
          <w:szCs w:val="32"/>
        </w:rPr>
      </w:pPr>
      <w:r>
        <w:rPr>
          <w:rFonts w:eastAsia="仿宋_GB2312"/>
          <w:sz w:val="32"/>
          <w:szCs w:val="32"/>
        </w:rPr>
        <w:t>3.资金来源。</w:t>
      </w:r>
    </w:p>
    <w:p>
      <w:pPr>
        <w:spacing w:line="578" w:lineRule="exact"/>
        <w:ind w:firstLineChars="200" w:firstLine="640"/>
        <w:rPr>
          <w:rFonts w:eastAsia="仿宋_GB2312"/>
          <w:sz w:val="32"/>
          <w:szCs w:val="32"/>
        </w:rPr>
      </w:pPr>
      <w:r>
        <w:rPr>
          <w:rFonts w:eastAsia="仿宋_GB2312"/>
          <w:sz w:val="32"/>
          <w:szCs w:val="32"/>
        </w:rPr>
        <w:t>1996年6月29日，劳动和社会保障部、财政部、国家经济贸易委员会、卫生部、国家中医药管理局印发关于《关于加强城镇职工基本医疗保险费用结算管理意见》（劳社部发〔1999〕23号）第五条规定：加强定点医疗机构门诊处方、入出院标准、住院病历和特殊检查治疗等基本医疗保险管理和费用支出审核。社会保险经办机构可以应付给定点医疗机构的医疗费用中暂扣不超过10%的费用，根据结算期末考核情况，再相应拨付给定点医疗机构。四川省劳动和社会保障厅印发《制定城镇职工基本医疗保险结算办法有关问题的指导意见》（川劳社办〔2000〕22号）第五条规定：为了激励医院加强管理，降低消耗，提高医疗质量，惩戒消极地通过过度服务和减少合理服务来增加收入的行为，必须建立一套行之有效的审核制度。医疗保险经办机构可按核定的各定点医院定额控制指标或当期申报费用额度暂扣不超过10%的费用，根据结算期末的考核情况再相应拨付给定点医院。2004年10月22日经市政府通过对《关于考核扣减的医疗服务质量保证金用途的请示》（攀劳社〔2004〕62号）的请示的批准。我中心现有人员不足，压力较大，在新增加人员和编制不现实的情况下，必须使用部分稽核聘用人员以保证工作正常开展。由市本级财政拨付，列入相应年度的财政预算，确保按时拨付、足额到位。</w:t>
      </w:r>
    </w:p>
    <w:p>
      <w:pPr>
        <w:adjustRightInd w:val="0"/>
        <w:snapToGrid w:val="0"/>
        <w:spacing w:line="578" w:lineRule="exact"/>
        <w:ind w:firstLineChars="200" w:firstLine="640"/>
        <w:rPr>
          <w:rFonts w:eastAsia="楷体_GB2312"/>
          <w:b/>
          <w:sz w:val="32"/>
          <w:szCs w:val="32"/>
          <w:lang w:val="zh-CN"/>
        </w:rPr>
      </w:pPr>
      <w:r>
        <w:rPr>
          <w:rFonts w:eastAsia="楷体_GB2312"/>
          <w:b/>
          <w:sz w:val="32"/>
          <w:szCs w:val="32"/>
          <w:lang w:val="zh-CN"/>
        </w:rPr>
        <w:t>（二）项目绩效目标。</w:t>
      </w:r>
    </w:p>
    <w:p>
      <w:pPr>
        <w:spacing w:line="578" w:lineRule="exact"/>
        <w:ind w:firstLineChars="200" w:firstLine="640"/>
        <w:rPr>
          <w:rFonts w:eastAsia="仿宋_GB2312"/>
          <w:sz w:val="32"/>
          <w:szCs w:val="32"/>
          <w:lang w:val="zh-CN"/>
        </w:rPr>
      </w:pPr>
      <w:r>
        <w:rPr>
          <w:rFonts w:eastAsia="仿宋_GB2312"/>
          <w:sz w:val="32"/>
          <w:szCs w:val="32"/>
          <w:lang w:val="zh-CN"/>
        </w:rPr>
        <w:t>1．项目主要内容。</w:t>
      </w:r>
    </w:p>
    <w:p>
      <w:pPr>
        <w:spacing w:line="578" w:lineRule="exact"/>
        <w:ind w:firstLineChars="200" w:firstLine="640"/>
        <w:rPr>
          <w:rFonts w:eastAsia="仿宋_GB2312"/>
          <w:sz w:val="32"/>
          <w:szCs w:val="32"/>
        </w:rPr>
      </w:pPr>
      <w:r>
        <w:rPr>
          <w:rFonts w:eastAsia="仿宋_GB2312"/>
          <w:sz w:val="32"/>
          <w:szCs w:val="32"/>
        </w:rPr>
        <w:t>（1）用于稽核人员工资、社保缴费、公积金等支出。</w:t>
      </w:r>
    </w:p>
    <w:p>
      <w:pPr>
        <w:spacing w:line="578" w:lineRule="exact"/>
        <w:ind w:firstLineChars="200" w:firstLine="640"/>
        <w:rPr>
          <w:rFonts w:eastAsia="仿宋_GB2312"/>
          <w:sz w:val="32"/>
          <w:szCs w:val="32"/>
        </w:rPr>
      </w:pPr>
      <w:r>
        <w:rPr>
          <w:rFonts w:eastAsia="仿宋_GB2312"/>
          <w:sz w:val="32"/>
          <w:szCs w:val="32"/>
        </w:rPr>
        <w:t>（2）在参保方面要加大宣传力度，提升参保率，实现全民参保。</w:t>
      </w:r>
    </w:p>
    <w:p>
      <w:pPr>
        <w:spacing w:line="578" w:lineRule="exact"/>
        <w:ind w:firstLineChars="200" w:firstLine="640"/>
        <w:rPr>
          <w:rFonts w:eastAsia="仿宋_GB2312"/>
          <w:sz w:val="32"/>
          <w:szCs w:val="32"/>
        </w:rPr>
      </w:pPr>
      <w:r>
        <w:rPr>
          <w:rFonts w:eastAsia="仿宋_GB2312"/>
          <w:sz w:val="32"/>
          <w:szCs w:val="32"/>
        </w:rPr>
        <w:t>（3）按一定比例抽查全市所有定点医疗机构上一年度住院病例的完整病案纸质资料和费用明细。</w:t>
      </w:r>
    </w:p>
    <w:p>
      <w:pPr>
        <w:spacing w:line="578" w:lineRule="exact"/>
        <w:ind w:firstLineChars="200" w:firstLine="640"/>
        <w:rPr>
          <w:rFonts w:eastAsia="仿宋_GB2312"/>
          <w:sz w:val="32"/>
          <w:szCs w:val="32"/>
          <w:lang w:val="zh-CN"/>
        </w:rPr>
      </w:pPr>
      <w:r>
        <w:rPr>
          <w:sz w:val="32"/>
          <w:szCs w:val="32"/>
        </w:rPr>
        <w:t>2</w:t>
      </w:r>
      <w:r>
        <w:rPr>
          <w:rFonts w:eastAsia="仿宋_GB2312"/>
          <w:sz w:val="32"/>
          <w:szCs w:val="32"/>
          <w:lang w:val="zh-CN"/>
        </w:rPr>
        <w:t>．项目应实现的具体绩效目标，包括目标的量化、细化情况以及项目实施进度计划等。</w:t>
      </w:r>
    </w:p>
    <w:p>
      <w:pPr>
        <w:spacing w:line="578" w:lineRule="exact"/>
        <w:ind w:firstLineChars="200" w:firstLine="640"/>
        <w:rPr>
          <w:rFonts w:eastAsia="仿宋_GB2312"/>
          <w:sz w:val="32"/>
          <w:szCs w:val="32"/>
        </w:rPr>
      </w:pPr>
      <w:r>
        <w:rPr>
          <w:rFonts w:eastAsia="仿宋_GB2312"/>
          <w:sz w:val="32"/>
          <w:szCs w:val="32"/>
        </w:rPr>
        <w:t>（1）不断提升市医保经办机构医保基金监管水平，坚决维护医保基金安全可持续发展。</w:t>
      </w:r>
    </w:p>
    <w:p>
      <w:pPr>
        <w:spacing w:line="578" w:lineRule="exact"/>
        <w:ind w:firstLineChars="200" w:firstLine="640"/>
        <w:rPr>
          <w:rFonts w:eastAsia="仿宋_GB2312"/>
          <w:sz w:val="32"/>
          <w:szCs w:val="32"/>
        </w:rPr>
      </w:pPr>
      <w:r>
        <w:rPr>
          <w:rFonts w:eastAsia="仿宋_GB2312"/>
          <w:sz w:val="32"/>
          <w:szCs w:val="32"/>
        </w:rPr>
        <w:t>（2）让全市参保群众懂得了人人参保、按时续保的重要意义，也对医保相关政策有了更深入全面的了解，在以后的生活中，能更好地从此项关乎自己切身利益的惠民政策中受益。同时，通过宣传，让医保机构、医疗机构、药店、用人单位和参保人员等医疗保障参与方在参保、就医、服务等方式遵守法律法规，提升医疗保障的社会影响力。</w:t>
      </w:r>
    </w:p>
    <w:p>
      <w:pPr>
        <w:spacing w:line="578" w:lineRule="exact"/>
        <w:ind w:firstLineChars="200" w:firstLine="640"/>
        <w:rPr>
          <w:rFonts w:eastAsia="仿宋_GB2312"/>
          <w:sz w:val="32"/>
          <w:szCs w:val="32"/>
          <w:lang w:val="zh-CN"/>
        </w:rPr>
      </w:pPr>
      <w:r>
        <w:rPr>
          <w:rFonts w:eastAsia="仿宋_GB2312"/>
          <w:sz w:val="32"/>
          <w:szCs w:val="32"/>
        </w:rPr>
        <w:t>3</w:t>
      </w:r>
      <w:r>
        <w:rPr>
          <w:rFonts w:eastAsia="仿宋_GB2312"/>
          <w:sz w:val="32"/>
          <w:szCs w:val="32"/>
          <w:lang w:val="zh-CN"/>
        </w:rPr>
        <w:t>．分析评价申报内容是否与实际相符，申报目标是否合理可行。</w:t>
      </w:r>
    </w:p>
    <w:p>
      <w:pPr>
        <w:spacing w:line="578" w:lineRule="exact"/>
        <w:ind w:firstLineChars="200" w:firstLine="640"/>
        <w:rPr>
          <w:rFonts w:eastAsia="仿宋_GB2312"/>
          <w:sz w:val="32"/>
          <w:szCs w:val="32"/>
        </w:rPr>
      </w:pPr>
      <w:r>
        <w:rPr>
          <w:rFonts w:eastAsia="仿宋_GB2312"/>
          <w:sz w:val="32"/>
          <w:szCs w:val="32"/>
        </w:rPr>
        <w:t>本中心严格按照项目资金批复方案执行，申报内容与实际相符，申报目标合理可行。</w:t>
      </w:r>
    </w:p>
    <w:p>
      <w:pPr>
        <w:adjustRightInd w:val="0"/>
        <w:snapToGrid w:val="0"/>
        <w:spacing w:line="578" w:lineRule="exact"/>
        <w:ind w:firstLineChars="200" w:firstLine="640"/>
        <w:rPr>
          <w:rFonts w:eastAsia="黑体"/>
          <w:sz w:val="32"/>
          <w:szCs w:val="32"/>
        </w:rPr>
      </w:pPr>
      <w:bookmarkStart w:id="149" w:name="_Toc24725"/>
      <w:r>
        <w:rPr>
          <w:rFonts w:eastAsia="黑体"/>
          <w:sz w:val="32"/>
          <w:szCs w:val="32"/>
        </w:rPr>
        <w:t>二、项目资金申报及使用情况</w:t>
      </w:r>
      <w:bookmarkEnd w:id="149"/>
    </w:p>
    <w:p>
      <w:pPr>
        <w:adjustRightInd w:val="0"/>
        <w:snapToGrid w:val="0"/>
        <w:spacing w:line="578" w:lineRule="exact"/>
        <w:ind w:firstLineChars="200" w:firstLine="640"/>
        <w:rPr>
          <w:rFonts w:eastAsia="楷体_GB2312"/>
          <w:b/>
          <w:sz w:val="32"/>
          <w:szCs w:val="32"/>
          <w:lang w:val="zh-CN"/>
        </w:rPr>
      </w:pPr>
      <w:r>
        <w:rPr>
          <w:rFonts w:eastAsia="楷体_GB2312"/>
          <w:b/>
          <w:sz w:val="32"/>
          <w:szCs w:val="32"/>
          <w:lang w:val="zh-CN"/>
        </w:rPr>
        <w:t>（一）项目资金申报及批复情况。</w:t>
      </w:r>
    </w:p>
    <w:p>
      <w:pPr>
        <w:autoSpaceDE w:val="0"/>
        <w:autoSpaceDN w:val="0"/>
        <w:adjustRightInd w:val="0"/>
        <w:spacing w:line="578" w:lineRule="exact"/>
        <w:ind w:firstLineChars="200" w:firstLine="640"/>
        <w:rPr>
          <w:rFonts w:eastAsia="仿宋_GB2312"/>
          <w:kern w:val="0"/>
          <w:sz w:val="32"/>
          <w:szCs w:val="32"/>
        </w:rPr>
      </w:pPr>
      <w:r>
        <w:rPr>
          <w:rFonts w:eastAsia="仿宋_GB2312"/>
          <w:kern w:val="0"/>
          <w:sz w:val="32"/>
          <w:szCs w:val="32"/>
        </w:rPr>
        <w:t>根据单位实有人数，结合上年业务运行费拨付情况，编制次年预算时，向财政申请项目预算资金，财政审批后进行资金批复。</w:t>
      </w:r>
    </w:p>
    <w:p>
      <w:pPr>
        <w:adjustRightInd w:val="0"/>
        <w:snapToGrid w:val="0"/>
        <w:spacing w:line="578" w:lineRule="exact"/>
        <w:ind w:firstLineChars="200" w:firstLine="640"/>
        <w:rPr>
          <w:rFonts w:eastAsia="仿宋_GB2312"/>
          <w:sz w:val="32"/>
          <w:szCs w:val="32"/>
          <w:lang w:val="zh-CN"/>
        </w:rPr>
      </w:pPr>
      <w:r>
        <w:rPr>
          <w:rFonts w:eastAsia="楷体_GB2312"/>
          <w:b/>
          <w:sz w:val="32"/>
          <w:szCs w:val="32"/>
          <w:lang w:val="zh-CN"/>
        </w:rPr>
        <w:t>（二）资金计划、到位及使用情况。</w:t>
      </w:r>
    </w:p>
    <w:p>
      <w:pPr>
        <w:spacing w:line="578" w:lineRule="exact"/>
        <w:ind w:firstLineChars="200" w:firstLine="640"/>
        <w:rPr>
          <w:rFonts w:eastAsia="楷体_GB2312"/>
          <w:sz w:val="32"/>
          <w:szCs w:val="32"/>
          <w:lang w:val="zh-CN"/>
        </w:rPr>
      </w:pPr>
      <w:r>
        <w:rPr>
          <w:rFonts w:eastAsia="楷体_GB2312"/>
          <w:sz w:val="32"/>
          <w:szCs w:val="32"/>
          <w:lang w:val="zh-CN"/>
        </w:rPr>
        <w:t>1．资金计划。</w:t>
      </w:r>
    </w:p>
    <w:p>
      <w:pPr>
        <w:spacing w:line="578" w:lineRule="exact"/>
        <w:ind w:firstLineChars="200" w:firstLine="640"/>
        <w:rPr>
          <w:rFonts w:eastAsia="仿宋_GB2312"/>
          <w:sz w:val="32"/>
          <w:szCs w:val="32"/>
        </w:rPr>
      </w:pPr>
      <w:r>
        <w:rPr>
          <w:rFonts w:eastAsia="仿宋_GB2312"/>
          <w:sz w:val="32"/>
          <w:szCs w:val="32"/>
        </w:rPr>
        <w:t>该项目资金计划215.11万元，为财政全额拨款资金。</w:t>
      </w:r>
    </w:p>
    <w:p>
      <w:pPr>
        <w:numPr>
          <w:ilvl w:val="0"/>
          <w:numId w:val="5"/>
        </w:numPr>
        <w:spacing w:line="578" w:lineRule="exact"/>
        <w:ind w:left="0" w:firstLineChars="200" w:firstLine="640"/>
        <w:rPr>
          <w:rFonts w:eastAsia="楷体_GB2312"/>
          <w:sz w:val="32"/>
          <w:szCs w:val="32"/>
          <w:lang w:val="zh-CN"/>
        </w:rPr>
      </w:pPr>
      <w:r>
        <w:rPr>
          <w:rFonts w:eastAsia="楷体_GB2312"/>
          <w:sz w:val="32"/>
          <w:szCs w:val="32"/>
          <w:lang w:val="zh-CN"/>
        </w:rPr>
        <w:t>资金到位。</w:t>
      </w:r>
    </w:p>
    <w:p>
      <w:pPr>
        <w:spacing w:line="578" w:lineRule="exact"/>
        <w:ind w:firstLineChars="200" w:firstLine="640"/>
        <w:rPr>
          <w:rFonts w:eastAsia="仿宋_GB2312"/>
          <w:sz w:val="32"/>
          <w:szCs w:val="32"/>
        </w:rPr>
      </w:pPr>
      <w:r>
        <w:rPr>
          <w:rFonts w:eastAsia="仿宋_GB2312"/>
          <w:sz w:val="32"/>
          <w:szCs w:val="32"/>
        </w:rPr>
        <w:t>2021年资金215.11万元已全额到位，资金到位率100%。</w:t>
      </w:r>
    </w:p>
    <w:p>
      <w:pPr>
        <w:numPr>
          <w:ilvl w:val="0"/>
          <w:numId w:val="5"/>
        </w:numPr>
        <w:spacing w:line="578" w:lineRule="exact"/>
        <w:ind w:left="0" w:firstLineChars="200" w:firstLine="640"/>
        <w:rPr>
          <w:rFonts w:eastAsia="楷体_GB2312"/>
          <w:sz w:val="32"/>
          <w:szCs w:val="32"/>
          <w:lang w:val="zh-CN"/>
        </w:rPr>
      </w:pPr>
      <w:r>
        <w:rPr>
          <w:rFonts w:eastAsia="楷体_GB2312"/>
          <w:sz w:val="32"/>
          <w:szCs w:val="32"/>
          <w:lang w:val="zh-CN"/>
        </w:rPr>
        <w:t>资金使用。</w:t>
      </w:r>
    </w:p>
    <w:p>
      <w:pPr>
        <w:spacing w:line="578" w:lineRule="exact"/>
        <w:ind w:firstLineChars="200" w:firstLine="640"/>
        <w:rPr>
          <w:rFonts w:eastAsia="仿宋_GB2312"/>
          <w:sz w:val="32"/>
          <w:szCs w:val="32"/>
        </w:rPr>
      </w:pPr>
      <w:r>
        <w:rPr>
          <w:rFonts w:eastAsia="仿宋_GB2312"/>
          <w:sz w:val="32"/>
          <w:szCs w:val="32"/>
        </w:rPr>
        <w:t>截至2021年12月31日，该项目资金已支付使用资金215.11万元，主要用于用于稽核人员工资、社保缴费、公积金等支出；宣传费；差旅费；按一定比例抽查全市所有定点医疗机构上一年度住院病例的完整病案纸质资料费用；补充人员经费，会议培训、政策宣传及办公场所基础设备维修等医保日常运转支出。</w:t>
      </w:r>
    </w:p>
    <w:p>
      <w:pPr>
        <w:spacing w:line="578" w:lineRule="exact"/>
        <w:ind w:firstLineChars="200" w:firstLine="640"/>
        <w:rPr>
          <w:rFonts w:eastAsia="楷体_GB2312"/>
          <w:sz w:val="32"/>
          <w:szCs w:val="32"/>
          <w:lang w:val="zh-CN"/>
        </w:rPr>
      </w:pPr>
      <w:r>
        <w:rPr>
          <w:rFonts w:eastAsia="仿宋_GB2312"/>
          <w:sz w:val="32"/>
          <w:szCs w:val="32"/>
        </w:rPr>
        <w:t>本中心资金支付使用严格按照批复方案和实施合同规定执行，资金使用合理规范，合规合法。</w:t>
      </w:r>
    </w:p>
    <w:p>
      <w:pPr>
        <w:adjustRightInd w:val="0"/>
        <w:snapToGrid w:val="0"/>
        <w:spacing w:line="578" w:lineRule="exact"/>
        <w:ind w:firstLineChars="200" w:firstLine="640"/>
        <w:rPr>
          <w:rFonts w:eastAsia="楷体_GB2312"/>
          <w:b/>
          <w:sz w:val="32"/>
          <w:szCs w:val="32"/>
          <w:lang w:val="zh-CN"/>
        </w:rPr>
      </w:pPr>
      <w:r>
        <w:rPr>
          <w:rFonts w:eastAsia="楷体_GB2312"/>
          <w:b/>
          <w:sz w:val="32"/>
          <w:szCs w:val="32"/>
          <w:lang w:val="zh-CN"/>
        </w:rPr>
        <w:t>（三）项目财务管理情况。</w:t>
      </w:r>
    </w:p>
    <w:p>
      <w:pPr>
        <w:adjustRightInd w:val="0"/>
        <w:snapToGrid w:val="0"/>
        <w:spacing w:line="578" w:lineRule="exact"/>
        <w:ind w:firstLineChars="200" w:firstLine="640"/>
        <w:rPr>
          <w:rFonts w:eastAsia="楷体_GB2312"/>
          <w:b/>
          <w:sz w:val="32"/>
          <w:szCs w:val="32"/>
          <w:lang w:val="zh-CN"/>
        </w:rPr>
      </w:pPr>
      <w:r>
        <w:rPr>
          <w:rFonts w:eastAsia="仿宋_GB2312"/>
          <w:sz w:val="32"/>
          <w:szCs w:val="32"/>
        </w:rPr>
        <w:t>本中心建立相对完善的财务管理制度，严格执行财务管理制度，及时进行账务处理，规范会计核算，加强专项资金的使用和管理，确保专款专用。</w:t>
      </w:r>
    </w:p>
    <w:p>
      <w:pPr>
        <w:adjustRightInd w:val="0"/>
        <w:snapToGrid w:val="0"/>
        <w:spacing w:line="578" w:lineRule="exact"/>
        <w:ind w:firstLineChars="200" w:firstLine="640"/>
        <w:rPr>
          <w:rFonts w:eastAsia="仿宋_GB2312"/>
          <w:sz w:val="32"/>
          <w:szCs w:val="32"/>
          <w:lang w:val="zh-CN"/>
        </w:rPr>
      </w:pPr>
      <w:bookmarkStart w:id="150" w:name="_Toc18037"/>
      <w:r>
        <w:rPr>
          <w:rFonts w:eastAsia="黑体"/>
          <w:sz w:val="32"/>
          <w:szCs w:val="32"/>
        </w:rPr>
        <w:t>三、项目绩效情况</w:t>
      </w:r>
      <w:bookmarkEnd w:id="150"/>
      <w:r>
        <w:rPr>
          <w:rFonts w:eastAsia="仿宋_GB2312"/>
          <w:sz w:val="32"/>
          <w:szCs w:val="32"/>
          <w:lang w:val="zh-CN"/>
        </w:rPr>
        <w:tab/>
      </w:r>
    </w:p>
    <w:p>
      <w:pPr>
        <w:spacing w:line="578" w:lineRule="exact"/>
        <w:ind w:firstLineChars="200" w:firstLine="640"/>
        <w:rPr>
          <w:rFonts w:eastAsia="楷体_GB2312"/>
          <w:b/>
          <w:sz w:val="32"/>
          <w:szCs w:val="32"/>
          <w:lang w:val="zh-CN"/>
        </w:rPr>
      </w:pPr>
      <w:r>
        <w:rPr>
          <w:rFonts w:eastAsia="楷体_GB2312"/>
          <w:b/>
          <w:sz w:val="32"/>
          <w:szCs w:val="32"/>
          <w:lang w:val="zh-CN"/>
        </w:rPr>
        <w:t>（一）项目完成情况。</w:t>
      </w:r>
    </w:p>
    <w:p>
      <w:pPr>
        <w:spacing w:line="578" w:lineRule="exact"/>
        <w:ind w:firstLineChars="200" w:firstLine="640"/>
        <w:rPr>
          <w:rFonts w:eastAsia="仿宋_GB2312"/>
          <w:sz w:val="32"/>
          <w:szCs w:val="32"/>
        </w:rPr>
      </w:pPr>
      <w:r>
        <w:rPr>
          <w:rFonts w:eastAsia="仿宋_GB2312"/>
          <w:sz w:val="32"/>
          <w:szCs w:val="32"/>
        </w:rPr>
        <w:t>数量指标：2021年，业务运行费和追加工作经费主要用于以下工作：一是保障医保工作的正常运转，主要用于支付医学专家劳务费和费用审核聘用人员工资和五险一金；二是保障我中心各项工作的有序开展，实现更多的定点医疗机构联网结算，通过开展多次专项行动，加大了定点医药机构监管处罚力度，提高了参保人员对医保服务的满意度；三是医保办公及人员日常运转支出；四是做好城乡居民医保征缴工作，完成市政府下达医疗保险目标参保人数；五是印制医保宣传和服务手册等。2021年完成情况：1.医学专家劳务费和费用审核聘用人员工资按时足额发放劳务费及工资；2.医学专家劳务费和费用审核聘用人员工资加大费用审核力度，按时完成费用审核工作；3.医保办公及人员日常运转支出，保障医保工作的正常运转；4.印制医保宣传和服务手册等预算估计10万册。</w:t>
      </w:r>
    </w:p>
    <w:p>
      <w:pPr>
        <w:spacing w:line="578" w:lineRule="exact"/>
        <w:ind w:firstLineChars="200" w:firstLine="640"/>
        <w:rPr>
          <w:rFonts w:eastAsia="仿宋_GB2312"/>
          <w:sz w:val="32"/>
          <w:szCs w:val="32"/>
        </w:rPr>
      </w:pPr>
      <w:r>
        <w:rPr>
          <w:rFonts w:eastAsia="仿宋_GB2312"/>
          <w:sz w:val="32"/>
          <w:szCs w:val="32"/>
        </w:rPr>
        <w:t>质量指标：一是医学专家劳务费和费用审核聘用人员工资加大费用审核力度，按时完成费用审核工作；二是医保办公及人员日常运转持续开展；三是医保政策及异地就医宣传，有序开展，加大居民医保宣传工作力度，印制宣传海报1700张，宣传折页10万份，并发放到全市所有医保定点医院、定点药店、各乡镇、街道进行宣传，确保实现全民参保。</w:t>
      </w:r>
    </w:p>
    <w:p>
      <w:pPr>
        <w:spacing w:line="578" w:lineRule="exact"/>
        <w:ind w:firstLineChars="200" w:firstLine="640"/>
        <w:rPr>
          <w:rFonts w:eastAsia="楷体_GB2312"/>
          <w:b/>
          <w:sz w:val="32"/>
          <w:szCs w:val="32"/>
          <w:lang w:val="zh-CN"/>
        </w:rPr>
      </w:pPr>
      <w:r>
        <w:rPr>
          <w:rFonts w:eastAsia="仿宋_GB2312"/>
          <w:sz w:val="32"/>
          <w:szCs w:val="32"/>
        </w:rPr>
        <w:t>时效指标：项目资金使用年度时效安排至2021年底，截至2021年12月31日，资金使用率为100%。</w:t>
      </w:r>
    </w:p>
    <w:p>
      <w:pPr>
        <w:numPr>
          <w:ilvl w:val="0"/>
          <w:numId w:val="6"/>
        </w:numPr>
        <w:adjustRightInd w:val="0"/>
        <w:snapToGrid w:val="0"/>
        <w:spacing w:line="578" w:lineRule="exact"/>
        <w:ind w:left="0" w:firstLineChars="200" w:firstLine="640"/>
        <w:rPr>
          <w:rFonts w:eastAsia="楷体_GB2312"/>
          <w:b/>
          <w:sz w:val="32"/>
          <w:szCs w:val="32"/>
          <w:lang w:val="zh-CN"/>
        </w:rPr>
      </w:pPr>
      <w:r>
        <w:rPr>
          <w:rFonts w:eastAsia="楷体_GB2312"/>
          <w:b/>
          <w:sz w:val="32"/>
          <w:szCs w:val="32"/>
          <w:lang w:val="zh-CN"/>
        </w:rPr>
        <w:t>项目效益情况。</w:t>
      </w:r>
    </w:p>
    <w:p>
      <w:pPr>
        <w:spacing w:line="578" w:lineRule="exact"/>
        <w:ind w:firstLineChars="200" w:firstLine="640"/>
        <w:rPr>
          <w:rFonts w:eastAsia="仿宋_GB2312"/>
          <w:sz w:val="32"/>
          <w:szCs w:val="32"/>
        </w:rPr>
      </w:pPr>
      <w:r>
        <w:rPr>
          <w:rFonts w:eastAsia="仿宋_GB2312"/>
          <w:sz w:val="32"/>
          <w:szCs w:val="32"/>
        </w:rPr>
        <w:t>社会效益：医学专家劳务费和费用审核聘用人员工资，按时足额发放劳务费及工资，学习交流经验，解决就业问题。医保公共服务水平，稳步提高。</w:t>
      </w:r>
    </w:p>
    <w:p>
      <w:pPr>
        <w:spacing w:line="578" w:lineRule="exact"/>
        <w:ind w:firstLineChars="200" w:firstLine="640"/>
        <w:rPr>
          <w:rFonts w:eastAsia="仿宋_GB2312"/>
          <w:sz w:val="32"/>
          <w:szCs w:val="32"/>
        </w:rPr>
      </w:pPr>
      <w:r>
        <w:rPr>
          <w:rFonts w:eastAsia="仿宋_GB2312"/>
          <w:sz w:val="32"/>
          <w:szCs w:val="32"/>
        </w:rPr>
        <w:t>可持续影响：医保基金运行平稳有序，规范医疗机构服务行为，减少违规行为的发生。</w:t>
      </w:r>
    </w:p>
    <w:p>
      <w:pPr>
        <w:spacing w:line="578" w:lineRule="exact"/>
        <w:ind w:firstLineChars="200" w:firstLine="640"/>
        <w:rPr>
          <w:rFonts w:eastAsia="仿宋_GB2312"/>
          <w:sz w:val="32"/>
          <w:szCs w:val="32"/>
        </w:rPr>
      </w:pPr>
      <w:r>
        <w:rPr>
          <w:rFonts w:eastAsia="仿宋_GB2312"/>
          <w:sz w:val="32"/>
          <w:szCs w:val="32"/>
        </w:rPr>
        <w:t>服务对象满意度：参保人员对医保工作的评价满意，经办工作受到群众表扬，对医保工作满意。</w:t>
      </w:r>
    </w:p>
    <w:p>
      <w:pPr>
        <w:adjustRightInd w:val="0"/>
        <w:snapToGrid w:val="0"/>
        <w:spacing w:line="578" w:lineRule="exact"/>
        <w:ind w:firstLineChars="200" w:firstLine="640"/>
        <w:rPr>
          <w:rFonts w:eastAsia="黑体"/>
          <w:sz w:val="32"/>
          <w:szCs w:val="32"/>
        </w:rPr>
      </w:pPr>
      <w:bookmarkStart w:id="151" w:name="_Toc18587"/>
      <w:r>
        <w:rPr>
          <w:rFonts w:eastAsia="黑体"/>
          <w:sz w:val="32"/>
          <w:szCs w:val="32"/>
        </w:rPr>
        <w:t>四、评价结论及建议</w:t>
      </w:r>
      <w:bookmarkEnd w:id="151"/>
    </w:p>
    <w:p>
      <w:pPr>
        <w:spacing w:line="578" w:lineRule="exact"/>
        <w:ind w:firstLineChars="200" w:firstLine="640"/>
        <w:rPr>
          <w:rFonts w:eastAsia="楷体_GB2312"/>
          <w:b/>
          <w:sz w:val="32"/>
          <w:szCs w:val="32"/>
          <w:lang w:val="zh-CN"/>
        </w:rPr>
      </w:pPr>
      <w:r>
        <w:rPr>
          <w:rFonts w:eastAsia="楷体_GB2312"/>
          <w:b/>
          <w:sz w:val="32"/>
          <w:szCs w:val="32"/>
          <w:lang w:val="zh-CN"/>
        </w:rPr>
        <w:t>（一）评价结论。</w:t>
      </w:r>
    </w:p>
    <w:p>
      <w:pPr>
        <w:spacing w:line="578" w:lineRule="exact"/>
        <w:ind w:firstLineChars="200" w:firstLine="640"/>
        <w:rPr>
          <w:rFonts w:eastAsia="仿宋_GB2312"/>
          <w:sz w:val="32"/>
          <w:szCs w:val="32"/>
        </w:rPr>
      </w:pPr>
      <w:r>
        <w:rPr>
          <w:rFonts w:eastAsia="仿宋_GB2312"/>
          <w:sz w:val="32"/>
          <w:szCs w:val="32"/>
        </w:rPr>
        <w:t>2021年本中心预算项目经费和市级预算追加项目资金全部使用完毕，达到年初预算绩效目标。</w:t>
      </w:r>
    </w:p>
    <w:p>
      <w:pPr>
        <w:numPr>
          <w:ilvl w:val="0"/>
          <w:numId w:val="6"/>
        </w:numPr>
        <w:adjustRightInd w:val="0"/>
        <w:snapToGrid w:val="0"/>
        <w:spacing w:line="578" w:lineRule="exact"/>
        <w:ind w:left="0" w:firstLineChars="200" w:firstLine="640"/>
        <w:rPr>
          <w:rFonts w:eastAsia="楷体_GB2312"/>
          <w:b/>
          <w:sz w:val="32"/>
          <w:szCs w:val="32"/>
          <w:lang w:val="zh-CN"/>
        </w:rPr>
      </w:pPr>
      <w:r>
        <w:rPr>
          <w:rFonts w:eastAsia="楷体_GB2312"/>
          <w:b/>
          <w:sz w:val="32"/>
          <w:szCs w:val="32"/>
          <w:lang w:val="zh-CN"/>
        </w:rPr>
        <w:t>相关建议。</w:t>
      </w:r>
    </w:p>
    <w:p>
      <w:pPr>
        <w:spacing w:line="578" w:lineRule="exact"/>
        <w:ind w:firstLineChars="200" w:firstLine="640"/>
        <w:rPr>
          <w:rFonts w:eastAsia="仿宋_GB2312"/>
          <w:sz w:val="32"/>
          <w:szCs w:val="32"/>
        </w:rPr>
      </w:pPr>
      <w:r>
        <w:rPr>
          <w:rFonts w:eastAsia="仿宋_GB2312"/>
          <w:sz w:val="32"/>
          <w:szCs w:val="32"/>
        </w:rPr>
        <w:t>加强项目建设各个审批环节沟通，提前统筹安排，减少审批时间和进度，加快项目建设步伐，提高项目建设效率，按规定完成预定绩效目标任务。</w:t>
      </w:r>
    </w:p>
    <w:p>
      <w:pPr>
        <w:rPr>
          <w:rFonts w:ascii="仿宋_GB2312" w:eastAsia="黑体" w:hAnsi="仿宋_GB2312"/>
          <w:kern w:val="0"/>
          <w:sz w:val="32"/>
          <w:szCs w:val="32"/>
        </w:rPr>
      </w:pPr>
    </w:p>
    <w:p>
      <w:pPr>
        <w:pStyle w:val="15"/>
      </w:pPr>
    </w:p>
    <w:p/>
    <w:p>
      <w:pPr>
        <w:pStyle w:val="15"/>
      </w:pPr>
    </w:p>
    <w:p/>
    <w:p>
      <w:pPr>
        <w:pStyle w:val="15"/>
      </w:pPr>
    </w:p>
    <w:p/>
    <w:p>
      <w:pPr>
        <w:pStyle w:val="16"/>
        <w:spacing w:beforeLines="0" w:before="30"/>
        <w:outlineLvl w:val="1"/>
        <w:rPr>
          <w:rFonts w:ascii="Times New Roman" w:eastAsia="黑体" w:hAnsi="Times New Roman"/>
          <w:sz w:val="32"/>
          <w:szCs w:val="32"/>
        </w:rPr>
      </w:pPr>
      <w:bookmarkStart w:id="152" w:name="_Toc31435"/>
      <w:bookmarkStart w:id="153" w:name="_Toc13139"/>
      <w:bookmarkStart w:id="154" w:name="_Toc17257"/>
      <w:bookmarkStart w:id="155" w:name="_Toc10068"/>
      <w:r>
        <w:rPr>
          <w:rFonts w:ascii="Times New Roman" w:eastAsia="黑体" w:hAnsi="Times New Roman"/>
          <w:sz w:val="32"/>
          <w:szCs w:val="32"/>
        </w:rPr>
        <w:t>附件3</w:t>
      </w:r>
      <w:bookmarkEnd w:id="152"/>
      <w:bookmarkEnd w:id="153"/>
      <w:bookmarkEnd w:id="154"/>
      <w:bookmarkEnd w:id="155"/>
    </w:p>
    <w:p>
      <w:pPr>
        <w:spacing w:line="578" w:lineRule="exact"/>
        <w:ind w:firstLineChars="200" w:firstLine="640"/>
        <w:jc w:val="center"/>
        <w:rPr>
          <w:rFonts w:eastAsia="方正小标宋_GBK"/>
          <w:sz w:val="32"/>
          <w:szCs w:val="32"/>
        </w:rPr>
      </w:pPr>
    </w:p>
    <w:p>
      <w:pPr>
        <w:spacing w:line="578" w:lineRule="exact"/>
        <w:jc w:val="center"/>
        <w:rPr>
          <w:rFonts w:eastAsia="方正小标宋_GBK"/>
          <w:sz w:val="44"/>
          <w:szCs w:val="44"/>
        </w:rPr>
      </w:pPr>
      <w:r>
        <w:rPr>
          <w:rFonts w:eastAsia="方正小标宋_GBK"/>
          <w:sz w:val="44"/>
          <w:szCs w:val="44"/>
        </w:rPr>
        <w:t>攀枝花市医疗保障事务中心</w:t>
      </w:r>
    </w:p>
    <w:p>
      <w:pPr>
        <w:spacing w:line="578" w:lineRule="exact"/>
        <w:jc w:val="center"/>
        <w:rPr>
          <w:rFonts w:eastAsia="方正小标宋_GBK"/>
          <w:sz w:val="44"/>
          <w:szCs w:val="44"/>
        </w:rPr>
      </w:pPr>
      <w:r>
        <w:rPr>
          <w:rFonts w:eastAsia="方正小标宋_GBK"/>
          <w:sz w:val="44"/>
          <w:szCs w:val="44"/>
        </w:rPr>
        <w:t>启用国家医保2020版疾病诊断编码项目</w:t>
      </w:r>
    </w:p>
    <w:p>
      <w:pPr>
        <w:spacing w:line="578" w:lineRule="exact"/>
        <w:jc w:val="center"/>
        <w:rPr>
          <w:rFonts w:eastAsia="方正小标宋_GBK"/>
          <w:sz w:val="44"/>
          <w:szCs w:val="44"/>
        </w:rPr>
      </w:pPr>
      <w:r>
        <w:rPr>
          <w:rFonts w:eastAsia="方正小标宋_GBK"/>
          <w:sz w:val="44"/>
          <w:szCs w:val="44"/>
        </w:rPr>
        <w:t>支出绩效自评报告</w:t>
      </w:r>
    </w:p>
    <w:p>
      <w:pPr>
        <w:spacing w:line="578" w:lineRule="exact"/>
        <w:ind w:firstLineChars="200" w:firstLine="640"/>
        <w:jc w:val="center"/>
        <w:rPr>
          <w:rFonts w:eastAsia="方正小标宋_GBK"/>
          <w:sz w:val="32"/>
          <w:szCs w:val="32"/>
        </w:rPr>
      </w:pPr>
    </w:p>
    <w:p>
      <w:pPr>
        <w:spacing w:line="578" w:lineRule="exact"/>
        <w:ind w:firstLineChars="200" w:firstLine="640"/>
        <w:rPr>
          <w:rFonts w:eastAsia="黑体"/>
          <w:sz w:val="32"/>
          <w:szCs w:val="32"/>
        </w:rPr>
      </w:pPr>
      <w:bookmarkStart w:id="156" w:name="_Toc32385"/>
      <w:r>
        <w:rPr>
          <w:rFonts w:eastAsia="黑体"/>
          <w:sz w:val="32"/>
          <w:szCs w:val="32"/>
        </w:rPr>
        <w:t>一、项目概况</w:t>
      </w:r>
      <w:bookmarkEnd w:id="156"/>
    </w:p>
    <w:p>
      <w:pPr>
        <w:spacing w:line="578" w:lineRule="exact"/>
        <w:ind w:firstLineChars="200" w:firstLine="640"/>
        <w:rPr>
          <w:rFonts w:eastAsia="楷体_GB2312"/>
          <w:sz w:val="32"/>
          <w:szCs w:val="32"/>
        </w:rPr>
      </w:pPr>
      <w:r>
        <w:rPr>
          <w:rFonts w:eastAsia="楷体_GB2312"/>
          <w:sz w:val="32"/>
          <w:szCs w:val="32"/>
        </w:rPr>
        <w:t>（一）项目基本情况。</w:t>
      </w:r>
    </w:p>
    <w:p>
      <w:pPr>
        <w:spacing w:line="578" w:lineRule="exact"/>
        <w:ind w:firstLineChars="200" w:firstLine="640"/>
        <w:rPr>
          <w:rFonts w:eastAsia="仿宋_GB2312"/>
          <w:sz w:val="32"/>
          <w:szCs w:val="32"/>
        </w:rPr>
      </w:pPr>
      <w:r>
        <w:rPr>
          <w:rFonts w:eastAsia="仿宋_GB2312"/>
          <w:sz w:val="32"/>
          <w:szCs w:val="32"/>
        </w:rPr>
        <w:t>1.项目主管部门（单位）在该项目管理中的职能。</w:t>
      </w:r>
    </w:p>
    <w:p>
      <w:pPr>
        <w:spacing w:line="578" w:lineRule="exact"/>
        <w:ind w:firstLineChars="200" w:firstLine="640"/>
        <w:rPr>
          <w:rFonts w:eastAsia="仿宋_GB2312"/>
          <w:sz w:val="32"/>
          <w:szCs w:val="32"/>
        </w:rPr>
      </w:pPr>
      <w:r>
        <w:rPr>
          <w:rFonts w:eastAsia="仿宋_GB2312"/>
          <w:sz w:val="32"/>
          <w:szCs w:val="32"/>
        </w:rPr>
        <w:t>市医疗保障事务中心组织开展，具体工作通过向第三方项目公司购买服务实现。</w:t>
      </w:r>
    </w:p>
    <w:p>
      <w:pPr>
        <w:spacing w:line="578" w:lineRule="exact"/>
        <w:ind w:firstLineChars="200" w:firstLine="640"/>
        <w:rPr>
          <w:rFonts w:eastAsia="仿宋_GB2312"/>
          <w:sz w:val="32"/>
          <w:szCs w:val="32"/>
        </w:rPr>
      </w:pPr>
      <w:r>
        <w:rPr>
          <w:rFonts w:eastAsia="仿宋_GB2312"/>
          <w:sz w:val="32"/>
          <w:szCs w:val="32"/>
        </w:rPr>
        <w:t>2.项目立项、资金申报的依据。</w:t>
      </w:r>
    </w:p>
    <w:p>
      <w:pPr>
        <w:spacing w:line="578" w:lineRule="exact"/>
        <w:ind w:firstLineChars="200" w:firstLine="640"/>
        <w:rPr>
          <w:rFonts w:eastAsia="仿宋_GB2312"/>
          <w:sz w:val="32"/>
          <w:szCs w:val="32"/>
        </w:rPr>
      </w:pPr>
      <w:r>
        <w:rPr>
          <w:rFonts w:eastAsia="仿宋_GB2312"/>
          <w:sz w:val="32"/>
          <w:szCs w:val="32"/>
        </w:rPr>
        <w:t>按照四川省医疗保障事务中心《关于启用国家医保2020版疾病诊断编码的通知》（川医保中心办〔2020〕34号）要求和工作安排部</w:t>
      </w:r>
      <w:bookmarkStart w:id="157" w:name="_GoBack"/>
      <w:bookmarkEnd w:id="157"/>
      <w:r>
        <w:rPr>
          <w:rFonts w:eastAsia="仿宋_GB2312"/>
          <w:sz w:val="32"/>
          <w:szCs w:val="32"/>
        </w:rPr>
        <w:t>署，于2021年启用国家医保2020版疾病诊断编码。</w:t>
      </w:r>
    </w:p>
    <w:p>
      <w:pPr>
        <w:spacing w:line="578" w:lineRule="exact"/>
        <w:ind w:firstLineChars="200" w:firstLine="640"/>
        <w:rPr>
          <w:rFonts w:eastAsia="仿宋_GB2312"/>
          <w:sz w:val="32"/>
          <w:szCs w:val="32"/>
        </w:rPr>
      </w:pPr>
      <w:r>
        <w:rPr>
          <w:rFonts w:eastAsia="仿宋_GB2312"/>
          <w:sz w:val="32"/>
          <w:szCs w:val="32"/>
        </w:rPr>
        <w:t>3.资金来源。</w:t>
      </w:r>
    </w:p>
    <w:p>
      <w:pPr>
        <w:spacing w:line="578" w:lineRule="exact"/>
        <w:ind w:firstLineChars="200" w:firstLine="640"/>
        <w:rPr>
          <w:rFonts w:eastAsia="仿宋_GB2312"/>
          <w:sz w:val="32"/>
          <w:szCs w:val="32"/>
        </w:rPr>
      </w:pPr>
      <w:r>
        <w:rPr>
          <w:rFonts w:eastAsia="仿宋_GB2312"/>
          <w:sz w:val="32"/>
          <w:szCs w:val="32"/>
        </w:rPr>
        <w:t>由市本级财政拨付，列入相应年度的财政预算，确保按时拨付、足额到位。</w:t>
      </w:r>
    </w:p>
    <w:p>
      <w:pPr>
        <w:spacing w:line="578" w:lineRule="exact"/>
        <w:ind w:firstLineChars="200" w:firstLine="640"/>
        <w:rPr>
          <w:rFonts w:eastAsia="仿宋_GB2312"/>
          <w:sz w:val="32"/>
          <w:szCs w:val="32"/>
        </w:rPr>
      </w:pPr>
      <w:r>
        <w:rPr>
          <w:rFonts w:eastAsia="仿宋_GB2312"/>
          <w:sz w:val="32"/>
          <w:szCs w:val="32"/>
        </w:rPr>
        <w:t>4.资金分配的原则及考虑因素。</w:t>
      </w:r>
    </w:p>
    <w:p>
      <w:pPr>
        <w:spacing w:line="578" w:lineRule="exact"/>
        <w:ind w:firstLineChars="200" w:firstLine="640"/>
        <w:rPr>
          <w:rFonts w:eastAsia="仿宋_GB2312"/>
          <w:sz w:val="32"/>
          <w:szCs w:val="32"/>
        </w:rPr>
      </w:pPr>
      <w:r>
        <w:rPr>
          <w:rFonts w:eastAsia="仿宋_GB2312"/>
          <w:sz w:val="32"/>
          <w:szCs w:val="32"/>
        </w:rPr>
        <w:t>按照四川省医疗保障局对贯标工作的整体要求和部署，需通过验收后方可支付。</w:t>
      </w:r>
    </w:p>
    <w:p>
      <w:pPr>
        <w:spacing w:line="578" w:lineRule="exact"/>
        <w:ind w:firstLineChars="200" w:firstLine="640"/>
        <w:rPr>
          <w:rFonts w:eastAsia="楷体_GB2312"/>
          <w:sz w:val="32"/>
          <w:szCs w:val="32"/>
        </w:rPr>
      </w:pPr>
      <w:r>
        <w:rPr>
          <w:rFonts w:eastAsia="楷体_GB2312"/>
          <w:sz w:val="32"/>
          <w:szCs w:val="32"/>
        </w:rPr>
        <w:t>（二）项目绩效目标。</w:t>
      </w:r>
    </w:p>
    <w:p>
      <w:pPr>
        <w:spacing w:line="578" w:lineRule="exact"/>
        <w:ind w:firstLineChars="200" w:firstLine="640"/>
        <w:rPr>
          <w:rFonts w:eastAsia="仿宋_GB2312"/>
          <w:sz w:val="32"/>
          <w:szCs w:val="32"/>
        </w:rPr>
      </w:pPr>
      <w:r>
        <w:rPr>
          <w:rFonts w:eastAsia="仿宋_GB2312"/>
          <w:sz w:val="32"/>
          <w:szCs w:val="32"/>
        </w:rPr>
        <w:t>1.项目主要内容。</w:t>
      </w:r>
    </w:p>
    <w:p>
      <w:pPr>
        <w:spacing w:line="578" w:lineRule="exact"/>
        <w:ind w:firstLineChars="200" w:firstLine="640"/>
        <w:rPr>
          <w:rFonts w:eastAsia="仿宋_GB2312"/>
          <w:sz w:val="32"/>
          <w:szCs w:val="32"/>
        </w:rPr>
      </w:pPr>
      <w:r>
        <w:rPr>
          <w:rFonts w:eastAsia="仿宋_GB2312"/>
          <w:sz w:val="32"/>
          <w:szCs w:val="32"/>
        </w:rPr>
        <w:t>通过向第三方项目公司购买服务，对现行我市疾病诊断编码进行映射，转化为国家医保2020版疾病诊断编码使用。</w:t>
      </w:r>
    </w:p>
    <w:p>
      <w:pPr>
        <w:spacing w:line="578" w:lineRule="exact"/>
        <w:ind w:firstLineChars="200" w:firstLine="640"/>
        <w:rPr>
          <w:rFonts w:eastAsia="仿宋_GB2312"/>
          <w:sz w:val="32"/>
          <w:szCs w:val="32"/>
        </w:rPr>
      </w:pPr>
      <w:r>
        <w:rPr>
          <w:rFonts w:eastAsia="仿宋_GB2312"/>
          <w:sz w:val="32"/>
          <w:szCs w:val="32"/>
        </w:rPr>
        <w:t>2.项目应实现的具体绩效目标。</w:t>
      </w:r>
    </w:p>
    <w:p>
      <w:pPr>
        <w:spacing w:line="578" w:lineRule="exact"/>
        <w:ind w:firstLineChars="200" w:firstLine="640"/>
        <w:rPr>
          <w:rFonts w:eastAsia="仿宋_GB2312"/>
          <w:sz w:val="32"/>
          <w:szCs w:val="32"/>
        </w:rPr>
      </w:pPr>
      <w:r>
        <w:rPr>
          <w:rFonts w:eastAsia="仿宋_GB2312"/>
          <w:sz w:val="32"/>
          <w:szCs w:val="32"/>
        </w:rPr>
        <w:t>完成贯彻执行15项国家医保编码标准工作，通过四川省医疗保障局验收。</w:t>
      </w:r>
    </w:p>
    <w:p>
      <w:pPr>
        <w:spacing w:line="578" w:lineRule="exact"/>
        <w:ind w:firstLineChars="200" w:firstLine="640"/>
        <w:rPr>
          <w:rFonts w:eastAsia="仿宋_GB2312"/>
          <w:sz w:val="32"/>
          <w:szCs w:val="32"/>
        </w:rPr>
      </w:pPr>
      <w:r>
        <w:rPr>
          <w:rFonts w:eastAsia="仿宋_GB2312"/>
          <w:sz w:val="32"/>
          <w:szCs w:val="32"/>
        </w:rPr>
        <w:t>3.分析评价申报内容是否与实际相符，申报目标是否合理可行。</w:t>
      </w:r>
    </w:p>
    <w:p>
      <w:pPr>
        <w:spacing w:line="578" w:lineRule="exact"/>
        <w:ind w:firstLineChars="200" w:firstLine="640"/>
        <w:rPr>
          <w:rFonts w:eastAsia="仿宋_GB2312"/>
          <w:sz w:val="32"/>
          <w:szCs w:val="32"/>
        </w:rPr>
      </w:pPr>
      <w:r>
        <w:rPr>
          <w:rFonts w:eastAsia="仿宋_GB2312"/>
          <w:sz w:val="32"/>
          <w:szCs w:val="32"/>
        </w:rPr>
        <w:t>本中心严格按照项目资金批复方案执行，申报内容与实际相符，申报目标合理可行。</w:t>
      </w:r>
    </w:p>
    <w:p>
      <w:pPr>
        <w:spacing w:line="578" w:lineRule="exact"/>
        <w:ind w:firstLineChars="200" w:firstLine="640"/>
        <w:rPr>
          <w:rFonts w:eastAsia="黑体"/>
          <w:sz w:val="32"/>
          <w:szCs w:val="32"/>
        </w:rPr>
      </w:pPr>
      <w:bookmarkStart w:id="158" w:name="_Toc6142"/>
      <w:r>
        <w:rPr>
          <w:rFonts w:eastAsia="黑体"/>
          <w:sz w:val="32"/>
          <w:szCs w:val="32"/>
        </w:rPr>
        <w:t>二、项目资金申报及使用情况</w:t>
      </w:r>
      <w:bookmarkEnd w:id="158"/>
    </w:p>
    <w:p>
      <w:pPr>
        <w:spacing w:line="578" w:lineRule="exact"/>
        <w:ind w:firstLineChars="200" w:firstLine="640"/>
        <w:rPr>
          <w:rFonts w:eastAsia="楷体_GB2312"/>
          <w:sz w:val="32"/>
          <w:szCs w:val="32"/>
        </w:rPr>
      </w:pPr>
      <w:r>
        <w:rPr>
          <w:rFonts w:eastAsia="楷体_GB2312"/>
          <w:sz w:val="32"/>
          <w:szCs w:val="32"/>
        </w:rPr>
        <w:t>（一）项目资金申报及批复情况。</w:t>
      </w:r>
    </w:p>
    <w:p>
      <w:pPr>
        <w:spacing w:line="578" w:lineRule="exact"/>
        <w:ind w:firstLineChars="200" w:firstLine="640"/>
        <w:rPr>
          <w:rFonts w:eastAsia="仿宋_GB2312"/>
          <w:sz w:val="32"/>
          <w:szCs w:val="32"/>
        </w:rPr>
      </w:pPr>
      <w:r>
        <w:rPr>
          <w:rFonts w:eastAsia="仿宋_GB2312"/>
          <w:sz w:val="32"/>
          <w:szCs w:val="32"/>
        </w:rPr>
        <w:t>2020年底，编制了2021年项目预算，“启用国家医保2020版疾病诊断编码”项目财政申报金额为40万元，财政批复数为20万元。</w:t>
      </w:r>
    </w:p>
    <w:p>
      <w:pPr>
        <w:spacing w:line="578" w:lineRule="exact"/>
        <w:ind w:firstLineChars="200" w:firstLine="640"/>
        <w:rPr>
          <w:rFonts w:eastAsia="楷体_GB2312"/>
          <w:sz w:val="32"/>
          <w:szCs w:val="32"/>
        </w:rPr>
      </w:pPr>
      <w:r>
        <w:rPr>
          <w:rFonts w:eastAsia="楷体_GB2312"/>
          <w:sz w:val="32"/>
          <w:szCs w:val="32"/>
        </w:rPr>
        <w:t>（二）资金计划、到位及使用情况（可用表格形式反映）。</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958"/>
        <w:gridCol w:w="1732"/>
        <w:gridCol w:w="1732"/>
        <w:gridCol w:w="2338"/>
      </w:tblGrid>
      <w:tr>
        <w:trPr>
          <w:trHeight w:val="749"/>
        </w:trPr>
        <w:tc>
          <w:tcPr>
            <w:tcW w:w="2958" w:type="dxa"/>
            <w:shd w:val="clear" w:color="auto" w:fill="auto"/>
            <w:noWrap/>
            <w:vAlign w:val="center"/>
          </w:tcPr>
          <w:p>
            <w:pPr>
              <w:spacing w:line="578" w:lineRule="exact"/>
              <w:jc w:val="center"/>
              <w:rPr>
                <w:rFonts w:eastAsia="黑体"/>
                <w:sz w:val="32"/>
                <w:szCs w:val="32"/>
              </w:rPr>
            </w:pPr>
            <w:r>
              <w:rPr>
                <w:rFonts w:eastAsia="黑体"/>
                <w:sz w:val="32"/>
                <w:szCs w:val="32"/>
              </w:rPr>
              <w:t>资金情况</w:t>
            </w:r>
          </w:p>
        </w:tc>
        <w:tc>
          <w:tcPr>
            <w:tcW w:w="1732" w:type="dxa"/>
            <w:shd w:val="clear" w:color="auto" w:fill="auto"/>
            <w:noWrap/>
            <w:vAlign w:val="center"/>
          </w:tcPr>
          <w:p>
            <w:pPr>
              <w:spacing w:line="578" w:lineRule="exact"/>
              <w:rPr>
                <w:rFonts w:eastAsia="黑体"/>
                <w:sz w:val="32"/>
                <w:szCs w:val="32"/>
              </w:rPr>
            </w:pPr>
            <w:r>
              <w:rPr>
                <w:rFonts w:eastAsia="黑体"/>
                <w:sz w:val="32"/>
                <w:szCs w:val="32"/>
              </w:rPr>
              <w:t>计划数</w:t>
            </w:r>
          </w:p>
        </w:tc>
        <w:tc>
          <w:tcPr>
            <w:tcW w:w="1732" w:type="dxa"/>
            <w:shd w:val="clear" w:color="auto" w:fill="auto"/>
            <w:noWrap/>
            <w:vAlign w:val="center"/>
          </w:tcPr>
          <w:p>
            <w:pPr>
              <w:spacing w:line="578" w:lineRule="exact"/>
              <w:jc w:val="center"/>
              <w:rPr>
                <w:rFonts w:eastAsia="黑体"/>
                <w:sz w:val="32"/>
                <w:szCs w:val="32"/>
              </w:rPr>
            </w:pPr>
            <w:r>
              <w:rPr>
                <w:rFonts w:eastAsia="黑体"/>
                <w:sz w:val="32"/>
                <w:szCs w:val="32"/>
              </w:rPr>
              <w:t>到位数</w:t>
            </w:r>
          </w:p>
        </w:tc>
        <w:tc>
          <w:tcPr>
            <w:tcW w:w="2338" w:type="dxa"/>
            <w:shd w:val="clear" w:color="auto" w:fill="auto"/>
            <w:noWrap/>
            <w:vAlign w:val="center"/>
          </w:tcPr>
          <w:p>
            <w:pPr>
              <w:spacing w:line="578" w:lineRule="exact"/>
              <w:jc w:val="center"/>
              <w:rPr>
                <w:rFonts w:eastAsia="黑体"/>
                <w:sz w:val="32"/>
                <w:szCs w:val="32"/>
              </w:rPr>
            </w:pPr>
            <w:r>
              <w:rPr>
                <w:rFonts w:eastAsia="黑体"/>
                <w:sz w:val="32"/>
                <w:szCs w:val="32"/>
              </w:rPr>
              <w:t>使用数</w:t>
            </w:r>
          </w:p>
        </w:tc>
      </w:tr>
      <w:tr>
        <w:trPr>
          <w:trHeight w:val="813"/>
        </w:trPr>
        <w:tc>
          <w:tcPr>
            <w:tcW w:w="2958" w:type="dxa"/>
            <w:shd w:val="clear" w:color="auto" w:fill="auto"/>
            <w:noWrap/>
            <w:vAlign w:val="center"/>
          </w:tcPr>
          <w:p>
            <w:pPr>
              <w:spacing w:line="578" w:lineRule="exact"/>
              <w:jc w:val="center"/>
              <w:rPr>
                <w:rFonts w:eastAsia="仿宋_GB2312"/>
                <w:sz w:val="32"/>
                <w:szCs w:val="32"/>
              </w:rPr>
            </w:pPr>
            <w:r>
              <w:rPr>
                <w:rFonts w:eastAsia="仿宋_GB2312"/>
                <w:sz w:val="32"/>
                <w:szCs w:val="32"/>
              </w:rPr>
              <w:t>金额（万元）</w:t>
            </w:r>
          </w:p>
        </w:tc>
        <w:tc>
          <w:tcPr>
            <w:tcW w:w="1732" w:type="dxa"/>
            <w:tcBorders>
              <w:top w:val="single" w:sz="4" w:space="0" w:color="auto"/>
              <w:left w:val="single" w:sz="4" w:space="0" w:color="auto"/>
              <w:right w:val="single" w:sz="4" w:space="0" w:color="auto"/>
            </w:tcBorders>
            <w:shd w:val="clear" w:color="auto" w:fill="auto"/>
            <w:noWrap/>
            <w:vAlign w:val="center"/>
          </w:tcPr>
          <w:p>
            <w:pPr>
              <w:spacing w:line="578" w:lineRule="exact"/>
              <w:jc w:val="center"/>
              <w:rPr>
                <w:rFonts w:eastAsia="仿宋_GB2312"/>
                <w:sz w:val="32"/>
                <w:szCs w:val="32"/>
              </w:rPr>
            </w:pPr>
            <w:r>
              <w:rPr>
                <w:rFonts w:eastAsia="仿宋_GB2312"/>
                <w:sz w:val="32"/>
                <w:szCs w:val="32"/>
              </w:rPr>
              <w:t>40</w:t>
            </w:r>
          </w:p>
        </w:tc>
        <w:tc>
          <w:tcPr>
            <w:tcW w:w="1732" w:type="dxa"/>
            <w:tcBorders>
              <w:top w:val="single" w:sz="4" w:space="0" w:color="auto"/>
              <w:left w:val="single" w:sz="4" w:space="0" w:color="auto"/>
              <w:right w:val="single" w:sz="4" w:space="0" w:color="auto"/>
            </w:tcBorders>
            <w:shd w:val="clear" w:color="auto" w:fill="auto"/>
            <w:noWrap/>
            <w:vAlign w:val="center"/>
          </w:tcPr>
          <w:p>
            <w:pPr>
              <w:spacing w:line="578" w:lineRule="exact"/>
              <w:jc w:val="center"/>
              <w:rPr>
                <w:rFonts w:eastAsia="仿宋_GB2312"/>
                <w:sz w:val="32"/>
                <w:szCs w:val="32"/>
              </w:rPr>
            </w:pPr>
            <w:r>
              <w:rPr>
                <w:rFonts w:eastAsia="仿宋_GB2312"/>
                <w:sz w:val="32"/>
                <w:szCs w:val="32"/>
              </w:rPr>
              <w:t>20</w:t>
            </w:r>
          </w:p>
        </w:tc>
        <w:tc>
          <w:tcPr>
            <w:tcW w:w="2338" w:type="dxa"/>
            <w:shd w:val="clear" w:color="auto" w:fill="auto"/>
            <w:noWrap/>
            <w:vAlign w:val="center"/>
          </w:tcPr>
          <w:p>
            <w:pPr>
              <w:spacing w:line="578" w:lineRule="exact"/>
              <w:jc w:val="center"/>
              <w:rPr>
                <w:rFonts w:eastAsia="仿宋_GB2312"/>
                <w:sz w:val="32"/>
                <w:szCs w:val="32"/>
              </w:rPr>
            </w:pPr>
            <w:r>
              <w:rPr>
                <w:rFonts w:eastAsia="仿宋_GB2312"/>
                <w:sz w:val="32"/>
                <w:szCs w:val="32"/>
              </w:rPr>
              <w:t>20</w:t>
            </w:r>
          </w:p>
        </w:tc>
      </w:tr>
    </w:tbl>
    <w:p>
      <w:pPr>
        <w:spacing w:line="578" w:lineRule="exact"/>
        <w:ind w:firstLineChars="200" w:firstLine="640"/>
        <w:rPr>
          <w:rFonts w:eastAsia="楷体_GB2312"/>
          <w:sz w:val="32"/>
          <w:szCs w:val="32"/>
        </w:rPr>
      </w:pPr>
      <w:r>
        <w:rPr>
          <w:rFonts w:eastAsia="楷体_GB2312"/>
          <w:sz w:val="32"/>
          <w:szCs w:val="32"/>
        </w:rPr>
        <w:t>（三）项目财务管理情况。</w:t>
      </w:r>
    </w:p>
    <w:p>
      <w:pPr>
        <w:spacing w:line="578" w:lineRule="exact"/>
        <w:ind w:firstLineChars="200" w:firstLine="640"/>
        <w:rPr>
          <w:rFonts w:eastAsia="仿宋_GB2312"/>
          <w:sz w:val="32"/>
          <w:szCs w:val="32"/>
        </w:rPr>
      </w:pPr>
      <w:r>
        <w:rPr>
          <w:rFonts w:eastAsia="仿宋_GB2312"/>
          <w:sz w:val="32"/>
          <w:szCs w:val="32"/>
        </w:rPr>
        <w:t>我中心对专项资金使用作出了规定，明确对资金的管理与使用。专项资金支出做到专款专用，严格遵守全市相关的资金管理办法，经费支出及时入账，完成会计核算。</w:t>
      </w:r>
    </w:p>
    <w:p>
      <w:pPr>
        <w:spacing w:line="578" w:lineRule="exact"/>
        <w:ind w:firstLineChars="200" w:firstLine="640"/>
        <w:rPr>
          <w:rFonts w:eastAsia="黑体"/>
          <w:sz w:val="32"/>
          <w:szCs w:val="32"/>
        </w:rPr>
      </w:pPr>
      <w:bookmarkStart w:id="159" w:name="_Toc17244"/>
      <w:r>
        <w:rPr>
          <w:rFonts w:eastAsia="黑体"/>
          <w:sz w:val="32"/>
          <w:szCs w:val="32"/>
        </w:rPr>
        <w:t>三、项目实施及管理情况</w:t>
      </w:r>
      <w:bookmarkEnd w:id="159"/>
    </w:p>
    <w:p>
      <w:pPr>
        <w:spacing w:line="578" w:lineRule="exact"/>
        <w:ind w:firstLineChars="200" w:firstLine="640"/>
        <w:rPr>
          <w:rFonts w:eastAsia="楷体_GB2312"/>
          <w:sz w:val="32"/>
          <w:szCs w:val="32"/>
        </w:rPr>
      </w:pPr>
      <w:r>
        <w:rPr>
          <w:rFonts w:eastAsia="楷体_GB2312"/>
          <w:sz w:val="32"/>
          <w:szCs w:val="32"/>
        </w:rPr>
        <w:t>（一）项目组织架构及实施流程。</w:t>
      </w:r>
    </w:p>
    <w:p>
      <w:pPr>
        <w:spacing w:line="578" w:lineRule="exact"/>
        <w:ind w:firstLineChars="200" w:firstLine="640"/>
        <w:rPr>
          <w:rFonts w:eastAsia="仿宋_GB2312"/>
          <w:sz w:val="32"/>
          <w:szCs w:val="32"/>
        </w:rPr>
      </w:pPr>
      <w:r>
        <w:rPr>
          <w:rFonts w:eastAsia="仿宋_GB2312"/>
          <w:sz w:val="32"/>
          <w:szCs w:val="32"/>
        </w:rPr>
        <w:t>1.组织架构。在市医疗保障局的领导下，市医疗保障事务中心与第三方项目公司建立了长期良好的合作机制，保障组织管理和运行的可持续性。</w:t>
      </w:r>
    </w:p>
    <w:p>
      <w:pPr>
        <w:spacing w:line="578" w:lineRule="exact"/>
        <w:ind w:firstLineChars="200" w:firstLine="640"/>
        <w:rPr>
          <w:rFonts w:eastAsia="仿宋_GB2312"/>
          <w:sz w:val="32"/>
          <w:szCs w:val="32"/>
        </w:rPr>
      </w:pPr>
      <w:r>
        <w:rPr>
          <w:rFonts w:eastAsia="仿宋_GB2312"/>
          <w:sz w:val="32"/>
          <w:szCs w:val="32"/>
        </w:rPr>
        <w:t>2.实施流程。与第三方项目公司签订合同;向第三方项目公司提出业务需求，制定工作方案，确定时间节点、工作流程和工作机制；配合和督促第三方项目公司按工作方案提供项目建设和服务。</w:t>
      </w:r>
    </w:p>
    <w:p>
      <w:pPr>
        <w:spacing w:line="578" w:lineRule="exact"/>
        <w:ind w:firstLineChars="200" w:firstLine="640"/>
        <w:rPr>
          <w:rFonts w:eastAsia="楷体_GB2312"/>
          <w:sz w:val="32"/>
          <w:szCs w:val="32"/>
        </w:rPr>
      </w:pPr>
      <w:r>
        <w:rPr>
          <w:rFonts w:eastAsia="楷体_GB2312"/>
          <w:sz w:val="32"/>
          <w:szCs w:val="32"/>
        </w:rPr>
        <w:t>（二）项目管理情况。</w:t>
      </w:r>
    </w:p>
    <w:p>
      <w:pPr>
        <w:spacing w:line="578" w:lineRule="exact"/>
        <w:ind w:firstLineChars="200" w:firstLine="640"/>
        <w:rPr>
          <w:rFonts w:eastAsia="仿宋_GB2312"/>
          <w:sz w:val="32"/>
          <w:szCs w:val="32"/>
        </w:rPr>
      </w:pPr>
      <w:r>
        <w:rPr>
          <w:rFonts w:eastAsia="仿宋_GB2312"/>
          <w:sz w:val="32"/>
          <w:szCs w:val="32"/>
        </w:rPr>
        <w:t>应对不确定因素的风控措施，物资采购及使用坚持务实管用、节约高效、公开透明、依法合规的原则。所需办公室设备和宣传、培训等物资采购，统一按照政府第三方服务采购有关要求进行。项目公司严格按照实施方案、会议决策执行，按时完成各项工作。严格按照政府第三方服务采购管理规定进行管理。</w:t>
      </w:r>
    </w:p>
    <w:p>
      <w:pPr>
        <w:spacing w:line="578" w:lineRule="exact"/>
        <w:ind w:firstLineChars="200" w:firstLine="640"/>
        <w:rPr>
          <w:rFonts w:eastAsia="楷体_GB2312"/>
          <w:sz w:val="32"/>
          <w:szCs w:val="32"/>
        </w:rPr>
      </w:pPr>
      <w:r>
        <w:rPr>
          <w:rFonts w:eastAsia="楷体_GB2312"/>
          <w:sz w:val="32"/>
          <w:szCs w:val="32"/>
        </w:rPr>
        <w:t>（三）项目监管情况。</w:t>
      </w:r>
    </w:p>
    <w:p>
      <w:pPr>
        <w:spacing w:line="578" w:lineRule="exact"/>
        <w:ind w:firstLineChars="200" w:firstLine="640"/>
        <w:rPr>
          <w:rFonts w:eastAsia="仿宋_GB2312"/>
          <w:sz w:val="32"/>
          <w:szCs w:val="32"/>
        </w:rPr>
      </w:pPr>
      <w:r>
        <w:rPr>
          <w:rFonts w:eastAsia="仿宋_GB2312"/>
          <w:sz w:val="32"/>
          <w:szCs w:val="32"/>
        </w:rPr>
        <w:t>主管部门通过定期开展工作联席会议等制度监管项目公司工作开展情况。</w:t>
      </w:r>
    </w:p>
    <w:p>
      <w:pPr>
        <w:spacing w:line="578" w:lineRule="exact"/>
        <w:ind w:firstLineChars="200" w:firstLine="640"/>
        <w:rPr>
          <w:rFonts w:eastAsia="黑体"/>
          <w:sz w:val="32"/>
          <w:szCs w:val="32"/>
        </w:rPr>
      </w:pPr>
      <w:bookmarkStart w:id="160" w:name="_Toc26798"/>
      <w:r>
        <w:rPr>
          <w:rFonts w:eastAsia="黑体"/>
          <w:sz w:val="32"/>
          <w:szCs w:val="32"/>
        </w:rPr>
        <w:t>四、项目绩效情况</w:t>
      </w:r>
      <w:bookmarkEnd w:id="160"/>
    </w:p>
    <w:p>
      <w:pPr>
        <w:spacing w:line="578" w:lineRule="exact"/>
        <w:ind w:firstLineChars="200" w:firstLine="640"/>
        <w:rPr>
          <w:rFonts w:eastAsia="楷体_GB2312"/>
          <w:sz w:val="32"/>
          <w:szCs w:val="32"/>
        </w:rPr>
      </w:pPr>
      <w:r>
        <w:rPr>
          <w:rFonts w:eastAsia="楷体_GB2312"/>
          <w:sz w:val="32"/>
          <w:szCs w:val="32"/>
        </w:rPr>
        <w:t>（一）项目完成情况。</w:t>
      </w:r>
    </w:p>
    <w:p>
      <w:pPr>
        <w:spacing w:line="578" w:lineRule="exact"/>
        <w:ind w:firstLineChars="200" w:firstLine="640"/>
        <w:rPr>
          <w:rFonts w:eastAsia="仿宋_GB2312"/>
          <w:sz w:val="32"/>
          <w:szCs w:val="32"/>
        </w:rPr>
      </w:pPr>
      <w:r>
        <w:rPr>
          <w:rFonts w:eastAsia="仿宋_GB2312"/>
          <w:sz w:val="32"/>
          <w:szCs w:val="32"/>
        </w:rPr>
        <w:t>按照计划完成全年工作目标，开展系统升级、改造，数据提取、分析，参数设定、修改，及开展培训等工作3余次。</w:t>
      </w:r>
    </w:p>
    <w:p>
      <w:pPr>
        <w:spacing w:line="578" w:lineRule="exact"/>
        <w:ind w:firstLineChars="200" w:firstLine="640"/>
        <w:rPr>
          <w:rFonts w:eastAsia="楷体_GB2312"/>
          <w:sz w:val="32"/>
          <w:szCs w:val="32"/>
        </w:rPr>
      </w:pPr>
      <w:r>
        <w:rPr>
          <w:rFonts w:eastAsia="楷体_GB2312"/>
          <w:sz w:val="32"/>
          <w:szCs w:val="32"/>
        </w:rPr>
        <w:t>（二）项目效益情况。</w:t>
      </w:r>
    </w:p>
    <w:p>
      <w:pPr>
        <w:spacing w:line="578" w:lineRule="exact"/>
        <w:ind w:firstLineChars="200" w:firstLine="640"/>
        <w:rPr>
          <w:rFonts w:eastAsia="仿宋_GB2312"/>
          <w:sz w:val="32"/>
          <w:szCs w:val="32"/>
        </w:rPr>
      </w:pPr>
      <w:r>
        <w:rPr>
          <w:rFonts w:eastAsia="仿宋_GB2312"/>
          <w:sz w:val="32"/>
          <w:szCs w:val="32"/>
        </w:rPr>
        <w:t>在项目经济效益上，医疗机构成本降低；社会效益上，市医保编码能在省医保规定时间内统一完成，形成统一规范的医疗保障业务编码标准；可持续效益上，到国家版本编码正式出台之前保证医院编码准确性。</w:t>
      </w:r>
    </w:p>
    <w:p>
      <w:pPr>
        <w:spacing w:line="578" w:lineRule="exact"/>
        <w:ind w:firstLineChars="200" w:firstLine="640"/>
        <w:rPr>
          <w:rFonts w:eastAsia="黑体"/>
          <w:sz w:val="32"/>
          <w:szCs w:val="32"/>
        </w:rPr>
      </w:pPr>
      <w:bookmarkStart w:id="161" w:name="_Toc5544"/>
      <w:r>
        <w:rPr>
          <w:rFonts w:eastAsia="黑体"/>
          <w:sz w:val="32"/>
          <w:szCs w:val="32"/>
        </w:rPr>
        <w:t>五、评价结论及建议</w:t>
      </w:r>
      <w:bookmarkEnd w:id="161"/>
    </w:p>
    <w:p>
      <w:pPr>
        <w:spacing w:line="578" w:lineRule="exact"/>
        <w:ind w:firstLineChars="200" w:firstLine="640"/>
        <w:rPr>
          <w:rFonts w:eastAsia="楷体_GB2312"/>
          <w:sz w:val="32"/>
          <w:szCs w:val="32"/>
        </w:rPr>
      </w:pPr>
      <w:r>
        <w:rPr>
          <w:rFonts w:eastAsia="楷体_GB2312"/>
          <w:sz w:val="32"/>
          <w:szCs w:val="32"/>
        </w:rPr>
        <w:t>（一）评价结论。</w:t>
      </w:r>
    </w:p>
    <w:p>
      <w:pPr>
        <w:spacing w:line="578" w:lineRule="exact"/>
        <w:ind w:firstLineChars="200" w:firstLine="640"/>
        <w:rPr>
          <w:rFonts w:eastAsia="仿宋_GB2312"/>
          <w:sz w:val="32"/>
          <w:szCs w:val="32"/>
        </w:rPr>
      </w:pPr>
      <w:r>
        <w:rPr>
          <w:rFonts w:eastAsia="仿宋_GB2312"/>
          <w:sz w:val="32"/>
          <w:szCs w:val="32"/>
        </w:rPr>
        <w:t>项目公司对“启用国家医保2020版疾病诊断编码”建设和服务，能够有效解决编码中出现的突出问题，充分发挥医保支付的激励约束作用，指导定点医疗机构完善内部医疗编码，提高医务人员保证质量、通过完善业务编码体系，可以提高我市医疗保障业务编码标准，在预期产出及效果中具有可持续性。</w:t>
      </w:r>
    </w:p>
    <w:p>
      <w:pPr>
        <w:spacing w:line="578" w:lineRule="exact"/>
        <w:ind w:firstLineChars="200" w:firstLine="640"/>
        <w:rPr>
          <w:rFonts w:eastAsia="仿宋_GB2312"/>
          <w:sz w:val="32"/>
          <w:szCs w:val="32"/>
        </w:rPr>
      </w:pPr>
      <w:r>
        <w:rPr>
          <w:rFonts w:eastAsia="仿宋_GB2312"/>
          <w:sz w:val="32"/>
          <w:szCs w:val="32"/>
        </w:rPr>
        <w:t>综上，该项目决策正确，管理到位，绩效显著。</w:t>
      </w:r>
    </w:p>
    <w:p>
      <w:pPr>
        <w:spacing w:line="578" w:lineRule="exact"/>
        <w:ind w:firstLineChars="200" w:firstLine="640"/>
        <w:rPr>
          <w:rFonts w:eastAsia="楷体_GB2312"/>
          <w:sz w:val="32"/>
          <w:szCs w:val="32"/>
        </w:rPr>
      </w:pPr>
      <w:r>
        <w:rPr>
          <w:rFonts w:eastAsia="楷体_GB2312"/>
          <w:sz w:val="32"/>
          <w:szCs w:val="32"/>
        </w:rPr>
        <w:t>（二）存在的问题。</w:t>
      </w:r>
    </w:p>
    <w:p>
      <w:pPr>
        <w:spacing w:line="578" w:lineRule="exact"/>
        <w:ind w:firstLineChars="200" w:firstLine="640"/>
        <w:rPr>
          <w:rFonts w:eastAsia="仿宋_GB2312"/>
          <w:sz w:val="32"/>
          <w:szCs w:val="32"/>
        </w:rPr>
      </w:pPr>
      <w:r>
        <w:rPr>
          <w:rFonts w:eastAsia="仿宋_GB2312"/>
          <w:sz w:val="32"/>
          <w:szCs w:val="32"/>
        </w:rPr>
        <w:t>是一项长期建设项目，目前，正处于试点阶段，难免出现无法预料的问题。</w:t>
      </w:r>
    </w:p>
    <w:p>
      <w:pPr>
        <w:spacing w:line="578" w:lineRule="exact"/>
        <w:ind w:firstLineChars="200" w:firstLine="640"/>
        <w:rPr>
          <w:rFonts w:eastAsia="楷体_GB2312"/>
          <w:sz w:val="32"/>
          <w:szCs w:val="32"/>
        </w:rPr>
      </w:pPr>
      <w:r>
        <w:rPr>
          <w:rFonts w:eastAsia="楷体_GB2312"/>
          <w:sz w:val="32"/>
          <w:szCs w:val="32"/>
        </w:rPr>
        <w:t>（三）相关建议。</w:t>
      </w:r>
    </w:p>
    <w:p>
      <w:pPr>
        <w:rPr>
          <w:rFonts w:eastAsia="黑体"/>
          <w:sz w:val="32"/>
          <w:szCs w:val="32"/>
        </w:rPr>
      </w:pPr>
      <w:r>
        <w:rPr>
          <w:rFonts w:eastAsia="仿宋_GB2312"/>
          <w:sz w:val="32"/>
          <w:szCs w:val="32"/>
        </w:rPr>
        <w:t>按照国家和四川省的要求，结合本地医保和医院发展实际情况，及时进行调整。</w:t>
      </w:r>
      <w:r>
        <w:rPr>
          <w:rFonts w:eastAsia="黑体"/>
          <w:sz w:val="32"/>
          <w:szCs w:val="32"/>
        </w:rPr>
        <w:br w:type="page"/>
      </w:r>
      <w:bookmarkStart w:id="162" w:name="_Toc1187"/>
      <w:bookmarkStart w:id="163" w:name="_Toc15963"/>
      <w:bookmarkStart w:id="164" w:name="_Toc29135"/>
      <w:bookmarkStart w:id="165" w:name="_Toc27524"/>
      <w:r>
        <w:rPr>
          <w:rFonts w:eastAsia="黑体"/>
          <w:sz w:val="32"/>
          <w:szCs w:val="32"/>
        </w:rPr>
        <w:t>附件4</w:t>
      </w:r>
      <w:bookmarkEnd w:id="162"/>
      <w:bookmarkEnd w:id="163"/>
      <w:bookmarkEnd w:id="164"/>
      <w:bookmarkEnd w:id="165"/>
    </w:p>
    <w:p>
      <w:pPr>
        <w:spacing w:line="578" w:lineRule="exact"/>
        <w:ind w:firstLineChars="200" w:firstLine="640"/>
        <w:jc w:val="center"/>
        <w:rPr>
          <w:rFonts w:eastAsia="方正小标宋_GBK"/>
          <w:sz w:val="32"/>
          <w:szCs w:val="32"/>
        </w:rPr>
      </w:pPr>
    </w:p>
    <w:p>
      <w:pPr>
        <w:spacing w:line="578" w:lineRule="exact"/>
        <w:jc w:val="center"/>
        <w:rPr>
          <w:rFonts w:eastAsia="方正小标宋_GBK"/>
          <w:sz w:val="44"/>
          <w:szCs w:val="44"/>
        </w:rPr>
      </w:pPr>
      <w:r>
        <w:rPr>
          <w:rFonts w:eastAsia="方正小标宋_GBK"/>
          <w:sz w:val="44"/>
          <w:szCs w:val="44"/>
        </w:rPr>
        <w:t>攀枝花市医疗保障事务中心</w:t>
      </w:r>
    </w:p>
    <w:p>
      <w:pPr>
        <w:spacing w:line="578" w:lineRule="exact"/>
        <w:jc w:val="center"/>
        <w:rPr>
          <w:rFonts w:eastAsia="方正小标宋_GBK"/>
          <w:sz w:val="44"/>
          <w:szCs w:val="44"/>
        </w:rPr>
      </w:pPr>
      <w:r>
        <w:rPr>
          <w:rFonts w:eastAsia="方正小标宋_GBK"/>
          <w:sz w:val="44"/>
          <w:szCs w:val="44"/>
        </w:rPr>
        <w:t>中央财政医疗服务与保障能力提升补助资金</w:t>
      </w:r>
    </w:p>
    <w:p>
      <w:pPr>
        <w:spacing w:line="578" w:lineRule="exact"/>
        <w:jc w:val="center"/>
        <w:rPr>
          <w:rFonts w:eastAsia="方正小标宋_GBK"/>
          <w:sz w:val="44"/>
          <w:szCs w:val="44"/>
        </w:rPr>
      </w:pPr>
      <w:r>
        <w:rPr>
          <w:rFonts w:eastAsia="方正小标宋_GBK"/>
          <w:sz w:val="44"/>
          <w:szCs w:val="44"/>
        </w:rPr>
        <w:t>项目支出绩效自评报告</w:t>
      </w:r>
    </w:p>
    <w:p>
      <w:pPr>
        <w:spacing w:line="578" w:lineRule="exact"/>
        <w:jc w:val="center"/>
        <w:rPr>
          <w:rFonts w:eastAsia="方正小标宋_GBK"/>
          <w:sz w:val="44"/>
          <w:szCs w:val="44"/>
        </w:rPr>
      </w:pPr>
    </w:p>
    <w:p>
      <w:pPr>
        <w:spacing w:line="578" w:lineRule="exact"/>
        <w:ind w:firstLineChars="200" w:firstLine="640"/>
        <w:rPr>
          <w:rFonts w:eastAsia="黑体"/>
          <w:sz w:val="32"/>
          <w:szCs w:val="32"/>
        </w:rPr>
      </w:pPr>
      <w:bookmarkStart w:id="166" w:name="_Toc25096"/>
      <w:r>
        <w:rPr>
          <w:rFonts w:eastAsia="黑体"/>
          <w:sz w:val="32"/>
          <w:szCs w:val="32"/>
        </w:rPr>
        <w:t>一、项目概况</w:t>
      </w:r>
      <w:bookmarkEnd w:id="166"/>
    </w:p>
    <w:p>
      <w:pPr>
        <w:spacing w:line="578" w:lineRule="exact"/>
        <w:ind w:firstLineChars="200" w:firstLine="640"/>
        <w:rPr>
          <w:rFonts w:eastAsia="楷体_GB2312"/>
          <w:sz w:val="32"/>
          <w:szCs w:val="32"/>
        </w:rPr>
      </w:pPr>
      <w:r>
        <w:rPr>
          <w:rFonts w:eastAsia="楷体_GB2312"/>
          <w:sz w:val="32"/>
          <w:szCs w:val="32"/>
        </w:rPr>
        <w:t>（一）项目基本情况。</w:t>
      </w:r>
    </w:p>
    <w:p>
      <w:pPr>
        <w:spacing w:line="578" w:lineRule="exact"/>
        <w:ind w:firstLineChars="200" w:firstLine="640"/>
        <w:rPr>
          <w:rFonts w:eastAsia="仿宋_GB2312"/>
          <w:sz w:val="32"/>
          <w:szCs w:val="32"/>
        </w:rPr>
      </w:pPr>
      <w:r>
        <w:rPr>
          <w:rFonts w:eastAsia="仿宋_GB2312"/>
          <w:sz w:val="32"/>
          <w:szCs w:val="32"/>
        </w:rPr>
        <w:t>1.项目主管部门（单位）在该项目管理中的职能。</w:t>
      </w:r>
    </w:p>
    <w:p>
      <w:pPr>
        <w:spacing w:line="578" w:lineRule="exact"/>
        <w:ind w:firstLineChars="200" w:firstLine="640"/>
        <w:rPr>
          <w:rFonts w:eastAsia="仿宋_GB2312"/>
          <w:sz w:val="32"/>
          <w:szCs w:val="32"/>
        </w:rPr>
      </w:pPr>
      <w:r>
        <w:rPr>
          <w:rFonts w:eastAsia="仿宋_GB2312"/>
          <w:sz w:val="32"/>
          <w:szCs w:val="32"/>
        </w:rPr>
        <w:t>攀枝花市医疗保障事务中心在该项目中负责经办能力建设、医保基金监管、支付方式改革、信息化建设及公共服务水平提升等方面。</w:t>
      </w:r>
    </w:p>
    <w:p>
      <w:pPr>
        <w:spacing w:line="578" w:lineRule="exact"/>
        <w:ind w:firstLineChars="200" w:firstLine="640"/>
        <w:rPr>
          <w:rFonts w:eastAsia="仿宋_GB2312"/>
          <w:sz w:val="32"/>
          <w:szCs w:val="32"/>
        </w:rPr>
      </w:pPr>
      <w:r>
        <w:rPr>
          <w:rFonts w:eastAsia="仿宋_GB2312"/>
          <w:sz w:val="32"/>
          <w:szCs w:val="32"/>
        </w:rPr>
        <w:t>2.项目立项、资金申报的依据。</w:t>
      </w:r>
    </w:p>
    <w:p>
      <w:pPr>
        <w:spacing w:line="578" w:lineRule="exact"/>
        <w:ind w:firstLineChars="200" w:firstLine="640"/>
        <w:rPr>
          <w:rFonts w:eastAsia="仿宋_GB2312"/>
          <w:sz w:val="32"/>
          <w:szCs w:val="32"/>
        </w:rPr>
      </w:pPr>
      <w:r>
        <w:rPr>
          <w:rFonts w:eastAsia="仿宋_GB2312"/>
          <w:sz w:val="32"/>
          <w:szCs w:val="32"/>
        </w:rPr>
        <w:t>一是贯彻中央医疗保障制度改革有关医疗保障能力建设决策部署，梳理归纳我市医疗保障制度改革的近期、中期、长期目标任务，提前谋划和准备《攀枝花市深化医疗保障制度改革实施方案》。同时，认真研究我省《关于深化医疗保障制度改革的实施意见》（征求意见稿），提出多项修改完善建议，为加快建设我省覆盖全民、城乡统筹、权责清晰、保障适度、可持续的多层次医疗保障体系，实现更好保障病有所医目标贡献攀枝花智慧。二是严格执行预算绩效管理和资金管理办法，符合医疗保障与服务能力提升的资金使用要求。</w:t>
      </w:r>
    </w:p>
    <w:p>
      <w:pPr>
        <w:spacing w:line="578" w:lineRule="exact"/>
        <w:ind w:firstLineChars="200" w:firstLine="640"/>
        <w:rPr>
          <w:rFonts w:eastAsia="仿宋_GB2312"/>
          <w:sz w:val="32"/>
          <w:szCs w:val="32"/>
        </w:rPr>
      </w:pPr>
      <w:r>
        <w:rPr>
          <w:rFonts w:eastAsia="仿宋_GB2312"/>
          <w:sz w:val="32"/>
          <w:szCs w:val="32"/>
        </w:rPr>
        <w:t>3．资金来源。</w:t>
      </w:r>
    </w:p>
    <w:p>
      <w:pPr>
        <w:spacing w:line="578" w:lineRule="exact"/>
        <w:ind w:firstLineChars="200" w:firstLine="640"/>
        <w:rPr>
          <w:rFonts w:eastAsia="仿宋_GB2312"/>
          <w:sz w:val="32"/>
          <w:szCs w:val="32"/>
        </w:rPr>
      </w:pPr>
      <w:r>
        <w:rPr>
          <w:rFonts w:eastAsia="仿宋_GB2312"/>
          <w:sz w:val="32"/>
          <w:szCs w:val="32"/>
        </w:rPr>
        <w:t>按照主管部门“三重一大”决策制度，对涉及重大项目安排、大额资金使用等进行集体决策，决策程序规范、合规，实现项目资金决策的科学化、民主化。由市医疗保障局就2021年医疗保障与服务能力提升补助资金104万元向市财政提出了资金分配方案，其中，攀枝花市医疗保障局（简称“市医保局”）50万元，下属事业单位攀枝花市医疗保障事务中心(简称“市医保事务中心”)20万元。东区医疗保障局6万元，西区医疗保障局7万元，仁和区医疗保障局6万元，盐边县医疗保障局7万元，米易县医疗保障局8万元。</w:t>
      </w:r>
    </w:p>
    <w:p>
      <w:pPr>
        <w:spacing w:line="578" w:lineRule="exact"/>
        <w:ind w:firstLineChars="200" w:firstLine="640"/>
        <w:rPr>
          <w:rFonts w:eastAsia="楷体_GB2312"/>
          <w:sz w:val="32"/>
          <w:szCs w:val="32"/>
        </w:rPr>
      </w:pPr>
      <w:r>
        <w:rPr>
          <w:rFonts w:eastAsia="楷体_GB2312"/>
          <w:sz w:val="32"/>
          <w:szCs w:val="32"/>
        </w:rPr>
        <w:t>（二）项目绩效目标。</w:t>
      </w:r>
    </w:p>
    <w:p>
      <w:pPr>
        <w:spacing w:line="578" w:lineRule="exact"/>
        <w:ind w:firstLineChars="200" w:firstLine="640"/>
        <w:rPr>
          <w:rFonts w:eastAsia="仿宋_GB2312"/>
          <w:sz w:val="32"/>
          <w:szCs w:val="32"/>
        </w:rPr>
      </w:pPr>
      <w:r>
        <w:rPr>
          <w:rFonts w:eastAsia="仿宋_GB2312"/>
          <w:sz w:val="32"/>
          <w:szCs w:val="32"/>
        </w:rPr>
        <w:t>1．项目主要内容。</w:t>
      </w:r>
    </w:p>
    <w:p>
      <w:pPr>
        <w:spacing w:line="578" w:lineRule="exact"/>
        <w:ind w:firstLineChars="200" w:firstLine="640"/>
        <w:rPr>
          <w:rFonts w:eastAsia="仿宋_GB2312"/>
          <w:sz w:val="32"/>
          <w:szCs w:val="32"/>
        </w:rPr>
      </w:pPr>
      <w:r>
        <w:rPr>
          <w:rFonts w:eastAsia="仿宋_GB2312"/>
          <w:sz w:val="32"/>
          <w:szCs w:val="32"/>
        </w:rPr>
        <w:t>按照年初报送的医疗保障与服务能力提升补助资金绩效目标申报表，科学设置绩效目标值，细化绩效目标的支出内容，确保全年绩效目标顺利完成。医疗保障与服务能力提升补助资金主要用于经办能力建设、医保基金监管、支付方式改革、信息化建设及公共服务水平提升等方面</w:t>
      </w:r>
    </w:p>
    <w:p>
      <w:pPr>
        <w:spacing w:line="578" w:lineRule="exact"/>
        <w:ind w:firstLineChars="200" w:firstLine="640"/>
        <w:rPr>
          <w:rFonts w:eastAsia="仿宋_GB2312"/>
          <w:sz w:val="32"/>
          <w:szCs w:val="32"/>
        </w:rPr>
      </w:pPr>
      <w:r>
        <w:rPr>
          <w:rFonts w:eastAsia="仿宋_GB2312"/>
          <w:sz w:val="32"/>
          <w:szCs w:val="32"/>
        </w:rPr>
        <w:t>2．项目应实现的具体绩效目标，包括目标的量化、细化情况以及项目实施进度计划等。</w:t>
      </w:r>
    </w:p>
    <w:p>
      <w:pPr>
        <w:spacing w:line="578" w:lineRule="exact"/>
        <w:ind w:firstLineChars="200" w:firstLine="640"/>
        <w:rPr>
          <w:rFonts w:eastAsia="仿宋_GB2312"/>
          <w:sz w:val="32"/>
          <w:szCs w:val="32"/>
        </w:rPr>
      </w:pPr>
      <w:r>
        <w:rPr>
          <w:rFonts w:eastAsia="仿宋_GB2312"/>
          <w:sz w:val="32"/>
          <w:szCs w:val="32"/>
        </w:rPr>
        <w:t>通过科学细化绩效产出目标，合理安排预算资金支出，使绩效管理与医保业务各环节相融合，确保我市医疗保障和服务能力有所提升。主要从经办能力建设、医保基金监管、支付方式改革、信息化建设及公共服务水平提升等方面开展绩效评价。</w:t>
      </w:r>
    </w:p>
    <w:p>
      <w:pPr>
        <w:spacing w:line="578" w:lineRule="exact"/>
        <w:ind w:firstLineChars="200" w:firstLine="640"/>
        <w:rPr>
          <w:rFonts w:eastAsia="仿宋_GB2312"/>
          <w:sz w:val="32"/>
          <w:szCs w:val="32"/>
        </w:rPr>
      </w:pPr>
      <w:r>
        <w:rPr>
          <w:rFonts w:eastAsia="仿宋_GB2312"/>
          <w:sz w:val="32"/>
          <w:szCs w:val="32"/>
        </w:rPr>
        <w:t>3．分析评价申报内容是否与实际相符，申报目标是否合理可行。</w:t>
      </w:r>
    </w:p>
    <w:p>
      <w:pPr>
        <w:spacing w:line="578" w:lineRule="exact"/>
        <w:ind w:firstLineChars="200" w:firstLine="640"/>
        <w:rPr>
          <w:rFonts w:eastAsia="仿宋_GB2312"/>
          <w:sz w:val="32"/>
          <w:szCs w:val="32"/>
        </w:rPr>
      </w:pPr>
      <w:r>
        <w:rPr>
          <w:rFonts w:eastAsia="仿宋_GB2312"/>
          <w:sz w:val="32"/>
          <w:szCs w:val="32"/>
        </w:rPr>
        <w:t>本中心严格按照项目资金批复方案执行，申报内容与实际相符，申报目标合理可行。</w:t>
      </w:r>
    </w:p>
    <w:p>
      <w:pPr>
        <w:spacing w:line="578" w:lineRule="exact"/>
        <w:ind w:firstLineChars="200" w:firstLine="640"/>
        <w:rPr>
          <w:rFonts w:eastAsia="黑体"/>
          <w:sz w:val="32"/>
          <w:szCs w:val="32"/>
        </w:rPr>
      </w:pPr>
      <w:bookmarkStart w:id="167" w:name="_Toc22432"/>
      <w:r>
        <w:rPr>
          <w:rFonts w:eastAsia="黑体"/>
          <w:sz w:val="32"/>
          <w:szCs w:val="32"/>
        </w:rPr>
        <w:t>二、项目资金申报及使用情况</w:t>
      </w:r>
      <w:bookmarkEnd w:id="167"/>
    </w:p>
    <w:p>
      <w:pPr>
        <w:spacing w:line="578" w:lineRule="exact"/>
        <w:ind w:firstLineChars="200" w:firstLine="640"/>
        <w:rPr>
          <w:rFonts w:eastAsia="楷体_GB2312"/>
          <w:sz w:val="32"/>
          <w:szCs w:val="32"/>
        </w:rPr>
      </w:pPr>
      <w:r>
        <w:rPr>
          <w:rFonts w:eastAsia="楷体_GB2312"/>
          <w:sz w:val="32"/>
          <w:szCs w:val="32"/>
        </w:rPr>
        <w:t>（一）项目资金申报及批复情况。</w:t>
      </w:r>
    </w:p>
    <w:p>
      <w:pPr>
        <w:spacing w:line="578" w:lineRule="exact"/>
        <w:ind w:firstLineChars="200" w:firstLine="640"/>
        <w:rPr>
          <w:rFonts w:eastAsia="楷体_GB2312"/>
          <w:sz w:val="32"/>
          <w:szCs w:val="32"/>
        </w:rPr>
      </w:pPr>
      <w:r>
        <w:rPr>
          <w:rFonts w:eastAsia="仿宋_GB2312"/>
          <w:color w:val="000000"/>
          <w:sz w:val="32"/>
          <w:szCs w:val="32"/>
        </w:rPr>
        <w:t>医疗服务与保障能力提升中央财政补助资金由省财政厅划拨到市财政局，市保障局提出资金分配方案向财政申请划拨，市财政局按程序进行批复。</w:t>
      </w:r>
      <w:r>
        <w:rPr>
          <w:rFonts w:eastAsia="微软雅黑"/>
          <w:color w:val="000000"/>
          <w:sz w:val="32"/>
          <w:szCs w:val="32"/>
        </w:rPr>
        <w:t>2021</w:t>
      </w:r>
      <w:r>
        <w:rPr>
          <w:rFonts w:eastAsia="仿宋_GB2312"/>
          <w:color w:val="000000"/>
          <w:sz w:val="32"/>
          <w:szCs w:val="32"/>
        </w:rPr>
        <w:t>年划拨我中心医疗保障与服务能力中央财政补助资金</w:t>
      </w:r>
      <w:r>
        <w:rPr>
          <w:rFonts w:eastAsia="微软雅黑"/>
          <w:color w:val="000000"/>
          <w:sz w:val="32"/>
          <w:szCs w:val="32"/>
        </w:rPr>
        <w:t>20</w:t>
      </w:r>
      <w:r>
        <w:rPr>
          <w:rFonts w:eastAsia="仿宋_GB2312"/>
          <w:color w:val="000000"/>
          <w:sz w:val="32"/>
          <w:szCs w:val="32"/>
        </w:rPr>
        <w:t>万元。</w:t>
      </w:r>
    </w:p>
    <w:p>
      <w:pPr>
        <w:spacing w:line="578" w:lineRule="exact"/>
        <w:ind w:firstLineChars="200" w:firstLine="640"/>
        <w:rPr>
          <w:rFonts w:eastAsia="楷体_GB2312"/>
          <w:sz w:val="32"/>
          <w:szCs w:val="32"/>
        </w:rPr>
      </w:pPr>
      <w:r>
        <w:rPr>
          <w:rFonts w:eastAsia="楷体_GB2312"/>
          <w:sz w:val="32"/>
          <w:szCs w:val="32"/>
        </w:rPr>
        <w:t>（二）资金计划、到位及使用情况（可用表格形式反映）。</w:t>
      </w:r>
    </w:p>
    <w:p>
      <w:pPr>
        <w:spacing w:line="578" w:lineRule="exact"/>
        <w:ind w:firstLineChars="200" w:firstLine="640"/>
        <w:rPr>
          <w:rFonts w:eastAsia="仿宋_GB2312"/>
          <w:sz w:val="32"/>
          <w:szCs w:val="32"/>
        </w:rPr>
      </w:pPr>
      <w:r>
        <w:rPr>
          <w:rFonts w:eastAsia="仿宋_GB2312"/>
          <w:sz w:val="32"/>
          <w:szCs w:val="32"/>
        </w:rPr>
        <w:t>1．资金计划。</w:t>
      </w:r>
    </w:p>
    <w:p>
      <w:pPr>
        <w:spacing w:line="578" w:lineRule="exact"/>
        <w:ind w:firstLineChars="200" w:firstLine="640"/>
        <w:rPr>
          <w:rFonts w:eastAsia="仿宋_GB2312"/>
          <w:sz w:val="32"/>
          <w:szCs w:val="32"/>
        </w:rPr>
      </w:pPr>
      <w:r>
        <w:rPr>
          <w:rFonts w:eastAsia="仿宋_GB2312"/>
          <w:sz w:val="32"/>
          <w:szCs w:val="32"/>
        </w:rPr>
        <w:t>该项目资金计划20万元，由市医疗保障局就2021年医疗保障与服务能力提升补助资金向市财政提出了资金分配方案。</w:t>
      </w:r>
    </w:p>
    <w:p>
      <w:pPr>
        <w:spacing w:line="578" w:lineRule="exact"/>
        <w:ind w:firstLineChars="200" w:firstLine="640"/>
        <w:rPr>
          <w:rFonts w:eastAsia="仿宋_GB2312"/>
          <w:sz w:val="32"/>
          <w:szCs w:val="32"/>
        </w:rPr>
      </w:pPr>
      <w:r>
        <w:rPr>
          <w:rFonts w:eastAsia="仿宋_GB2312"/>
          <w:sz w:val="32"/>
          <w:szCs w:val="32"/>
        </w:rPr>
        <w:t>2．资金到位。</w:t>
      </w:r>
    </w:p>
    <w:p>
      <w:pPr>
        <w:spacing w:line="578" w:lineRule="exact"/>
        <w:ind w:firstLineChars="200" w:firstLine="640"/>
        <w:rPr>
          <w:rFonts w:eastAsia="仿宋_GB2312"/>
          <w:sz w:val="32"/>
          <w:szCs w:val="32"/>
        </w:rPr>
      </w:pPr>
      <w:r>
        <w:rPr>
          <w:rFonts w:eastAsia="仿宋_GB2312"/>
          <w:sz w:val="32"/>
          <w:szCs w:val="32"/>
        </w:rPr>
        <w:t>2021年资金20万元已全额到位，资金到位率100%。</w:t>
      </w:r>
    </w:p>
    <w:p>
      <w:pPr>
        <w:spacing w:line="578" w:lineRule="exact"/>
        <w:ind w:firstLineChars="200" w:firstLine="640"/>
        <w:rPr>
          <w:rFonts w:eastAsia="仿宋_GB2312"/>
          <w:sz w:val="32"/>
          <w:szCs w:val="32"/>
        </w:rPr>
      </w:pPr>
      <w:r>
        <w:rPr>
          <w:rFonts w:eastAsia="仿宋_GB2312"/>
          <w:sz w:val="32"/>
          <w:szCs w:val="32"/>
        </w:rPr>
        <w:t>3．资金使用。</w:t>
      </w:r>
    </w:p>
    <w:p>
      <w:pPr>
        <w:spacing w:line="578" w:lineRule="exact"/>
        <w:ind w:firstLineChars="200" w:firstLine="640"/>
        <w:rPr>
          <w:rFonts w:eastAsia="仿宋_GB2312"/>
          <w:sz w:val="32"/>
          <w:szCs w:val="32"/>
        </w:rPr>
      </w:pPr>
      <w:r>
        <w:rPr>
          <w:rFonts w:eastAsia="仿宋_GB2312"/>
          <w:sz w:val="32"/>
          <w:szCs w:val="32"/>
        </w:rPr>
        <w:t>截至2021年12月31日，该项目资金已支付使用资金20万元，主要用于医保中心经办服务能力提升19.04万元，基金监管稽核0.38万元，干部队伍培训0.58万元。</w:t>
      </w:r>
    </w:p>
    <w:p>
      <w:pPr>
        <w:spacing w:line="578" w:lineRule="exact"/>
        <w:ind w:firstLineChars="200" w:firstLine="640"/>
        <w:rPr>
          <w:rFonts w:eastAsia="仿宋_GB2312"/>
          <w:sz w:val="32"/>
          <w:szCs w:val="32"/>
        </w:rPr>
      </w:pPr>
      <w:r>
        <w:rPr>
          <w:rFonts w:eastAsia="仿宋_GB2312"/>
          <w:sz w:val="32"/>
          <w:szCs w:val="32"/>
        </w:rPr>
        <w:t>本中心资金支付使用严格按照批复方案和实施合同规定执行，资金使用合理规范，合规合法。</w:t>
      </w:r>
    </w:p>
    <w:p>
      <w:pPr>
        <w:spacing w:line="578" w:lineRule="exact"/>
        <w:ind w:firstLineChars="200" w:firstLine="640"/>
        <w:rPr>
          <w:rFonts w:eastAsia="楷体_GB2312"/>
          <w:sz w:val="32"/>
          <w:szCs w:val="32"/>
        </w:rPr>
      </w:pPr>
      <w:r>
        <w:rPr>
          <w:rFonts w:eastAsia="楷体_GB2312"/>
          <w:sz w:val="32"/>
          <w:szCs w:val="32"/>
        </w:rPr>
        <w:t>（三）项目财务管理情况。</w:t>
      </w:r>
    </w:p>
    <w:p>
      <w:pPr>
        <w:spacing w:line="578" w:lineRule="exact"/>
        <w:ind w:firstLineChars="200" w:firstLine="640"/>
        <w:rPr>
          <w:rFonts w:eastAsia="仿宋_GB2312"/>
          <w:sz w:val="32"/>
          <w:szCs w:val="32"/>
        </w:rPr>
      </w:pPr>
      <w:r>
        <w:rPr>
          <w:rFonts w:eastAsia="仿宋_GB2312"/>
          <w:sz w:val="32"/>
          <w:szCs w:val="32"/>
        </w:rPr>
        <w:t>符合财经法规和有关专项资金管理办法，医疗保障与服务能力提升补助资金作为项目资金管理，资金拨付由财政审批，支付环节由财务人员、分管领导或主要负责人层层审核，未发生截留、挤占、挪用、虚列支出等情况。</w:t>
      </w:r>
    </w:p>
    <w:p>
      <w:pPr>
        <w:spacing w:line="578" w:lineRule="exact"/>
        <w:ind w:firstLineChars="200" w:firstLine="640"/>
        <w:rPr>
          <w:rFonts w:eastAsia="黑体"/>
          <w:sz w:val="32"/>
          <w:szCs w:val="32"/>
        </w:rPr>
      </w:pPr>
      <w:bookmarkStart w:id="168" w:name="_Toc26413"/>
      <w:r>
        <w:rPr>
          <w:rFonts w:eastAsia="黑体"/>
          <w:sz w:val="32"/>
          <w:szCs w:val="32"/>
        </w:rPr>
        <w:t>三、项目实施及管理情况</w:t>
      </w:r>
      <w:bookmarkEnd w:id="168"/>
    </w:p>
    <w:p>
      <w:pPr>
        <w:spacing w:line="578" w:lineRule="exact"/>
        <w:ind w:firstLineChars="200" w:firstLine="640"/>
        <w:rPr>
          <w:rFonts w:eastAsia="仿宋_GB2312"/>
          <w:sz w:val="32"/>
          <w:szCs w:val="32"/>
        </w:rPr>
      </w:pPr>
      <w:r>
        <w:rPr>
          <w:rFonts w:eastAsia="仿宋_GB2312"/>
          <w:sz w:val="32"/>
          <w:szCs w:val="32"/>
        </w:rPr>
        <w:t>根据主管部门印发《攀枝花市医疗保障局“三重一大”决策制度》和《攀枝花市医疗保障事务中心财务管理办法》，明确了资金的使用和管理要求，所有财政拨款资金全部纳入绩效管理，一个年度结束后开展绩效评价工作。</w:t>
      </w:r>
    </w:p>
    <w:p>
      <w:pPr>
        <w:spacing w:line="578" w:lineRule="exact"/>
        <w:ind w:firstLineChars="200" w:firstLine="640"/>
        <w:rPr>
          <w:rFonts w:eastAsia="黑体"/>
          <w:sz w:val="32"/>
          <w:szCs w:val="32"/>
        </w:rPr>
      </w:pPr>
      <w:bookmarkStart w:id="169" w:name="_Toc28922"/>
      <w:r>
        <w:rPr>
          <w:rFonts w:eastAsia="黑体"/>
          <w:sz w:val="32"/>
          <w:szCs w:val="32"/>
        </w:rPr>
        <w:t>四、项目绩效情况</w:t>
      </w:r>
      <w:bookmarkEnd w:id="169"/>
    </w:p>
    <w:p>
      <w:pPr>
        <w:spacing w:line="578" w:lineRule="exact"/>
        <w:ind w:firstLineChars="200" w:firstLine="640"/>
        <w:rPr>
          <w:rFonts w:eastAsia="楷体_GB2312"/>
          <w:sz w:val="32"/>
          <w:szCs w:val="32"/>
        </w:rPr>
      </w:pPr>
      <w:r>
        <w:rPr>
          <w:rFonts w:eastAsia="楷体_GB2312"/>
          <w:sz w:val="32"/>
          <w:szCs w:val="32"/>
        </w:rPr>
        <w:t>（一）项目完成情况。</w:t>
      </w:r>
    </w:p>
    <w:p>
      <w:pPr>
        <w:spacing w:line="578" w:lineRule="exact"/>
        <w:ind w:firstLineChars="200" w:firstLine="640"/>
        <w:rPr>
          <w:rFonts w:eastAsia="仿宋_GB2312"/>
          <w:sz w:val="32"/>
          <w:szCs w:val="32"/>
        </w:rPr>
      </w:pPr>
      <w:r>
        <w:rPr>
          <w:rFonts w:eastAsia="仿宋_GB2312"/>
          <w:sz w:val="32"/>
          <w:szCs w:val="32"/>
        </w:rPr>
        <w:t>数量指标：</w:t>
      </w:r>
    </w:p>
    <w:p>
      <w:pPr>
        <w:spacing w:line="578" w:lineRule="exact"/>
        <w:ind w:firstLineChars="200" w:firstLine="640"/>
        <w:rPr>
          <w:rFonts w:eastAsia="仿宋_GB2312"/>
          <w:color w:val="000000"/>
          <w:sz w:val="32"/>
          <w:szCs w:val="32"/>
        </w:rPr>
      </w:pPr>
      <w:r>
        <w:rPr>
          <w:rFonts w:eastAsia="仿宋_GB2312"/>
          <w:sz w:val="32"/>
          <w:szCs w:val="32"/>
        </w:rPr>
        <w:t>（1）</w:t>
      </w:r>
      <w:r>
        <w:rPr>
          <w:rFonts w:eastAsia="仿宋_GB2312"/>
          <w:color w:val="000000"/>
          <w:sz w:val="32"/>
          <w:szCs w:val="32"/>
        </w:rPr>
        <w:t>市、县（区）医保部门先后举办《医疗保障基金使用监督管理条例》培训会2次。</w:t>
      </w:r>
    </w:p>
    <w:p>
      <w:pPr>
        <w:spacing w:line="578" w:lineRule="exact"/>
        <w:ind w:firstLineChars="200" w:firstLine="640"/>
        <w:rPr>
          <w:rFonts w:eastAsia="仿宋_GB2312"/>
          <w:sz w:val="32"/>
          <w:szCs w:val="32"/>
        </w:rPr>
      </w:pPr>
      <w:r>
        <w:rPr>
          <w:rFonts w:eastAsia="仿宋_GB2312"/>
          <w:sz w:val="32"/>
          <w:szCs w:val="32"/>
        </w:rPr>
        <w:t>（2）针对集采药品医保支付标准及贯标工作对两定点医疗机构举办培训班2次。</w:t>
      </w:r>
    </w:p>
    <w:p>
      <w:pPr>
        <w:spacing w:line="578" w:lineRule="exact"/>
        <w:ind w:firstLineChars="200" w:firstLine="640"/>
        <w:rPr>
          <w:rFonts w:eastAsia="仿宋_GB2312"/>
          <w:sz w:val="32"/>
          <w:szCs w:val="32"/>
        </w:rPr>
      </w:pPr>
      <w:r>
        <w:rPr>
          <w:rFonts w:eastAsia="仿宋_GB2312"/>
          <w:sz w:val="32"/>
          <w:szCs w:val="32"/>
        </w:rPr>
        <w:t>质量指标：</w:t>
      </w:r>
    </w:p>
    <w:p>
      <w:pPr>
        <w:spacing w:line="578" w:lineRule="exact"/>
        <w:ind w:firstLineChars="200" w:firstLine="640"/>
        <w:rPr>
          <w:rFonts w:eastAsia="仿宋_GB2312"/>
          <w:sz w:val="32"/>
          <w:szCs w:val="32"/>
        </w:rPr>
      </w:pPr>
      <w:r>
        <w:rPr>
          <w:rFonts w:eastAsia="仿宋_GB2312"/>
          <w:sz w:val="32"/>
          <w:szCs w:val="32"/>
        </w:rPr>
        <w:t>（1）针对集采药品医保支付标准及贯标工作对两定点医疗机构举办培训班，增强了各定药医疗机构的业务经办能力及自律意识，培训有效率达到90%以上。</w:t>
      </w:r>
    </w:p>
    <w:p>
      <w:pPr>
        <w:spacing w:line="578" w:lineRule="exact"/>
        <w:ind w:firstLineChars="200" w:firstLine="640"/>
        <w:rPr>
          <w:rFonts w:eastAsia="仿宋_GB2312"/>
          <w:sz w:val="32"/>
          <w:szCs w:val="32"/>
        </w:rPr>
      </w:pPr>
      <w:r>
        <w:rPr>
          <w:rFonts w:eastAsia="仿宋_GB2312"/>
          <w:sz w:val="32"/>
          <w:szCs w:val="32"/>
        </w:rPr>
        <w:t>（2）2021年，完成了全市纳入医保协议管理的660家定点医药机构全覆盖监督检查，迎接省级飞行检查对6家定点医疗机构的现场和大数据检查，完成省医保局对31家、市医保局对21家定点医药机构的全覆盖抽查复查，全市定点医药机构两次全覆盖检查率100%。</w:t>
      </w:r>
    </w:p>
    <w:p>
      <w:pPr>
        <w:spacing w:line="578" w:lineRule="exact"/>
        <w:ind w:firstLineChars="200" w:firstLine="640"/>
        <w:rPr>
          <w:rFonts w:eastAsia="仿宋_GB2312"/>
          <w:color w:val="000000"/>
          <w:sz w:val="32"/>
          <w:szCs w:val="32"/>
        </w:rPr>
      </w:pPr>
      <w:r>
        <w:rPr>
          <w:rFonts w:eastAsia="仿宋_GB2312"/>
          <w:color w:val="000000"/>
          <w:sz w:val="32"/>
          <w:szCs w:val="32"/>
        </w:rPr>
        <w:t>（3）组织单位骨干参加省医保局组织的政策解读、基金监管、支付方式改革等业务培训，与浙江大学联合举办能力提升工程干部递进培训，干部培训合格率100%。</w:t>
      </w:r>
    </w:p>
    <w:p>
      <w:pPr>
        <w:spacing w:line="578" w:lineRule="exact"/>
        <w:ind w:firstLineChars="200" w:firstLine="640"/>
        <w:rPr>
          <w:rFonts w:eastAsia="仿宋_GB2312"/>
          <w:sz w:val="32"/>
          <w:szCs w:val="32"/>
        </w:rPr>
      </w:pPr>
      <w:r>
        <w:rPr>
          <w:rFonts w:eastAsia="仿宋_GB2312"/>
          <w:sz w:val="32"/>
          <w:szCs w:val="32"/>
        </w:rPr>
        <w:t>时效指标：项目资金使用年度时效安排至2021年底，截至2021年12月31日，资金使用率为100%。</w:t>
      </w:r>
    </w:p>
    <w:p>
      <w:pPr>
        <w:spacing w:line="578" w:lineRule="exact"/>
        <w:ind w:firstLineChars="200" w:firstLine="640"/>
        <w:rPr>
          <w:rFonts w:eastAsia="楷体_GB2312"/>
          <w:sz w:val="32"/>
          <w:szCs w:val="32"/>
        </w:rPr>
      </w:pPr>
      <w:r>
        <w:rPr>
          <w:rFonts w:eastAsia="楷体_GB2312"/>
          <w:sz w:val="32"/>
          <w:szCs w:val="32"/>
        </w:rPr>
        <w:t>（二）项目效益情况。</w:t>
      </w:r>
    </w:p>
    <w:p>
      <w:pPr>
        <w:spacing w:line="578" w:lineRule="exact"/>
        <w:ind w:firstLineChars="200" w:firstLine="640"/>
        <w:rPr>
          <w:rFonts w:eastAsia="仿宋_GB2312"/>
          <w:bCs/>
          <w:color w:val="000000"/>
          <w:sz w:val="32"/>
          <w:szCs w:val="32"/>
        </w:rPr>
      </w:pPr>
      <w:r>
        <w:rPr>
          <w:rFonts w:eastAsia="仿宋_GB2312"/>
          <w:bCs/>
          <w:color w:val="000000"/>
          <w:sz w:val="32"/>
          <w:szCs w:val="32"/>
        </w:rPr>
        <w:t>1.社会效益。</w:t>
      </w:r>
    </w:p>
    <w:p>
      <w:pPr>
        <w:spacing w:line="578" w:lineRule="exact"/>
        <w:ind w:firstLineChars="200" w:firstLine="640"/>
        <w:rPr>
          <w:rFonts w:eastAsia="仿宋_GB2312"/>
          <w:color w:val="000000"/>
          <w:sz w:val="32"/>
          <w:szCs w:val="32"/>
        </w:rPr>
      </w:pPr>
      <w:r>
        <w:rPr>
          <w:rFonts w:eastAsia="仿宋_GB2312"/>
          <w:color w:val="000000"/>
          <w:sz w:val="32"/>
          <w:szCs w:val="32"/>
        </w:rPr>
        <w:t>强化了定点医药机构和参保人员法治意识，营造全社会关注并自觉维护医疗保障基金安全的良好氛围，社会共治、维护医保基金安全效果明显；通过举办培训班，及开通服务热线，提高了医保经办人员专业技术水平，极大增加了群众满意度。</w:t>
      </w:r>
    </w:p>
    <w:p>
      <w:pPr>
        <w:spacing w:line="578" w:lineRule="exact"/>
        <w:ind w:firstLineChars="200" w:firstLine="640"/>
        <w:rPr>
          <w:rFonts w:eastAsia="仿宋_GB2312"/>
          <w:bCs/>
          <w:color w:val="000000"/>
          <w:sz w:val="32"/>
          <w:szCs w:val="32"/>
        </w:rPr>
      </w:pPr>
      <w:r>
        <w:rPr>
          <w:rFonts w:eastAsia="仿宋_GB2312"/>
          <w:bCs/>
          <w:color w:val="000000"/>
          <w:sz w:val="32"/>
          <w:szCs w:val="32"/>
        </w:rPr>
        <w:t>2.可持续性。</w:t>
      </w:r>
    </w:p>
    <w:p>
      <w:pPr>
        <w:spacing w:line="578" w:lineRule="exact"/>
        <w:ind w:firstLineChars="200" w:firstLine="640"/>
        <w:rPr>
          <w:rFonts w:eastAsia="仿宋_GB2312"/>
          <w:color w:val="000000"/>
          <w:sz w:val="32"/>
          <w:szCs w:val="32"/>
        </w:rPr>
      </w:pPr>
      <w:r>
        <w:rPr>
          <w:rFonts w:eastAsia="仿宋_GB2312"/>
          <w:color w:val="000000"/>
          <w:sz w:val="32"/>
          <w:szCs w:val="32"/>
        </w:rPr>
        <w:t>经我中心进行打击欺诈骗保和医疗保障政策宣传，并通过政策、业务学习提高业务经办能力，医疗保障制度深入人心，医疗保障制度体系可持续性作用明显。</w:t>
      </w:r>
    </w:p>
    <w:p>
      <w:pPr>
        <w:spacing w:line="578" w:lineRule="exact"/>
        <w:ind w:firstLineChars="200" w:firstLine="640"/>
        <w:rPr>
          <w:rFonts w:eastAsia="仿宋_GB2312"/>
          <w:bCs/>
          <w:sz w:val="32"/>
          <w:szCs w:val="32"/>
        </w:rPr>
      </w:pPr>
      <w:r>
        <w:rPr>
          <w:rFonts w:eastAsia="仿宋_GB2312"/>
          <w:bCs/>
          <w:sz w:val="32"/>
          <w:szCs w:val="32"/>
        </w:rPr>
        <w:t>3.服务对象满意度。</w:t>
      </w:r>
    </w:p>
    <w:p>
      <w:pPr>
        <w:spacing w:line="578" w:lineRule="exact"/>
        <w:ind w:firstLineChars="200" w:firstLine="640"/>
        <w:rPr>
          <w:rFonts w:eastAsia="仿宋_GB2312"/>
          <w:sz w:val="32"/>
          <w:szCs w:val="32"/>
        </w:rPr>
      </w:pPr>
      <w:r>
        <w:rPr>
          <w:rFonts w:eastAsia="仿宋_GB2312"/>
          <w:color w:val="000000"/>
          <w:sz w:val="32"/>
          <w:szCs w:val="32"/>
        </w:rPr>
        <w:t>我市参保对象对医保经办和服务的满意度98%以上，对我市城乡居民医保缴费、待遇及报销政策等都比较了解。</w:t>
      </w:r>
    </w:p>
    <w:p>
      <w:pPr>
        <w:spacing w:line="578" w:lineRule="exact"/>
        <w:ind w:firstLineChars="200" w:firstLine="640"/>
        <w:rPr>
          <w:rFonts w:eastAsia="黑体"/>
          <w:sz w:val="32"/>
          <w:szCs w:val="32"/>
        </w:rPr>
      </w:pPr>
      <w:bookmarkStart w:id="170" w:name="_Toc19940"/>
      <w:r>
        <w:rPr>
          <w:rFonts w:eastAsia="黑体"/>
          <w:sz w:val="32"/>
          <w:szCs w:val="32"/>
        </w:rPr>
        <w:t>五、评价结论及建议</w:t>
      </w:r>
      <w:bookmarkEnd w:id="170"/>
    </w:p>
    <w:p>
      <w:pPr>
        <w:spacing w:line="578" w:lineRule="exact"/>
        <w:ind w:firstLineChars="200" w:firstLine="640"/>
        <w:rPr>
          <w:rFonts w:eastAsia="楷体_GB2312"/>
          <w:sz w:val="32"/>
          <w:szCs w:val="32"/>
        </w:rPr>
      </w:pPr>
      <w:r>
        <w:rPr>
          <w:rFonts w:eastAsia="楷体_GB2312"/>
          <w:sz w:val="32"/>
          <w:szCs w:val="32"/>
        </w:rPr>
        <w:t>（一）评价结论。</w:t>
      </w:r>
    </w:p>
    <w:p>
      <w:pPr>
        <w:spacing w:line="578" w:lineRule="exact"/>
        <w:ind w:firstLineChars="200" w:firstLine="640"/>
        <w:rPr>
          <w:rFonts w:eastAsia="仿宋_GB2312"/>
          <w:sz w:val="32"/>
          <w:szCs w:val="32"/>
        </w:rPr>
      </w:pPr>
      <w:r>
        <w:rPr>
          <w:rFonts w:eastAsia="仿宋_GB2312"/>
          <w:sz w:val="32"/>
          <w:szCs w:val="32"/>
        </w:rPr>
        <w:t>2021年本中心预算项目经费和市级预算追加项目资金全部使用完毕，达到年初预算绩效目标。</w:t>
      </w:r>
    </w:p>
    <w:p>
      <w:pPr>
        <w:spacing w:line="578" w:lineRule="exact"/>
        <w:ind w:firstLineChars="200" w:firstLine="640"/>
        <w:rPr>
          <w:rFonts w:eastAsia="楷体_GB2312"/>
          <w:sz w:val="32"/>
          <w:szCs w:val="32"/>
        </w:rPr>
      </w:pPr>
      <w:r>
        <w:rPr>
          <w:rFonts w:eastAsia="楷体_GB2312"/>
          <w:sz w:val="32"/>
          <w:szCs w:val="32"/>
        </w:rPr>
        <w:t>（二）相关建议。</w:t>
      </w:r>
    </w:p>
    <w:p>
      <w:pPr>
        <w:spacing w:line="578" w:lineRule="exact"/>
        <w:ind w:firstLineChars="200" w:firstLine="640"/>
        <w:rPr>
          <w:rFonts w:eastAsia="楷体_GB2312"/>
          <w:sz w:val="32"/>
          <w:szCs w:val="32"/>
        </w:rPr>
      </w:pPr>
      <w:r>
        <w:rPr>
          <w:rFonts w:eastAsia="仿宋_GB2312"/>
          <w:sz w:val="32"/>
          <w:szCs w:val="32"/>
        </w:rPr>
        <w:t>加强项目建设各个审批环节沟通，提前统筹安排，减少审批时间和进度，加快项目建设步伐，提高项目建设效率，按规定完成预定绩效目标任务。</w:t>
      </w:r>
    </w:p>
    <w:p>
      <w:pPr>
        <w:pStyle w:val="16"/>
        <w:spacing w:beforeLines="0" w:before="30" w:line="578" w:lineRule="exact"/>
        <w:ind w:firstLineChars="200" w:firstLine="640"/>
        <w:rPr>
          <w:rFonts w:ascii="Times New Roman" w:hAnsi="Times New Roman"/>
          <w:sz w:val="32"/>
          <w:szCs w:val="32"/>
          <w:lang w:val="zh-CN"/>
        </w:rPr>
      </w:pPr>
    </w:p>
    <w:p>
      <w:pPr>
        <w:rPr>
          <w:lang w:val="zh-CN"/>
        </w:rPr>
      </w:pPr>
      <w:r>
        <w:rPr>
          <w:lang w:val="zh-CN"/>
        </w:rPr>
        <w:br w:type="page"/>
      </w:r>
    </w:p>
    <w:p>
      <w:pPr>
        <w:pStyle w:val="16"/>
        <w:spacing w:beforeLines="0" w:before="93"/>
        <w:rPr>
          <w:rFonts w:ascii="Times New Roman" w:hAnsi="Times New Roman"/>
          <w:b/>
          <w:w w:val="90"/>
          <w:sz w:val="32"/>
          <w:szCs w:val="32"/>
        </w:rPr>
      </w:pPr>
      <w:r>
        <w:rPr>
          <w:rFonts w:ascii="Times New Roman" w:hAnsi="Times New Roman"/>
          <w:b/>
          <w:w w:val="90"/>
          <w:sz w:val="32"/>
          <w:szCs w:val="32"/>
        </w:rPr>
        <w:t>2021年50万元以上（含）特定目标类部门预算项目绩效目标自评</w:t>
      </w:r>
    </w:p>
    <w:tbl>
      <w:tblPr>
        <w:jc w:val="cente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976"/>
        <w:gridCol w:w="1142"/>
        <w:gridCol w:w="1412"/>
        <w:gridCol w:w="1412"/>
        <w:gridCol w:w="1224"/>
        <w:gridCol w:w="2551"/>
      </w:tblGrid>
      <w:tr>
        <w:trPr>
          <w:trHeight w:val="254"/>
        </w:trPr>
        <w:tc>
          <w:tcPr>
            <w:tcW w:w="3118" w:type="dxa"/>
            <w:gridSpan w:val="2"/>
            <w:tcBorders>
              <w:tl2br w:val="nil"/>
              <w:tr2bl w:val="nil"/>
            </w:tcBorders>
            <w:shd w:val="clear" w:color="auto" w:fill="auto"/>
            <w:vAlign w:val="center"/>
          </w:tcPr>
          <w:p>
            <w:pPr>
              <w:spacing w:line="400" w:lineRule="exact"/>
              <w:jc w:val="center"/>
              <w:rPr>
                <w:rFonts w:eastAsia="仿宋_GB2312"/>
                <w:sz w:val="28"/>
                <w:szCs w:val="28"/>
              </w:rPr>
            </w:pPr>
            <w:r>
              <w:rPr>
                <w:rFonts w:eastAsia="仿宋_GB2312"/>
                <w:b/>
                <w:sz w:val="28"/>
                <w:szCs w:val="28"/>
              </w:rPr>
              <w:br w:type="page"/>
            </w:r>
            <w:r>
              <w:rPr>
                <w:rFonts w:eastAsia="仿宋_GB2312"/>
                <w:kern w:val="0"/>
                <w:sz w:val="28"/>
                <w:szCs w:val="28"/>
              </w:rPr>
              <w:t>主管部门及代码</w:t>
            </w:r>
          </w:p>
        </w:tc>
        <w:tc>
          <w:tcPr>
            <w:tcW w:w="2824" w:type="dxa"/>
            <w:gridSpan w:val="2"/>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攀枝花市医疗保障事务中心</w:t>
            </w:r>
            <w:r>
              <w:rPr>
                <w:rFonts w:eastAsia="仿宋_GB2312" w:hint="eastAsia"/>
                <w:sz w:val="28"/>
                <w:szCs w:val="28"/>
              </w:rPr>
              <w:t>（505001）</w:t>
            </w:r>
          </w:p>
        </w:tc>
        <w:tc>
          <w:tcPr>
            <w:tcW w:w="1224"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实施单位</w:t>
            </w:r>
          </w:p>
        </w:tc>
        <w:tc>
          <w:tcPr>
            <w:tcW w:w="2551"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攀枝花市医疗保障事务中心</w:t>
            </w:r>
          </w:p>
        </w:tc>
      </w:tr>
      <w:tr>
        <w:trPr>
          <w:trHeight w:val="341"/>
        </w:trPr>
        <w:tc>
          <w:tcPr>
            <w:tcW w:w="3118" w:type="dxa"/>
            <w:gridSpan w:val="2"/>
            <w:vMerge w:val="restart"/>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项目预算</w:t>
              <w:br/>
              <w:t>执行情况</w:t>
              <w:br/>
              <w:t>（万元）</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预算数：</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195.11</w:t>
            </w:r>
          </w:p>
        </w:tc>
        <w:tc>
          <w:tcPr>
            <w:tcW w:w="1224"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执行数：</w:t>
            </w:r>
          </w:p>
        </w:tc>
        <w:tc>
          <w:tcPr>
            <w:tcW w:w="2551"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195.11</w:t>
            </w:r>
          </w:p>
        </w:tc>
      </w:tr>
      <w:tr>
        <w:trPr>
          <w:trHeight w:val="555"/>
        </w:trPr>
        <w:tc>
          <w:tcPr>
            <w:tcW w:w="3118" w:type="dxa"/>
            <w:gridSpan w:val="2"/>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其中：</w:t>
            </w:r>
          </w:p>
          <w:p>
            <w:pPr>
              <w:widowControl/>
              <w:spacing w:line="400" w:lineRule="exact"/>
              <w:jc w:val="center"/>
              <w:textAlignment w:val="center"/>
              <w:rPr>
                <w:rFonts w:eastAsia="仿宋_GB2312"/>
                <w:sz w:val="28"/>
                <w:szCs w:val="28"/>
              </w:rPr>
            </w:pPr>
            <w:r>
              <w:rPr>
                <w:rFonts w:eastAsia="仿宋_GB2312"/>
                <w:kern w:val="0"/>
                <w:sz w:val="28"/>
                <w:szCs w:val="28"/>
              </w:rPr>
              <w:t>财政拨款</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195.11</w:t>
            </w:r>
          </w:p>
        </w:tc>
        <w:tc>
          <w:tcPr>
            <w:tcW w:w="1224" w:type="dxa"/>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其中：</w:t>
            </w:r>
          </w:p>
          <w:p>
            <w:pPr>
              <w:widowControl/>
              <w:spacing w:line="400" w:lineRule="exact"/>
              <w:jc w:val="center"/>
              <w:textAlignment w:val="center"/>
              <w:rPr>
                <w:rFonts w:eastAsia="仿宋_GB2312"/>
                <w:sz w:val="28"/>
                <w:szCs w:val="28"/>
              </w:rPr>
            </w:pPr>
            <w:r>
              <w:rPr>
                <w:rFonts w:eastAsia="仿宋_GB2312"/>
                <w:kern w:val="0"/>
                <w:sz w:val="28"/>
                <w:szCs w:val="28"/>
              </w:rPr>
              <w:t>财政拨款</w:t>
            </w:r>
          </w:p>
        </w:tc>
        <w:tc>
          <w:tcPr>
            <w:tcW w:w="2551"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sz w:val="28"/>
                <w:szCs w:val="28"/>
              </w:rPr>
              <w:t>195.11</w:t>
            </w:r>
          </w:p>
        </w:tc>
      </w:tr>
      <w:tr>
        <w:trPr>
          <w:trHeight w:val="341"/>
        </w:trPr>
        <w:tc>
          <w:tcPr>
            <w:tcW w:w="3118" w:type="dxa"/>
            <w:gridSpan w:val="2"/>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其他资金</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p>
        </w:tc>
        <w:tc>
          <w:tcPr>
            <w:tcW w:w="1224"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其他资金</w:t>
            </w:r>
          </w:p>
        </w:tc>
        <w:tc>
          <w:tcPr>
            <w:tcW w:w="2551"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p>
        </w:tc>
      </w:tr>
      <w:tr>
        <w:trPr>
          <w:trHeight w:val="217"/>
        </w:trPr>
        <w:tc>
          <w:tcPr>
            <w:tcW w:w="1976" w:type="dxa"/>
            <w:vMerge w:val="restart"/>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年度总体目标</w:t>
            </w:r>
          </w:p>
          <w:p>
            <w:pPr>
              <w:widowControl/>
              <w:spacing w:line="400" w:lineRule="exact"/>
              <w:jc w:val="center"/>
              <w:textAlignment w:val="center"/>
              <w:rPr>
                <w:rFonts w:eastAsia="仿宋_GB2312"/>
                <w:sz w:val="28"/>
                <w:szCs w:val="28"/>
              </w:rPr>
            </w:pPr>
            <w:r>
              <w:rPr>
                <w:rFonts w:eastAsia="仿宋_GB2312"/>
                <w:kern w:val="0"/>
                <w:sz w:val="28"/>
                <w:szCs w:val="28"/>
              </w:rPr>
              <w:t>完成情况</w:t>
            </w:r>
          </w:p>
        </w:tc>
        <w:tc>
          <w:tcPr>
            <w:tcW w:w="3966" w:type="dxa"/>
            <w:gridSpan w:val="3"/>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预期目标</w:t>
            </w:r>
          </w:p>
        </w:tc>
        <w:tc>
          <w:tcPr>
            <w:tcW w:w="3775" w:type="dxa"/>
            <w:gridSpan w:val="2"/>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目标实际完成情况</w:t>
            </w:r>
          </w:p>
        </w:tc>
      </w:tr>
      <w:tr>
        <w:trPr>
          <w:trHeight w:val="797"/>
        </w:trPr>
        <w:tc>
          <w:tcPr>
            <w:tcW w:w="1976" w:type="dxa"/>
            <w:vMerge/>
            <w:tcBorders>
              <w:tl2br w:val="nil"/>
              <w:tr2bl w:val="nil"/>
            </w:tcBorders>
            <w:shd w:val="clear" w:color="auto" w:fill="auto"/>
            <w:vAlign w:val="center"/>
          </w:tcPr>
          <w:p/>
        </w:tc>
        <w:tc>
          <w:tcPr>
            <w:tcW w:w="3966" w:type="dxa"/>
            <w:gridSpan w:val="3"/>
            <w:tcBorders>
              <w:tl2br w:val="nil"/>
              <w:tr2bl w:val="nil"/>
            </w:tcBorders>
            <w:shd w:val="clear" w:color="auto" w:fill="auto"/>
            <w:vAlign w:val="center"/>
          </w:tcPr>
          <w:p>
            <w:pPr>
              <w:widowControl/>
              <w:spacing w:line="400" w:lineRule="exact"/>
              <w:textAlignment w:val="top"/>
              <w:rPr>
                <w:rFonts w:eastAsia="仿宋_GB2312"/>
                <w:sz w:val="28"/>
                <w:szCs w:val="28"/>
              </w:rPr>
            </w:pPr>
            <w:r>
              <w:rPr>
                <w:rFonts w:eastAsia="仿宋_GB2312" w:hint="eastAsia"/>
                <w:sz w:val="28"/>
                <w:szCs w:val="28"/>
              </w:rPr>
              <w:t>目标1：</w:t>
            </w:r>
            <w:r>
              <w:rPr>
                <w:rFonts w:eastAsia="仿宋_GB2312"/>
                <w:sz w:val="28"/>
                <w:szCs w:val="28"/>
              </w:rPr>
              <w:t>巩固拓展医保脱贫攻坚成果，坚持抓好疫情防控常态化工作，融入“三个圈层”，医疗保障区域协同发展，上线全省医疗保障一体化大数据平台。</w:t>
            </w:r>
            <w:r>
              <w:rPr>
                <w:rFonts w:eastAsia="仿宋_GB2312" w:hint="eastAsia"/>
                <w:sz w:val="28"/>
                <w:szCs w:val="28"/>
              </w:rPr>
              <w:t>目标2：</w:t>
            </w:r>
            <w:r>
              <w:rPr>
                <w:rFonts w:eastAsia="仿宋_GB2312"/>
                <w:sz w:val="28"/>
                <w:szCs w:val="28"/>
              </w:rPr>
              <w:t>健全严密有力基金监管长效机制，持继深化医保支付方式改革，实施全民参保计划，加强医保基金管理。</w:t>
            </w:r>
          </w:p>
        </w:tc>
        <w:tc>
          <w:tcPr>
            <w:tcW w:w="3775" w:type="dxa"/>
            <w:gridSpan w:val="2"/>
            <w:tcBorders>
              <w:tl2br w:val="nil"/>
              <w:tr2bl w:val="nil"/>
            </w:tcBorders>
            <w:shd w:val="clear" w:color="auto" w:fill="auto"/>
            <w:vAlign w:val="center"/>
          </w:tcPr>
          <w:p>
            <w:pPr>
              <w:widowControl/>
              <w:spacing w:line="400" w:lineRule="exact"/>
              <w:textAlignment w:val="top"/>
              <w:rPr>
                <w:rFonts w:eastAsia="仿宋_GB2312"/>
                <w:sz w:val="28"/>
                <w:szCs w:val="28"/>
              </w:rPr>
            </w:pPr>
            <w:r>
              <w:rPr>
                <w:rFonts w:eastAsia="仿宋_GB2312" w:hint="eastAsia"/>
                <w:sz w:val="28"/>
                <w:szCs w:val="28"/>
              </w:rPr>
              <w:t>1.</w:t>
            </w:r>
            <w:r>
              <w:rPr>
                <w:rFonts w:eastAsia="仿宋_GB2312"/>
                <w:sz w:val="28"/>
                <w:szCs w:val="28"/>
              </w:rPr>
              <w:t>保障我中心各项工作的有序开展，在落实分类资助参保政策方面，中心做好为4.5517 万名贫困人口代缴基本医疗保险个人缴费和农村地区灵活就业人员参加职工医保等工作。</w:t>
            </w:r>
            <w:r>
              <w:rPr>
                <w:rFonts w:eastAsia="仿宋_GB2312" w:hint="eastAsia"/>
                <w:sz w:val="28"/>
                <w:szCs w:val="28"/>
              </w:rPr>
              <w:t>2.</w:t>
            </w:r>
            <w:r>
              <w:rPr>
                <w:rFonts w:eastAsia="仿宋_GB2312"/>
                <w:sz w:val="28"/>
                <w:szCs w:val="28"/>
              </w:rPr>
              <w:t>做好新冠病毒疫苗及接种费用预付拨付工作。实现更多的定点医疗机构联网结算，成功上线全省医疗保障一体化大数据平台。</w:t>
            </w:r>
            <w:r>
              <w:rPr>
                <w:rFonts w:eastAsia="仿宋_GB2312" w:hint="eastAsia"/>
                <w:sz w:val="28"/>
                <w:szCs w:val="28"/>
              </w:rPr>
              <w:t>3.</w:t>
            </w:r>
            <w:r>
              <w:rPr>
                <w:rFonts w:eastAsia="仿宋_GB2312"/>
                <w:sz w:val="28"/>
                <w:szCs w:val="28"/>
              </w:rPr>
              <w:t>扎实推进攀枝花市医疗保障集成式监管体系建设，持续深入开展打击欺诈骗保专项行动，坚持日常巡查、专项检查、重点检查、飞行检查相结合，不断织密扎牢医保基金监管制度笼子。</w:t>
            </w:r>
          </w:p>
        </w:tc>
      </w:tr>
      <w:tr>
        <w:trPr>
          <w:trHeight w:val="693"/>
        </w:trPr>
        <w:tc>
          <w:tcPr>
            <w:tcW w:w="1976" w:type="dxa"/>
            <w:vMerge w:val="restart"/>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年度绩效指标完成情况</w:t>
            </w:r>
          </w:p>
        </w:tc>
        <w:tc>
          <w:tcPr>
            <w:tcW w:w="1142" w:type="dxa"/>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一级</w:t>
            </w:r>
          </w:p>
          <w:p>
            <w:pPr>
              <w:widowControl/>
              <w:spacing w:line="400" w:lineRule="exact"/>
              <w:jc w:val="center"/>
              <w:textAlignment w:val="center"/>
              <w:rPr>
                <w:rFonts w:eastAsia="仿宋_GB2312"/>
                <w:sz w:val="28"/>
                <w:szCs w:val="28"/>
              </w:rPr>
            </w:pPr>
            <w:r>
              <w:rPr>
                <w:rFonts w:eastAsia="仿宋_GB2312"/>
                <w:kern w:val="0"/>
                <w:sz w:val="28"/>
                <w:szCs w:val="28"/>
              </w:rPr>
              <w:t>指标</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二级</w:t>
            </w:r>
          </w:p>
          <w:p>
            <w:pPr>
              <w:widowControl/>
              <w:spacing w:line="400" w:lineRule="exact"/>
              <w:jc w:val="center"/>
              <w:textAlignment w:val="center"/>
              <w:rPr>
                <w:rFonts w:eastAsia="仿宋_GB2312"/>
                <w:sz w:val="28"/>
                <w:szCs w:val="28"/>
              </w:rPr>
            </w:pPr>
            <w:r>
              <w:rPr>
                <w:rFonts w:eastAsia="仿宋_GB2312"/>
                <w:kern w:val="0"/>
                <w:sz w:val="28"/>
                <w:szCs w:val="28"/>
              </w:rPr>
              <w:t>指标</w:t>
            </w:r>
          </w:p>
        </w:tc>
        <w:tc>
          <w:tcPr>
            <w:tcW w:w="1412" w:type="dxa"/>
            <w:tcBorders>
              <w:tl2br w:val="nil"/>
              <w:tr2bl w:val="nil"/>
            </w:tcBorders>
            <w:shd w:val="clear" w:color="auto" w:fill="auto"/>
            <w:vAlign w:val="center"/>
          </w:tcPr>
          <w:p>
            <w:pPr>
              <w:widowControl/>
              <w:spacing w:line="400" w:lineRule="exact"/>
              <w:jc w:val="center"/>
              <w:textAlignment w:val="center"/>
              <w:rPr>
                <w:rFonts w:eastAsia="仿宋_GB2312"/>
                <w:kern w:val="0"/>
                <w:sz w:val="28"/>
                <w:szCs w:val="28"/>
              </w:rPr>
            </w:pPr>
            <w:r>
              <w:rPr>
                <w:rFonts w:eastAsia="仿宋_GB2312"/>
                <w:kern w:val="0"/>
                <w:sz w:val="28"/>
                <w:szCs w:val="28"/>
              </w:rPr>
              <w:t>三级</w:t>
            </w:r>
          </w:p>
          <w:p>
            <w:pPr>
              <w:widowControl/>
              <w:spacing w:line="400" w:lineRule="exact"/>
              <w:jc w:val="center"/>
              <w:textAlignment w:val="center"/>
              <w:rPr>
                <w:rFonts w:eastAsia="仿宋_GB2312"/>
                <w:sz w:val="28"/>
                <w:szCs w:val="28"/>
              </w:rPr>
            </w:pPr>
            <w:r>
              <w:rPr>
                <w:rFonts w:eastAsia="仿宋_GB2312"/>
                <w:kern w:val="0"/>
                <w:sz w:val="28"/>
                <w:szCs w:val="28"/>
              </w:rPr>
              <w:t>指标</w:t>
            </w:r>
          </w:p>
        </w:tc>
        <w:tc>
          <w:tcPr>
            <w:tcW w:w="1224"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预期指标值</w:t>
            </w:r>
          </w:p>
        </w:tc>
        <w:tc>
          <w:tcPr>
            <w:tcW w:w="2551" w:type="dxa"/>
            <w:tcBorders>
              <w:tl2br w:val="nil"/>
              <w:tr2bl w:val="nil"/>
            </w:tcBorders>
            <w:shd w:val="clear" w:color="auto" w:fill="auto"/>
            <w:vAlign w:val="center"/>
          </w:tcPr>
          <w:p>
            <w:pPr>
              <w:widowControl/>
              <w:spacing w:line="400" w:lineRule="exact"/>
              <w:jc w:val="center"/>
              <w:textAlignment w:val="center"/>
              <w:rPr>
                <w:rFonts w:eastAsia="仿宋_GB2312"/>
                <w:sz w:val="28"/>
                <w:szCs w:val="28"/>
              </w:rPr>
            </w:pPr>
            <w:r>
              <w:rPr>
                <w:rFonts w:eastAsia="仿宋_GB2312"/>
                <w:kern w:val="0"/>
                <w:sz w:val="28"/>
                <w:szCs w:val="28"/>
              </w:rPr>
              <w:t>实际完成指标值</w:t>
            </w:r>
          </w:p>
        </w:tc>
      </w:tr>
      <w:tr>
        <w:trPr>
          <w:trHeight w:val="415"/>
        </w:trPr>
        <w:tc>
          <w:tcPr>
            <w:tcW w:w="1976" w:type="dxa"/>
            <w:vMerge/>
            <w:tcBorders>
              <w:tl2br w:val="nil"/>
              <w:tr2bl w:val="nil"/>
            </w:tcBorders>
            <w:shd w:val="clear" w:color="auto" w:fill="auto"/>
            <w:vAlign w:val="center"/>
          </w:tcPr>
          <w:p/>
        </w:tc>
        <w:tc>
          <w:tcPr>
            <w:tcW w:w="1142" w:type="dxa"/>
            <w:vMerge w:val="restart"/>
            <w:tcBorders>
              <w:tl2br w:val="nil"/>
              <w:tr2bl w:val="nil"/>
            </w:tcBorders>
            <w:shd w:val="clear" w:color="auto" w:fill="auto"/>
            <w:vAlign w:val="center"/>
          </w:tcPr>
          <w:p>
            <w:pPr>
              <w:widowControl/>
              <w:spacing w:line="400" w:lineRule="exact"/>
              <w:jc w:val="center"/>
              <w:textAlignment w:val="bottom"/>
              <w:rPr>
                <w:rFonts w:eastAsia="仿宋_GB2312"/>
                <w:kern w:val="0"/>
                <w:sz w:val="28"/>
                <w:szCs w:val="28"/>
              </w:rPr>
            </w:pPr>
            <w:r>
              <w:rPr>
                <w:rFonts w:eastAsia="仿宋_GB2312"/>
                <w:kern w:val="0"/>
                <w:sz w:val="28"/>
                <w:szCs w:val="28"/>
              </w:rPr>
              <w:t>完成</w:t>
            </w:r>
          </w:p>
          <w:p>
            <w:pPr>
              <w:widowControl/>
              <w:spacing w:line="400" w:lineRule="exact"/>
              <w:jc w:val="center"/>
              <w:textAlignment w:val="bottom"/>
              <w:rPr>
                <w:rFonts w:eastAsia="仿宋_GB2312"/>
                <w:sz w:val="28"/>
                <w:szCs w:val="28"/>
              </w:rPr>
            </w:pPr>
            <w:r>
              <w:rPr>
                <w:rFonts w:eastAsia="仿宋_GB2312"/>
                <w:kern w:val="0"/>
                <w:sz w:val="28"/>
                <w:szCs w:val="28"/>
              </w:rPr>
              <w:t>指标</w:t>
            </w:r>
          </w:p>
        </w:tc>
        <w:tc>
          <w:tcPr>
            <w:tcW w:w="1412" w:type="dxa"/>
            <w:vMerge w:val="restart"/>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数量指标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做好城乡居民医保征缴工作，完成市政府下达医疗保险目标参保人数</w:t>
            </w:r>
          </w:p>
        </w:tc>
        <w:tc>
          <w:tcPr>
            <w:tcW w:w="1224" w:type="dxa"/>
            <w:tcBorders>
              <w:tl2br w:val="nil"/>
              <w:tr2bl w:val="nil"/>
            </w:tcBorders>
            <w:shd w:val="clear" w:color="auto" w:fill="auto"/>
            <w:vAlign w:val="center"/>
          </w:tcPr>
          <w:p>
            <w:pPr>
              <w:widowControl/>
              <w:tabs>
                <w:tab w:val="left" w:pos="317"/>
              </w:tabs>
              <w:spacing w:line="400" w:lineRule="exact"/>
              <w:jc w:val="center"/>
              <w:textAlignment w:val="bottom"/>
              <w:rPr>
                <w:rFonts w:eastAsia="仿宋_GB2312"/>
                <w:sz w:val="28"/>
                <w:szCs w:val="28"/>
              </w:rPr>
            </w:pPr>
            <w:r>
              <w:rPr>
                <w:rFonts w:eastAsia="仿宋_GB2312"/>
                <w:sz w:val="28"/>
                <w:szCs w:val="28"/>
              </w:rPr>
              <w:t>城乡居民医保参续保67万人</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全市2021年度城乡居民医保参保人数673022人，其中一档530952人、二挡142070人，建档立卡贫困人员44767人。</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医保办公及人员日常运转支出</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保障医保工作的正常运转</w:t>
            </w:r>
          </w:p>
        </w:tc>
        <w:tc>
          <w:tcPr>
            <w:tcW w:w="2551" w:type="dxa"/>
            <w:tcBorders>
              <w:tl2br w:val="nil"/>
              <w:tr2bl w:val="nil"/>
            </w:tcBorders>
            <w:shd w:val="clear" w:color="auto" w:fill="auto"/>
            <w:vAlign w:val="center"/>
          </w:tcPr>
          <w:p>
            <w:pPr>
              <w:widowControl/>
              <w:tabs>
                <w:tab w:val="left" w:pos="309"/>
              </w:tabs>
              <w:spacing w:line="400" w:lineRule="exact"/>
              <w:jc w:val="center"/>
              <w:textAlignment w:val="bottom"/>
              <w:rPr>
                <w:rFonts w:eastAsia="仿宋_GB2312"/>
                <w:sz w:val="28"/>
                <w:szCs w:val="28"/>
              </w:rPr>
            </w:pPr>
            <w:r>
              <w:rPr>
                <w:rFonts w:eastAsia="仿宋_GB2312"/>
                <w:sz w:val="28"/>
                <w:szCs w:val="28"/>
              </w:rPr>
              <w:t>95万元</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基金监管人员劳务费发放（包含五险一金）</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保障医保基金欺诈骗保行为有效遏制</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95万元</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kern w:val="0"/>
                <w:sz w:val="28"/>
                <w:szCs w:val="28"/>
              </w:rPr>
            </w:p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印制医保宣传和服务手册等</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预算估计10万册</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5.11万元</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vMerge w:val="restart"/>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质量指标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医保政策及异地就医宣传</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有序开展</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加大居民医保宣传工作力度，印制宣传海报1700张，宣传折页10万份，并发放到全市所有医保定点医院、定点药店、各乡镇、街道进行宣传，确保实现全民参保。</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医保办公及人员日常运转</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持续开展</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平稳有序持续开展</w:t>
            </w:r>
          </w:p>
        </w:tc>
      </w:tr>
      <w:tr>
        <w:trPr>
          <w:trHeight w:val="415"/>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时效指标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各项工作按时间进度完成</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2021年全年</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2021年全年</w:t>
            </w:r>
          </w:p>
        </w:tc>
      </w:tr>
      <w:tr>
        <w:trPr>
          <w:trHeight w:val="480"/>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社会效益指标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公共服务水平</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有所提高</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稳步提高</w:t>
            </w:r>
          </w:p>
        </w:tc>
      </w:tr>
      <w:tr>
        <w:trPr>
          <w:trHeight w:val="480"/>
        </w:trPr>
        <w:tc>
          <w:tcPr>
            <w:tcW w:w="1976" w:type="dxa"/>
            <w:vMerge/>
            <w:tcBorders>
              <w:tl2br w:val="nil"/>
              <w:tr2bl w:val="nil"/>
            </w:tcBorders>
            <w:shd w:val="clear" w:color="auto" w:fill="auto"/>
            <w:vAlign w:val="center"/>
          </w:tcPr>
          <w:p/>
        </w:tc>
        <w:tc>
          <w:tcPr>
            <w:tcW w:w="1142" w:type="dxa"/>
            <w:vMerge/>
            <w:tcBorders>
              <w:tl2br w:val="nil"/>
              <w:tr2bl w:val="nil"/>
            </w:tcBorders>
            <w:shd w:val="clear" w:color="auto" w:fill="auto"/>
            <w:vAlign w:val="center"/>
          </w:tcP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可持续影响指标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医保基金运行</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平稳有序</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规范医疗机构服务行为，减少违规行为的发生。</w:t>
            </w:r>
          </w:p>
        </w:tc>
      </w:tr>
      <w:tr>
        <w:trPr>
          <w:trHeight w:val="530"/>
        </w:trPr>
        <w:tc>
          <w:tcPr>
            <w:tcW w:w="1976" w:type="dxa"/>
            <w:vMerge/>
            <w:tcBorders>
              <w:tl2br w:val="nil"/>
              <w:tr2bl w:val="nil"/>
            </w:tcBorders>
            <w:shd w:val="clear" w:color="auto" w:fill="auto"/>
            <w:vAlign w:val="center"/>
          </w:tcPr>
          <w:p/>
        </w:tc>
        <w:tc>
          <w:tcPr>
            <w:tcW w:w="114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kern w:val="0"/>
                <w:sz w:val="28"/>
                <w:szCs w:val="28"/>
              </w:rPr>
              <w:t>满意</w:t>
              <w:br/>
              <w:t>度指标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kern w:val="0"/>
                <w:sz w:val="28"/>
                <w:szCs w:val="28"/>
              </w:rPr>
            </w:pPr>
            <w:r>
              <w:rPr>
                <w:rFonts w:eastAsia="仿宋_GB2312"/>
                <w:kern w:val="0"/>
                <w:sz w:val="28"/>
                <w:szCs w:val="28"/>
              </w:rPr>
              <w:t>满意度</w:t>
            </w:r>
          </w:p>
          <w:p>
            <w:pPr>
              <w:widowControl/>
              <w:spacing w:line="400" w:lineRule="exact"/>
              <w:jc w:val="center"/>
              <w:textAlignment w:val="bottom"/>
              <w:rPr>
                <w:rFonts w:eastAsia="仿宋_GB2312"/>
                <w:sz w:val="28"/>
                <w:szCs w:val="28"/>
              </w:rPr>
            </w:pPr>
            <w:r>
              <w:rPr>
                <w:rFonts w:eastAsia="仿宋_GB2312"/>
                <w:kern w:val="0"/>
                <w:sz w:val="28"/>
                <w:szCs w:val="28"/>
              </w:rPr>
              <w:t>指标</w:t>
            </w:r>
          </w:p>
        </w:tc>
        <w:tc>
          <w:tcPr>
            <w:tcW w:w="1412"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医疗保险参保人员满意度</w:t>
            </w:r>
          </w:p>
        </w:tc>
        <w:tc>
          <w:tcPr>
            <w:tcW w:w="1224"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80%以上</w:t>
            </w:r>
          </w:p>
        </w:tc>
        <w:tc>
          <w:tcPr>
            <w:tcW w:w="2551" w:type="dxa"/>
            <w:tcBorders>
              <w:tl2br w:val="nil"/>
              <w:tr2bl w:val="nil"/>
            </w:tcBorders>
            <w:shd w:val="clear" w:color="auto" w:fill="auto"/>
            <w:vAlign w:val="center"/>
          </w:tcPr>
          <w:p>
            <w:pPr>
              <w:widowControl/>
              <w:spacing w:line="400" w:lineRule="exact"/>
              <w:jc w:val="center"/>
              <w:textAlignment w:val="bottom"/>
              <w:rPr>
                <w:rFonts w:eastAsia="仿宋_GB2312"/>
                <w:sz w:val="28"/>
                <w:szCs w:val="28"/>
              </w:rPr>
            </w:pPr>
            <w:r>
              <w:rPr>
                <w:rFonts w:eastAsia="仿宋_GB2312"/>
                <w:sz w:val="28"/>
                <w:szCs w:val="28"/>
              </w:rPr>
              <w:t>80%以上</w:t>
            </w:r>
          </w:p>
        </w:tc>
      </w:tr>
    </w:tbl>
    <w:p>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附表：</w:t>
      </w:r>
    </w:p>
    <w:p>
      <w:pPr>
        <w:widowControl/>
        <w:adjustRightInd w:val="0"/>
        <w:snapToGrid w:val="0"/>
        <w:spacing w:line="580" w:lineRule="exact"/>
        <w:contextualSpacing/>
        <w:jc w:val="left"/>
      </w:pPr>
      <w:r>
        <w:rPr>
          <w:rFonts w:eastAsia="仿宋_GB2312"/>
          <w:kern w:val="0"/>
          <w:sz w:val="32"/>
          <w:szCs w:val="32"/>
          <w:shd w:val="clear" w:color="auto" w:fill="FFFFFF"/>
        </w:rPr>
        <w:t>（注：有两个及以上50万元以上（含）特定目标类部门预算项目的，需分别开展绩效目标自评并填写附表）</w:t>
      </w:r>
    </w:p>
    <w:p>
      <w:pPr>
        <w:widowControl/>
        <w:jc w:val="left"/>
        <w:rPr>
          <w:rStyle w:val="1Char"/>
          <w:rFonts w:eastAsia="黑体"/>
          <w:b w:val="0"/>
        </w:rPr>
      </w:pPr>
      <w:r>
        <w:rPr>
          <w:rStyle w:val="1Char"/>
          <w:rFonts w:eastAsia="黑体"/>
          <w:b w:val="0"/>
        </w:rPr>
        <w:br w:type="page"/>
      </w:r>
    </w:p>
    <w:p>
      <w:pPr>
        <w:spacing w:line="600" w:lineRule="exact"/>
        <w:jc w:val="center"/>
        <w:outlineLvl w:val="0"/>
        <w:rPr>
          <w:rStyle w:val="1Char"/>
          <w:rFonts w:eastAsia="黑体"/>
          <w:b w:val="0"/>
        </w:rPr>
      </w:pPr>
      <w:bookmarkStart w:id="171" w:name="_Toc3055"/>
      <w:bookmarkStart w:id="172" w:name="_Toc23234"/>
      <w:bookmarkStart w:id="173" w:name="_Toc29745"/>
      <w:bookmarkStart w:id="174" w:name="_Toc7462"/>
      <w:bookmarkStart w:id="175" w:name="_Toc15396618"/>
      <w:r>
        <w:rPr>
          <w:rFonts w:eastAsia="黑体"/>
          <w:sz w:val="44"/>
          <w:szCs w:val="44"/>
        </w:rPr>
        <w:t>第</w:t>
      </w:r>
      <w:r>
        <w:rPr>
          <w:rStyle w:val="1Char"/>
          <w:rFonts w:eastAsia="黑体"/>
          <w:b w:val="0"/>
        </w:rPr>
        <w:t>五部分  附表</w:t>
      </w:r>
      <w:bookmarkStart w:id="176" w:name="_Toc15396619"/>
      <w:bookmarkEnd w:id="130"/>
      <w:bookmarkEnd w:id="171"/>
      <w:bookmarkEnd w:id="172"/>
      <w:bookmarkEnd w:id="173"/>
      <w:bookmarkEnd w:id="174"/>
      <w:bookmarkEnd w:id="175"/>
    </w:p>
    <w:p>
      <w:pPr>
        <w:pStyle w:val="16"/>
        <w:spacing w:beforeLines="0" w:before="93"/>
        <w:rPr>
          <w:rFonts w:ascii="Times New Roman" w:hAnsi="Times New Roman"/>
        </w:rPr>
      </w:pPr>
    </w:p>
    <w:p>
      <w:pPr>
        <w:pStyle w:val="2"/>
        <w:spacing w:line="400" w:lineRule="exact"/>
        <w:rPr>
          <w:rFonts w:ascii="Times New Roman" w:eastAsia="仿宋" w:cs="Times New Roman" w:hAnsi="Times New Roman"/>
        </w:rPr>
      </w:pPr>
      <w:bookmarkStart w:id="177" w:name="_Toc16020"/>
      <w:bookmarkStart w:id="178" w:name="_Toc6095"/>
      <w:bookmarkStart w:id="179" w:name="_Toc25564"/>
      <w:bookmarkStart w:id="180" w:name="_Toc7580"/>
      <w:bookmarkStart w:id="181" w:name="_Toc19169"/>
      <w:bookmarkEnd w:id="176"/>
      <w:r>
        <w:rPr>
          <w:rFonts w:ascii="Times New Roman" w:eastAsia="仿宋" w:cs="Times New Roman" w:hAnsi="Times New Roman"/>
          <w:b w:val="0"/>
        </w:rPr>
        <w:t>一、收</w:t>
      </w:r>
      <w:r>
        <w:rPr>
          <w:rStyle w:val="2Char"/>
          <w:rFonts w:ascii="Times New Roman" w:eastAsia="仿宋" w:cs="Times New Roman" w:hAnsi="Times New Roman"/>
        </w:rPr>
        <w:t>入支出决算总表</w:t>
      </w:r>
      <w:bookmarkEnd w:id="177"/>
      <w:bookmarkEnd w:id="178"/>
      <w:bookmarkEnd w:id="179"/>
      <w:bookmarkEnd w:id="180"/>
      <w:bookmarkEnd w:id="181"/>
    </w:p>
    <w:p>
      <w:pPr>
        <w:pStyle w:val="2"/>
        <w:spacing w:line="400" w:lineRule="exact"/>
        <w:rPr>
          <w:rStyle w:val="2Char"/>
          <w:rFonts w:ascii="Times New Roman" w:eastAsia="仿宋" w:cs="Times New Roman" w:hAnsi="Times New Roman"/>
        </w:rPr>
      </w:pPr>
      <w:bookmarkStart w:id="182" w:name="_Toc29714"/>
      <w:bookmarkStart w:id="183" w:name="_Toc20627"/>
      <w:bookmarkStart w:id="184" w:name="_Toc28943"/>
      <w:bookmarkStart w:id="185" w:name="_Toc17330"/>
      <w:bookmarkStart w:id="186" w:name="_Toc10525"/>
      <w:bookmarkStart w:id="187" w:name="_Toc15396620"/>
      <w:r>
        <w:rPr>
          <w:rFonts w:ascii="Times New Roman" w:eastAsia="仿宋" w:cs="Times New Roman" w:hAnsi="Times New Roman"/>
          <w:b w:val="0"/>
        </w:rPr>
        <w:t>二、收</w:t>
      </w:r>
      <w:r>
        <w:rPr>
          <w:rStyle w:val="2Char"/>
          <w:rFonts w:ascii="Times New Roman" w:eastAsia="仿宋" w:cs="Times New Roman" w:hAnsi="Times New Roman"/>
        </w:rPr>
        <w:t>入决算表</w:t>
      </w:r>
      <w:bookmarkEnd w:id="182"/>
      <w:bookmarkEnd w:id="183"/>
      <w:bookmarkEnd w:id="184"/>
      <w:bookmarkEnd w:id="185"/>
      <w:bookmarkEnd w:id="186"/>
      <w:bookmarkEnd w:id="187"/>
    </w:p>
    <w:p>
      <w:pPr>
        <w:pStyle w:val="2"/>
        <w:spacing w:line="400" w:lineRule="exact"/>
        <w:rPr>
          <w:rStyle w:val="2Char"/>
          <w:rFonts w:ascii="Times New Roman" w:eastAsia="仿宋" w:cs="Times New Roman" w:hAnsi="Times New Roman"/>
        </w:rPr>
      </w:pPr>
      <w:bookmarkStart w:id="188" w:name="_Toc3089"/>
      <w:bookmarkStart w:id="189" w:name="_Toc2864"/>
      <w:bookmarkStart w:id="190" w:name="_Toc25696"/>
      <w:bookmarkStart w:id="191" w:name="_Toc18360"/>
      <w:bookmarkStart w:id="192" w:name="_Toc29845"/>
      <w:bookmarkStart w:id="193" w:name="_Toc15396621"/>
      <w:r>
        <w:rPr>
          <w:rStyle w:val="2Char"/>
          <w:rFonts w:ascii="Times New Roman" w:eastAsia="仿宋" w:cs="Times New Roman" w:hAnsi="Times New Roman"/>
        </w:rPr>
        <w:t>三、支出决算表</w:t>
      </w:r>
      <w:bookmarkEnd w:id="188"/>
      <w:bookmarkEnd w:id="189"/>
      <w:bookmarkEnd w:id="190"/>
      <w:bookmarkEnd w:id="191"/>
      <w:bookmarkEnd w:id="192"/>
      <w:bookmarkEnd w:id="193"/>
    </w:p>
    <w:p>
      <w:pPr>
        <w:pStyle w:val="2"/>
        <w:spacing w:line="400" w:lineRule="exact"/>
        <w:rPr>
          <w:rStyle w:val="2Char"/>
          <w:rFonts w:ascii="Times New Roman" w:eastAsia="仿宋" w:cs="Times New Roman" w:hAnsi="Times New Roman"/>
        </w:rPr>
      </w:pPr>
      <w:bookmarkStart w:id="194" w:name="_Toc31626"/>
      <w:bookmarkStart w:id="195" w:name="_Toc7096"/>
      <w:bookmarkStart w:id="196" w:name="_Toc30568"/>
      <w:bookmarkStart w:id="197" w:name="_Toc15396622"/>
      <w:bookmarkStart w:id="198" w:name="_Toc15043"/>
      <w:bookmarkStart w:id="199" w:name="_Toc12593"/>
      <w:r>
        <w:rPr>
          <w:rStyle w:val="2Char"/>
          <w:rFonts w:ascii="Times New Roman" w:eastAsia="仿宋" w:cs="Times New Roman" w:hAnsi="Times New Roman"/>
        </w:rPr>
        <w:t>四、财政拨款收入支出决算总表</w:t>
      </w:r>
      <w:bookmarkEnd w:id="194"/>
      <w:bookmarkEnd w:id="195"/>
      <w:bookmarkEnd w:id="196"/>
      <w:bookmarkEnd w:id="197"/>
      <w:bookmarkEnd w:id="198"/>
      <w:bookmarkEnd w:id="199"/>
    </w:p>
    <w:p>
      <w:pPr>
        <w:pStyle w:val="2"/>
        <w:spacing w:line="400" w:lineRule="exact"/>
        <w:rPr>
          <w:rStyle w:val="2Char"/>
          <w:rFonts w:ascii="Times New Roman" w:eastAsia="仿宋" w:cs="Times New Roman" w:hAnsi="Times New Roman"/>
        </w:rPr>
      </w:pPr>
      <w:bookmarkStart w:id="200" w:name="_Toc8844"/>
      <w:bookmarkStart w:id="201" w:name="_Toc7466"/>
      <w:bookmarkStart w:id="202" w:name="_Toc11869"/>
      <w:bookmarkStart w:id="203" w:name="_Toc29429"/>
      <w:bookmarkStart w:id="204" w:name="_Toc15396623"/>
      <w:bookmarkStart w:id="205" w:name="_Toc17689"/>
      <w:r>
        <w:rPr>
          <w:rStyle w:val="2Char"/>
          <w:rFonts w:ascii="Times New Roman" w:eastAsia="仿宋" w:cs="Times New Roman" w:hAnsi="Times New Roman"/>
        </w:rPr>
        <w:t>五、财政拨款支出决算明细表</w:t>
      </w:r>
      <w:bookmarkStart w:id="206" w:name="_Toc15396624"/>
      <w:bookmarkEnd w:id="200"/>
      <w:bookmarkEnd w:id="201"/>
      <w:bookmarkEnd w:id="202"/>
      <w:bookmarkEnd w:id="203"/>
      <w:bookmarkEnd w:id="204"/>
      <w:bookmarkEnd w:id="205"/>
    </w:p>
    <w:p>
      <w:pPr>
        <w:pStyle w:val="2"/>
        <w:spacing w:line="400" w:lineRule="exact"/>
        <w:rPr>
          <w:rStyle w:val="2Char"/>
          <w:rFonts w:ascii="Times New Roman" w:eastAsia="仿宋" w:cs="Times New Roman" w:hAnsi="Times New Roman"/>
        </w:rPr>
      </w:pPr>
      <w:bookmarkStart w:id="207" w:name="_Toc14783"/>
      <w:bookmarkStart w:id="208" w:name="_Toc26432"/>
      <w:bookmarkStart w:id="209" w:name="_Toc8596"/>
      <w:bookmarkStart w:id="210" w:name="_Toc22817"/>
      <w:bookmarkStart w:id="211" w:name="_Toc30685"/>
      <w:r>
        <w:rPr>
          <w:rStyle w:val="2Char"/>
          <w:rFonts w:ascii="Times New Roman" w:eastAsia="仿宋" w:cs="Times New Roman" w:hAnsi="Times New Roman"/>
        </w:rPr>
        <w:t>六、一般公共预算财政拨款支出决算表</w:t>
      </w:r>
      <w:bookmarkEnd w:id="206"/>
      <w:bookmarkEnd w:id="207"/>
      <w:bookmarkEnd w:id="208"/>
      <w:bookmarkEnd w:id="209"/>
      <w:bookmarkEnd w:id="210"/>
      <w:bookmarkEnd w:id="211"/>
    </w:p>
    <w:p>
      <w:pPr>
        <w:pStyle w:val="2"/>
        <w:spacing w:line="400" w:lineRule="exact"/>
        <w:rPr>
          <w:rStyle w:val="2Char"/>
          <w:rFonts w:ascii="Times New Roman" w:eastAsia="仿宋" w:cs="Times New Roman" w:hAnsi="Times New Roman"/>
        </w:rPr>
      </w:pPr>
      <w:bookmarkStart w:id="212" w:name="_Toc15396625"/>
      <w:bookmarkStart w:id="213" w:name="_Toc12844"/>
      <w:bookmarkStart w:id="214" w:name="_Toc2373"/>
      <w:bookmarkStart w:id="215" w:name="_Toc30699"/>
      <w:bookmarkStart w:id="216" w:name="_Toc13771"/>
      <w:bookmarkStart w:id="217" w:name="_Toc29222"/>
      <w:r>
        <w:rPr>
          <w:rStyle w:val="2Char"/>
          <w:rFonts w:ascii="Times New Roman" w:eastAsia="仿宋" w:cs="Times New Roman" w:hAnsi="Times New Roman"/>
        </w:rPr>
        <w:t>七、一般公共预算财政拨款支出决算明细表</w:t>
      </w:r>
      <w:bookmarkEnd w:id="212"/>
      <w:bookmarkEnd w:id="213"/>
      <w:bookmarkEnd w:id="214"/>
      <w:bookmarkEnd w:id="215"/>
      <w:bookmarkEnd w:id="216"/>
      <w:bookmarkEnd w:id="217"/>
    </w:p>
    <w:p>
      <w:pPr>
        <w:pStyle w:val="2"/>
        <w:spacing w:line="400" w:lineRule="exact"/>
        <w:rPr>
          <w:rStyle w:val="2Char"/>
          <w:rFonts w:ascii="Times New Roman" w:eastAsia="仿宋" w:cs="Times New Roman" w:hAnsi="Times New Roman"/>
        </w:rPr>
      </w:pPr>
      <w:bookmarkStart w:id="218" w:name="_Toc1266"/>
      <w:bookmarkStart w:id="219" w:name="_Toc9927"/>
      <w:bookmarkStart w:id="220" w:name="_Toc19292"/>
      <w:bookmarkStart w:id="221" w:name="_Toc10448"/>
      <w:bookmarkStart w:id="222" w:name="_Toc15396626"/>
      <w:bookmarkStart w:id="223" w:name="_Toc21570"/>
      <w:r>
        <w:rPr>
          <w:rStyle w:val="2Char"/>
          <w:rFonts w:ascii="Times New Roman" w:eastAsia="仿宋" w:cs="Times New Roman" w:hAnsi="Times New Roman"/>
        </w:rPr>
        <w:t>八、一般公共预算财政拨款基本支出决算表</w:t>
      </w:r>
      <w:bookmarkEnd w:id="218"/>
      <w:bookmarkEnd w:id="219"/>
      <w:bookmarkEnd w:id="220"/>
      <w:bookmarkEnd w:id="221"/>
      <w:bookmarkEnd w:id="222"/>
      <w:bookmarkEnd w:id="223"/>
    </w:p>
    <w:p>
      <w:pPr>
        <w:pStyle w:val="2"/>
        <w:spacing w:line="400" w:lineRule="exact"/>
        <w:rPr>
          <w:rStyle w:val="2Char"/>
          <w:rFonts w:ascii="Times New Roman" w:eastAsia="仿宋" w:cs="Times New Roman" w:hAnsi="Times New Roman"/>
        </w:rPr>
      </w:pPr>
      <w:bookmarkStart w:id="224" w:name="_Toc8723"/>
      <w:bookmarkStart w:id="225" w:name="_Toc10117"/>
      <w:bookmarkStart w:id="226" w:name="_Toc10948"/>
      <w:bookmarkStart w:id="227" w:name="_Toc9524"/>
      <w:bookmarkStart w:id="228" w:name="_Toc15396627"/>
      <w:bookmarkStart w:id="229" w:name="_Toc8006"/>
      <w:r>
        <w:rPr>
          <w:rStyle w:val="2Char"/>
          <w:rFonts w:ascii="Times New Roman" w:eastAsia="仿宋" w:cs="Times New Roman" w:hAnsi="Times New Roman"/>
        </w:rPr>
        <w:t>九、一般公共预算财政拨款项目支出决算表</w:t>
      </w:r>
      <w:bookmarkEnd w:id="224"/>
      <w:bookmarkEnd w:id="225"/>
      <w:bookmarkEnd w:id="226"/>
      <w:bookmarkEnd w:id="227"/>
      <w:bookmarkEnd w:id="228"/>
      <w:bookmarkEnd w:id="229"/>
    </w:p>
    <w:p>
      <w:pPr>
        <w:pStyle w:val="2"/>
        <w:spacing w:line="400" w:lineRule="exact"/>
        <w:rPr>
          <w:rStyle w:val="2Char"/>
          <w:rFonts w:ascii="Times New Roman" w:eastAsia="仿宋" w:cs="Times New Roman" w:hAnsi="Times New Roman"/>
        </w:rPr>
      </w:pPr>
      <w:bookmarkStart w:id="230" w:name="_Toc24844"/>
      <w:bookmarkStart w:id="231" w:name="_Toc18088"/>
      <w:bookmarkStart w:id="232" w:name="_Toc29104"/>
      <w:bookmarkStart w:id="233" w:name="_Toc18414"/>
      <w:bookmarkStart w:id="234" w:name="_Toc32110"/>
      <w:bookmarkStart w:id="235" w:name="_Toc15396628"/>
      <w:r>
        <w:rPr>
          <w:rStyle w:val="2Char"/>
          <w:rFonts w:ascii="Times New Roman" w:eastAsia="仿宋" w:cs="Times New Roman" w:hAnsi="Times New Roman"/>
        </w:rPr>
        <w:t>十、一般公共预算财政拨款“三公”经费支出决算表</w:t>
      </w:r>
      <w:bookmarkEnd w:id="230"/>
      <w:bookmarkEnd w:id="231"/>
      <w:bookmarkEnd w:id="232"/>
      <w:bookmarkEnd w:id="233"/>
      <w:bookmarkEnd w:id="234"/>
      <w:bookmarkEnd w:id="235"/>
    </w:p>
    <w:p>
      <w:pPr>
        <w:pStyle w:val="2"/>
        <w:spacing w:line="400" w:lineRule="exact"/>
        <w:rPr>
          <w:rStyle w:val="2Char"/>
          <w:rFonts w:ascii="Times New Roman" w:eastAsia="仿宋" w:cs="Times New Roman" w:hAnsi="Times New Roman"/>
        </w:rPr>
      </w:pPr>
      <w:bookmarkStart w:id="236" w:name="_Toc19982"/>
      <w:bookmarkStart w:id="237" w:name="_Toc15396629"/>
      <w:bookmarkStart w:id="238" w:name="_Toc27882"/>
      <w:bookmarkStart w:id="239" w:name="_Toc8104"/>
      <w:bookmarkStart w:id="240" w:name="_Toc15073"/>
      <w:bookmarkStart w:id="241" w:name="_Toc22150"/>
      <w:r>
        <w:rPr>
          <w:rStyle w:val="2Char"/>
          <w:rFonts w:ascii="Times New Roman" w:eastAsia="仿宋" w:cs="Times New Roman" w:hAnsi="Times New Roman"/>
        </w:rPr>
        <w:t>十一、政府性基金预算财政拨款收入支出决算表</w:t>
      </w:r>
      <w:bookmarkEnd w:id="236"/>
      <w:bookmarkEnd w:id="237"/>
      <w:bookmarkEnd w:id="238"/>
      <w:r>
        <w:rPr>
          <w:rStyle w:val="2Char"/>
          <w:rFonts w:ascii="Times New Roman" w:eastAsia="仿宋" w:cs="Times New Roman" w:hAnsi="Times New Roman"/>
        </w:rPr>
        <w:t>（此表无数据）</w:t>
      </w:r>
      <w:bookmarkEnd w:id="239"/>
      <w:bookmarkEnd w:id="240"/>
      <w:bookmarkEnd w:id="241"/>
    </w:p>
    <w:p>
      <w:pPr>
        <w:pStyle w:val="2"/>
        <w:spacing w:line="400" w:lineRule="exact"/>
        <w:rPr>
          <w:rStyle w:val="2Char"/>
          <w:rFonts w:ascii="Times New Roman" w:eastAsia="仿宋" w:cs="Times New Roman" w:hAnsi="Times New Roman"/>
        </w:rPr>
      </w:pPr>
      <w:bookmarkStart w:id="242" w:name="_Toc15396630"/>
      <w:bookmarkStart w:id="243" w:name="_Toc20330"/>
      <w:bookmarkStart w:id="244" w:name="_Toc24787"/>
      <w:bookmarkStart w:id="245" w:name="_Toc11544"/>
      <w:bookmarkStart w:id="246" w:name="_Toc15776"/>
      <w:bookmarkStart w:id="247" w:name="_Toc23397"/>
      <w:r>
        <w:rPr>
          <w:rStyle w:val="2Char"/>
          <w:rFonts w:ascii="Times New Roman" w:eastAsia="仿宋" w:cs="Times New Roman" w:hAnsi="Times New Roman"/>
        </w:rPr>
        <w:t>十二、政府性基金预算财政拨款“三公”经费支出决算表</w:t>
      </w:r>
      <w:bookmarkEnd w:id="242"/>
      <w:bookmarkEnd w:id="243"/>
      <w:bookmarkEnd w:id="244"/>
      <w:r>
        <w:rPr>
          <w:rStyle w:val="2Char"/>
          <w:rFonts w:ascii="Times New Roman" w:eastAsia="仿宋" w:cs="Times New Roman" w:hAnsi="Times New Roman"/>
        </w:rPr>
        <w:t>（此表无数据）</w:t>
      </w:r>
      <w:bookmarkEnd w:id="245"/>
      <w:bookmarkEnd w:id="246"/>
      <w:bookmarkEnd w:id="247"/>
    </w:p>
    <w:p>
      <w:pPr>
        <w:pStyle w:val="2"/>
        <w:spacing w:line="400" w:lineRule="exact"/>
        <w:rPr>
          <w:rStyle w:val="2Char"/>
          <w:rFonts w:ascii="Times New Roman" w:eastAsia="仿宋" w:cs="Times New Roman" w:hAnsi="Times New Roman"/>
        </w:rPr>
      </w:pPr>
      <w:bookmarkStart w:id="248" w:name="_Toc15396631"/>
      <w:bookmarkStart w:id="249" w:name="_Toc2239"/>
      <w:bookmarkStart w:id="250" w:name="_Toc2244"/>
      <w:bookmarkStart w:id="251" w:name="_Toc24186"/>
      <w:bookmarkStart w:id="252" w:name="_Toc12609"/>
      <w:bookmarkStart w:id="253" w:name="_Toc21011"/>
      <w:r>
        <w:rPr>
          <w:rStyle w:val="2Char"/>
          <w:rFonts w:ascii="Times New Roman" w:eastAsia="仿宋" w:cs="Times New Roman" w:hAnsi="Times New Roman"/>
        </w:rPr>
        <w:t>十三、国有资本经营预算财政拨款收入支出决算表</w:t>
      </w:r>
      <w:bookmarkEnd w:id="248"/>
      <w:bookmarkEnd w:id="249"/>
      <w:bookmarkEnd w:id="250"/>
      <w:r>
        <w:rPr>
          <w:rStyle w:val="2Char"/>
          <w:rFonts w:ascii="Times New Roman" w:eastAsia="仿宋" w:cs="Times New Roman" w:hAnsi="Times New Roman"/>
        </w:rPr>
        <w:t>（此表无数据）</w:t>
      </w:r>
      <w:bookmarkEnd w:id="251"/>
      <w:bookmarkEnd w:id="252"/>
      <w:bookmarkEnd w:id="253"/>
    </w:p>
    <w:p>
      <w:pPr>
        <w:pStyle w:val="2"/>
        <w:spacing w:line="400" w:lineRule="exact"/>
        <w:rPr>
          <w:rStyle w:val="2Char"/>
          <w:rFonts w:ascii="Times New Roman" w:eastAsia="仿宋" w:cs="Times New Roman" w:hAnsi="Times New Roman"/>
        </w:rPr>
      </w:pPr>
      <w:bookmarkStart w:id="254" w:name="_Toc26020"/>
      <w:bookmarkStart w:id="255" w:name="_Toc31408"/>
      <w:bookmarkStart w:id="256" w:name="_Toc23725"/>
      <w:bookmarkStart w:id="257" w:name="_Toc16340"/>
      <w:bookmarkStart w:id="258" w:name="_Toc21615"/>
      <w:r>
        <w:rPr>
          <w:rStyle w:val="2Char"/>
          <w:rFonts w:ascii="Times New Roman" w:eastAsia="仿宋" w:cs="Times New Roman" w:hAnsi="Times New Roman"/>
        </w:rPr>
        <w:t>十四、国有资本经营预算财政拨款支出决算表</w:t>
      </w:r>
      <w:bookmarkEnd w:id="254"/>
      <w:bookmarkEnd w:id="255"/>
      <w:r>
        <w:rPr>
          <w:rStyle w:val="2Char"/>
          <w:rFonts w:ascii="Times New Roman" w:eastAsia="仿宋" w:cs="Times New Roman" w:hAnsi="Times New Roman"/>
        </w:rPr>
        <w:t>（此表无数据）</w:t>
      </w:r>
      <w:bookmarkEnd w:id="256"/>
      <w:bookmarkEnd w:id="257"/>
      <w:bookmarkEnd w:id="258"/>
    </w:p>
    <w:p>
      <w:pPr>
        <w:pStyle w:val="2"/>
        <w:spacing w:line="400" w:lineRule="exact"/>
        <w:rPr>
          <w:rStyle w:val="2Char"/>
          <w:rFonts w:ascii="Times New Roman" w:eastAsia="仿宋" w:cs="Times New Roman" w:hAnsi="Times New Roman"/>
        </w:rPr>
      </w:pPr>
    </w:p>
    <w:sectPr>
      <w:headerReference w:type="default" r:id="rId2"/>
      <w:footerReference w:type="default" r:id="rId3"/>
      <w:footerReference w:type="even" r:id="rId4"/>
      <w:pgSz w:w="11906" w:h="16838"/>
      <w:pgMar w:top="2098" w:right="1474" w:bottom="1984" w:left="1587" w:header="851" w:footer="1417" w:gutter="0"/>
      <w:pgNumType w:start="1"/>
      <w:cols w:num="1" w:space="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variable"/>
    <w:sig w:usb0="800002BF" w:usb1="38CF7CFA" w:usb2="00000016" w:usb3="00000000" w:csb0="00040001" w:csb1="00000000"/>
  </w:font>
  <w:font w:name="楷体_GB2312">
    <w:altName w:val="Arial Unicode MS"/>
    <w:panose1 w:val="00000000000000000000"/>
    <w:charset w:val="86"/>
    <w:family w:val="modern"/>
    <w:pitch w:val="variable"/>
    <w:sig w:usb0="00000000" w:usb1="080E0000" w:usb2="00000000" w:usb3="00000000" w:csb0="00040000" w:csb1="00000000"/>
  </w:font>
  <w:font w:name="仿宋_GB2312">
    <w:panose1 w:val="02010609030101010101"/>
    <w:charset w:val="86"/>
    <w:family w:val="modern"/>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Lucida Sans">
    <w:panose1 w:val="020B0602030504020204"/>
    <w:charset w:val="00"/>
    <w:family w:val="auto"/>
    <w:pitch w:val="variable"/>
    <w:sig w:usb0="00000003" w:usb1="00000000" w:usb2="00000000" w:usb3="00000000" w:csb0="20000001" w:csb1="00000000"/>
  </w:font>
  <w:font w:name="Cambria">
    <w:panose1 w:val="02040503050406030204"/>
    <w:charset w:val="00"/>
    <w:family w:val="roman"/>
    <w:pitch w:val="variable"/>
    <w:sig w:usb0="E00002FF" w:usb1="400004FF" w:usb2="00000000" w:usb3="00000000" w:csb0="0000019F" w:csb1="00000000"/>
  </w:font>
  <w:font w:name="方正兰亭黑_GBK">
    <w:panose1 w:val="00000000000000000000"/>
    <w:charset w:val="86"/>
    <w:family w:val="script"/>
    <w:pitch w:val="variable"/>
    <w:sig w:usb0="A00002BF" w:usb1="3ACF7CFA" w:usb2="00080016" w:usb3="00000000" w:csb0="00040001" w:csb1="00000000"/>
  </w:font>
  <w:font w:name="Courier New">
    <w:panose1 w:val="020704090202050904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right"/>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sz w:val="28"/>
        <w:szCs w:val="28"/>
        <w:lang w:val="zh-CN"/>
      </w:rPr>
      <w:t>53</w:t>
    </w:r>
    <w:r>
      <w:rPr>
        <w:rFonts w:ascii="宋体" w:eastAsia="宋体" w:cs="宋体" w:hint="eastAsia"/>
        <w:sz w:val="28"/>
        <w:szCs w:val="28"/>
        <w:lang w:val="zh-CN"/>
      </w:rPr>
      <w:fldChar w:fldCharType="end"/>
    </w:r>
    <w:r>
      <w:rPr>
        <w:rFonts w:ascii="宋体" w:eastAsia="宋体" w:cs="宋体" w:hint="eastAsia"/>
        <w:sz w:val="28"/>
        <w:szCs w:val="28"/>
      </w:rPr>
      <w:t xml:space="preserve"> —</w:t>
    </w:r>
    <w:r>
      <mc:AlternateContent>
        <mc:Choice Requires="wps">
          <w:drawing>
            <wp:anchor distT="0" distB="0" distL="114298" distR="114298" simplePos="0" relativeHeight="33" behindDoc="0" locked="0" layoutInCell="1" hidden="0" allowOverlap="1">
              <wp:simplePos x="0" y="0"/>
              <wp:positionH relativeFrom="margin">
                <wp:align>outside</wp:align>
              </wp:positionH>
              <wp:positionV relativeFrom="paragraph">
                <wp:posOffset>0</wp:posOffset>
              </wp:positionV>
              <wp:extent cx="76198" cy="230251"/>
              <wp:effectExtent l="0" t="0" r="0" b="0"/>
              <wp:wrapNone/>
              <wp:docPr id="1" name="文本框"/>
              <wp:cNvGraphicFramePr>
                <a:graphicFrameLocks noChangeAspect="0"/>
              </wp:cNvGraphicFramePr>
              <a:graphic>
                <a:graphicData uri="http://schemas.microsoft.com/office/word/2010/wordprocessingShape">
                  <wps:wsp>
                    <wps:cNvSpPr/>
                    <wps:spPr>
                      <a:xfrm rot="0">
                        <a:off x="0" y="0"/>
                        <a:ext cx="76198" cy="230251"/>
                      </a:xfrm>
                      <a:prstGeom prst="rect"/>
                      <a:noFill/>
                      <a:ln w="9525" cmpd="sng" cap="flat">
                        <a:noFill/>
                        <a:prstDash val="solid"/>
                        <a:miter/>
                      </a:ln>
                    </wps:spPr>
                    <wps:txbx id="2">
                      <w:txbxContent>
                        <w:p>
                          <w:pPr>
                            <w:pStyle w:val="20"/>
                            <w:tabs>
                              <w:tab w:val="center" w:pos="4153"/>
                              <w:tab w:val="right" w:pos="8306"/>
                            </w:tabs>
                            <w:jc w:val="center"/>
                            <w:rPr>
                              <w:rFonts w:ascii="宋体" w:eastAsia="宋体" w:cs="宋体"/>
                              <w:sz w:val="28"/>
                              <w:szCs w:val="28"/>
                            </w:rPr>
                          </w:pP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416.0pt;margin-top:0.0pt;width:5.9999084pt;height:18.130003pt;z-index:33;mso-position-horizontal:outside;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20"/>
                      <w:tabs>
                        <w:tab w:val="center" w:pos="4153"/>
                        <w:tab w:val="right" w:pos="8306"/>
                      </w:tabs>
                      <w:jc w:val="center"/>
                      <w:rPr>
                        <w:rFonts w:ascii="宋体" w:eastAsia="宋体" w:cs="宋体"/>
                        <w:sz w:val="28"/>
                        <w:szCs w:val="28"/>
                      </w:rPr>
                    </w:pP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rFonts w:ascii="宋体" w:eastAsia="宋体" w:cs="宋体" w:hint="eastAsia"/>
        <w:sz w:val="28"/>
        <w:szCs w:val="28"/>
      </w:rPr>
      <w:t xml:space="preserve">— </w:t>
    </w:r>
    <w:sdt>
      <w:sdtPr>
        <w:rPr>
          <w:rFonts w:ascii="宋体" w:eastAsia="宋体" w:cs="宋体" w:hint="eastAsia"/>
          <w:sz w:val="28"/>
          <w:szCs w:val="28"/>
        </w:rPr>
        <w:id w:val="-326148183"/>
      </w:sdtPr>
      <w:sdtContent>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sz w:val="28"/>
            <w:szCs w:val="28"/>
            <w:lang w:val="zh-CN"/>
          </w:rPr>
          <w:t>54</w:t>
        </w:r>
        <w:r>
          <w:rPr>
            <w:rFonts w:ascii="宋体" w:eastAsia="宋体" w:cs="宋体" w:hint="eastAsia"/>
            <w:sz w:val="28"/>
            <w:szCs w:val="28"/>
            <w:lang w:val="zh-CN"/>
          </w:rPr>
          <w:fldChar w:fldCharType="end"/>
        </w:r>
        <w:r>
          <w:rPr>
            <w:rFonts w:ascii="宋体" w:eastAsia="宋体" w:cs="宋体" w:hint="eastAsia"/>
            <w:sz w:val="28"/>
            <w:szCs w:val="28"/>
          </w:rPr>
          <w:t xml:space="preserve"> —</w:t>
        </w:r>
      </w:sdtContent>
    </w:sdt>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F652CEC"/>
    <w:multiLevelType w:val="singleLevel"/>
    <w:tmpl w:val="CF652CEC"/>
    <w:lvl w:ilvl="0">
      <w:start w:val="9"/>
      <w:numFmt w:val="chineseCounting"/>
      <w:lvlRestart w:val="0"/>
      <w:suff w:val="nothing"/>
      <w:lvlText w:val="%1、"/>
      <w:lvlJc w:val="left"/>
      <w:pPr/>
      <w:rPr>
        <w:rFonts w:hint="eastAsia"/>
      </w:rPr>
    </w:lvl>
  </w:abstractNum>
  <w:abstractNum w:abstractNumId="1">
    <w:nsid w:val="1B0F5DC8"/>
    <w:multiLevelType w:val="singleLevel"/>
    <w:tmpl w:val="1B0F5DC8"/>
    <w:lvl w:ilvl="0">
      <w:start w:val="11"/>
      <w:numFmt w:val="decimal"/>
      <w:lvlRestart w:val="0"/>
      <w:lvlText w:val="%1."/>
      <w:lvlJc w:val="left"/>
      <w:pPr>
        <w:tabs>
          <w:tab w:val="num" w:pos="312"/>
        </w:tabs>
      </w:pPr>
    </w:lvl>
  </w:abstractNum>
  <w:abstractNum w:abstractNumId="2">
    <w:nsid w:val="11D96CB6"/>
    <w:multiLevelType w:val="singleLevel"/>
    <w:tmpl w:val="11D96CB6"/>
    <w:lvl w:ilvl="0">
      <w:start w:val="2"/>
      <w:numFmt w:val="chineseCounting"/>
      <w:lvlRestart w:val="0"/>
      <w:suff w:val="nothing"/>
      <w:lvlText w:val="（%1）"/>
      <w:lvlJc w:val="left"/>
      <w:pPr/>
      <w:rPr>
        <w:rFonts w:hint="eastAsia"/>
      </w:rPr>
    </w:lvl>
  </w:abstractNum>
  <w:abstractNum w:abstractNumId="3">
    <w:nsid w:val="16E9B975"/>
    <w:multiLevelType w:val="singleLevel"/>
    <w:tmpl w:val="16E9B975"/>
    <w:lvl w:ilvl="0">
      <w:start w:val="2"/>
      <w:numFmt w:val="chineseCounting"/>
      <w:lvlRestart w:val="0"/>
      <w:suff w:val="nothing"/>
      <w:lvlText w:val="（%1）"/>
      <w:lvlJc w:val="left"/>
      <w:pPr/>
      <w:rPr>
        <w:rFonts w:hint="eastAsia"/>
      </w:rPr>
    </w:lvl>
  </w:abstractNum>
  <w:abstractNum w:abstractNumId="4">
    <w:nsid w:val="8B8E6484"/>
    <w:multiLevelType w:val="singleLevel"/>
    <w:tmpl w:val="8B8E6484"/>
    <w:lvl w:ilvl="0">
      <w:start w:val="2"/>
      <w:numFmt w:val="decimal"/>
      <w:lvlRestart w:val="0"/>
      <w:suff w:val="nothing"/>
      <w:lvlText w:val="%1．"/>
      <w:lvlJc w:val="left"/>
      <w:pPr/>
    </w:lvl>
  </w:abstractNum>
  <w:abstractNum w:abstractNumId="5">
    <w:nsid w:val="23F9BA9E"/>
    <w:multiLevelType w:val="singleLevel"/>
    <w:tmpl w:val="23F9BA9E"/>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NjFiY2QxZjNjMTg1NDY3NTViMjhmYzc3YmRjNGQ2ZW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able of authorities"/>
    <w:basedOn w:val="0"/>
    <w:next w:val="0"/>
    <w:pPr>
      <w:ind w:leftChars="200" w:left="200"/>
      <w:jc w:val="left"/>
    </w:pPr>
    <w:rPr>
      <w:rFonts w:ascii="宋体" w:cs="方正兰亭黑_GBK" w:hAnsi="方正兰亭黑_GBK"/>
      <w:sz w:val="24"/>
      <w:szCs w:val="21"/>
    </w:rPr>
  </w:style>
  <w:style w:type="paragraph" w:styleId="16">
    <w:name w:val="Body Text"/>
    <w:basedOn w:val="0"/>
    <w:pPr>
      <w:spacing w:beforeLines="30" w:before="30"/>
    </w:pPr>
    <w:rPr>
      <w:rFonts w:ascii="仿宋_GB2312" w:eastAsia="仿宋_GB2312"/>
      <w:kern w:val="0"/>
      <w:sz w:val="30"/>
    </w:rPr>
  </w:style>
  <w:style w:type="paragraph" w:styleId="17">
    <w:name w:val="toc 3"/>
    <w:basedOn w:val="0"/>
    <w:next w:val="0"/>
    <w:pPr>
      <w:tabs>
        <w:tab w:val="right" w:leader="dot" w:pos="8296"/>
      </w:tabs>
      <w:ind w:leftChars="400" w:left="400"/>
    </w:pPr>
  </w:style>
  <w:style w:type="paragraph" w:styleId="18">
    <w:name w:val="Plain Text"/>
    <w:basedOn w:val="0"/>
    <w:rPr>
      <w:rFonts w:ascii="宋体" w:hAnsi="Courier New"/>
      <w:sz w:val="32"/>
    </w:r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hAnsi="仿宋"/>
      <w:sz w:val="28"/>
      <w:szCs w:val="28"/>
    </w:rPr>
  </w:style>
  <w:style w:type="paragraph" w:styleId="23">
    <w:name w:val="toc 2"/>
    <w:basedOn w:val="0"/>
    <w:next w:val="0"/>
    <w:pPr>
      <w:tabs>
        <w:tab w:val="right" w:leader="dot" w:pos="8296"/>
      </w:tabs>
      <w:ind w:leftChars="200" w:left="200"/>
    </w:pPr>
  </w:style>
  <w:style w:type="paragraph" w:styleId="24">
    <w:name w:val="Normal (Web)"/>
    <w:basedOn w:val="0"/>
    <w:pPr>
      <w:widowControl/>
      <w:spacing w:before="100" w:beforeAutospacing="1" w:after="100" w:afterAutospacing="1"/>
      <w:jc w:val="left"/>
    </w:pPr>
    <w:rPr>
      <w:rFonts w:ascii="宋体"/>
      <w:kern w:val="0"/>
      <w:sz w:val="24"/>
    </w:rPr>
  </w:style>
  <w:style w:type="character" w:styleId="25">
    <w:name w:val="Strong"/>
    <w:basedOn w:val="10"/>
    <w:rPr>
      <w:b/>
    </w:rPr>
  </w:style>
  <w:style w:type="character" w:styleId="26">
    <w:name w:val="Hyperlink"/>
    <w:basedOn w:val="10"/>
    <w:rPr>
      <w:color w:val="0000FF"/>
      <w:u w:val="single"/>
    </w:rPr>
  </w:style>
  <w:style w:type="character" w:customStyle="1" w:styleId="27">
    <w:name w:val="Header Char"/>
    <w:basedOn w:val="10"/>
    <w:rPr>
      <w:rFonts w:ascii="Times New Roman" w:hAnsi="Times New Roman"/>
      <w:sz w:val="18"/>
      <w:szCs w:val="18"/>
    </w:rPr>
  </w:style>
  <w:style w:type="character" w:customStyle="1" w:styleId="28">
    <w:name w:val="Footer Char"/>
    <w:basedOn w:val="10"/>
    <w:rPr>
      <w:rFonts w:ascii="Times New Roman" w:hAnsi="Times New Roman"/>
      <w:sz w:val="18"/>
      <w:szCs w:val="18"/>
    </w:rPr>
  </w:style>
  <w:style w:type="character" w:customStyle="1" w:styleId="29">
    <w:name w:val="Body Text Char"/>
    <w:basedOn w:val="10"/>
    <w:rPr>
      <w:rFonts w:ascii="Times New Roman" w:hAnsi="Times New Roman"/>
      <w:szCs w:val="24"/>
    </w:rPr>
  </w:style>
  <w:style w:type="paragraph" w:customStyle="1" w:styleId="30">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1">
    <w:name w:val="List Paragraph"/>
    <w:basedOn w:val="0"/>
    <w:pPr>
      <w:ind w:firstLineChars="200" w:firstLine="200"/>
    </w:pPr>
  </w:style>
  <w:style w:type="paragraph" w:customStyle="1" w:styleId="32">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3">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4">
    <w:name w:val="WPSOffice手动目录 1"/>
    <w:rPr>
      <w:rFonts w:ascii="Calibri" w:eastAsia="宋体" w:cs="Arial" w:hAnsi="Calibri"/>
      <w:sz w:val="20"/>
      <w:szCs w:val="20"/>
      <w:lang w:val="en-US" w:eastAsia="zh-CN" w:bidi="ar-SA"/>
    </w:rPr>
  </w:style>
  <w:style w:type="paragraph" w:customStyle="1" w:styleId="35">
    <w:name w:val="WPSOffice手动目录 2"/>
    <w:pPr>
      <w:ind w:leftChars="200" w:left="200"/>
    </w:pPr>
    <w:rPr>
      <w:rFonts w:ascii="Calibri" w:eastAsia="宋体" w:cs="Arial" w:hAnsi="Calibri"/>
      <w:sz w:val="20"/>
      <w:szCs w:val="20"/>
      <w:lang w:val="en-US" w:eastAsia="zh-CN" w:bidi="ar-SA"/>
    </w:rPr>
  </w:style>
  <w:style w:type="paragraph" w:customStyle="1" w:styleId="36">
    <w:name w:val="_Style 2"/>
    <w:basedOn w:val="0"/>
    <w:pPr>
      <w:spacing w:line="351" w:lineRule="atLeast"/>
      <w:ind w:firstLine="623"/>
      <w:textAlignment w:val="baseline"/>
    </w:pPr>
    <w:rPr>
      <w:rFonts w:eastAsia="仿宋_GB2312"/>
      <w:color w:val="000000"/>
      <w:sz w:val="31"/>
      <w:szCs w:val="20"/>
      <w:u w:color="00000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5.emf"/><Relationship Id="rId6" Type="http://schemas.openxmlformats.org/officeDocument/2006/relationships/oleObject" Target="embeddings/oleObject1.bin"/><Relationship Id="rId7" Type="http://schemas.openxmlformats.org/officeDocument/2006/relationships/image" Target="media/7.emf"/><Relationship Id="rId8" Type="http://schemas.openxmlformats.org/officeDocument/2006/relationships/oleObject" Target="embeddings/oleObject2.bin"/><Relationship Id="rId9" Type="http://schemas.openxmlformats.org/officeDocument/2006/relationships/image" Target="media/9.emf"/><Relationship Id="rId10" Type="http://schemas.openxmlformats.org/officeDocument/2006/relationships/oleObject" Target="embeddings/oleObject3.bin"/><Relationship Id="rId11" Type="http://schemas.openxmlformats.org/officeDocument/2006/relationships/image" Target="media/11.emf"/><Relationship Id="rId12" Type="http://schemas.openxmlformats.org/officeDocument/2006/relationships/oleObject" Target="embeddings/oleObject4.bin"/><Relationship Id="rId13" Type="http://schemas.openxmlformats.org/officeDocument/2006/relationships/image" Target="media/13.emf"/><Relationship Id="rId14" Type="http://schemas.openxmlformats.org/officeDocument/2006/relationships/oleObject" Target="embeddings/oleObject5.bin"/><Relationship Id="rId15" Type="http://schemas.openxmlformats.org/officeDocument/2006/relationships/image" Target="media/15.emf"/><Relationship Id="rId16" Type="http://schemas.openxmlformats.org/officeDocument/2006/relationships/oleObject" Target="embeddings/oleObject6.bin"/><Relationship Id="rId17" Type="http://schemas.openxmlformats.org/officeDocument/2006/relationships/image" Target="media/17.emf"/><Relationship Id="rId18" Type="http://schemas.openxmlformats.org/officeDocument/2006/relationships/oleObject" Target="embeddings/oleObject7.bin"/><Relationship Id="rId19" Type="http://schemas.openxmlformats.org/officeDocument/2006/relationships/styles" Target="styl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7374745-0F6F-474E-8143-15D5015B9E7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19</TotalTime>
  <Application>Yozo_Office27021597764231179</Application>
  <Pages>54</Pages>
  <Words>0</Words>
  <Characters>19074</Characters>
  <Lines>0</Lines>
  <Paragraphs>441</Paragraphs>
  <CharactersWithSpaces>25432</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7</cp:revision>
  <cp:lastPrinted>2022-08-08T17:11:00Z</cp:lastPrinted>
  <dcterms:created xsi:type="dcterms:W3CDTF">2020-08-05T09:49:00Z</dcterms:created>
  <dcterms:modified xsi:type="dcterms:W3CDTF">2024-12-19T05:17:12Z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y fmtid="{D5CDD505-2E9C-101B-9397-08002B2CF9AE}" pid="3" name="ICV">
    <vt:lpwstr>373810DAA4114F179D57DAE0DE04F236</vt:lpwstr>
  </property>
</Properties>
</file>