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image/emf"/>
  <Default Extension="bin" ContentType="application/vnd.openxmlformats-officedocument.oleObjec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eastAsia="方正小标宋简体"/>
          <w:color w:val="000000"/>
          <w:sz w:val="72"/>
          <w:szCs w:val="72"/>
        </w:rPr>
      </w:pPr>
      <w:bookmarkStart w:id="0" w:name="_Toc15306267"/>
      <w:bookmarkStart w:id="1" w:name="_GoBack"/>
      <w:bookmarkEnd w:id="1"/>
    </w:p>
    <w:p>
      <w:pPr>
        <w:spacing w:line="600" w:lineRule="exact"/>
        <w:jc w:val="center"/>
        <w:outlineLvl w:val="0"/>
        <w:rPr>
          <w:rFonts w:eastAsia="方正小标宋简体"/>
          <w:color w:val="000000"/>
          <w:sz w:val="72"/>
          <w:szCs w:val="72"/>
        </w:rPr>
      </w:pPr>
    </w:p>
    <w:p>
      <w:pPr>
        <w:jc w:val="center"/>
        <w:rPr>
          <w:rFonts w:eastAsia="方正小标宋_GBK"/>
          <w:color w:val="000000"/>
          <w:sz w:val="72"/>
          <w:szCs w:val="72"/>
        </w:rPr>
      </w:pPr>
    </w:p>
    <w:p>
      <w:pPr>
        <w:jc w:val="center"/>
        <w:rPr>
          <w:rFonts w:eastAsia="方正小标宋_GBK"/>
          <w:color w:val="000000"/>
          <w:sz w:val="72"/>
          <w:szCs w:val="72"/>
        </w:rPr>
      </w:pPr>
      <w:bookmarkStart w:id="2" w:name="_Toc15377425"/>
      <w:bookmarkStart w:id="3" w:name="_Toc15377193"/>
      <w:bookmarkStart w:id="4" w:name="_Toc15396597"/>
      <w:bookmarkStart w:id="5" w:name="_Toc15396475"/>
      <w:bookmarkStart w:id="6" w:name="_Toc15378441"/>
      <w:r>
        <w:rPr>
          <w:rFonts w:eastAsia="方正小标宋_GBK"/>
          <w:color w:val="000000"/>
          <w:sz w:val="72"/>
          <w:szCs w:val="72"/>
        </w:rPr>
        <w:t>202</w:t>
      </w:r>
      <w:r>
        <w:rPr>
          <w:rFonts w:eastAsia="方正小标宋_GBK" w:hint="eastAsia"/>
          <w:color w:val="000000"/>
          <w:sz w:val="72"/>
          <w:szCs w:val="72"/>
        </w:rPr>
        <w:t>3</w:t>
      </w:r>
      <w:r>
        <w:rPr>
          <w:rFonts w:eastAsia="方正小标宋_GBK"/>
          <w:color w:val="000000"/>
          <w:sz w:val="72"/>
          <w:szCs w:val="72"/>
        </w:rPr>
        <w:t>年度</w:t>
      </w:r>
      <w:bookmarkEnd w:id="2"/>
      <w:bookmarkEnd w:id="3"/>
      <w:bookmarkEnd w:id="4"/>
      <w:bookmarkEnd w:id="5"/>
      <w:bookmarkEnd w:id="6"/>
    </w:p>
    <w:p>
      <w:pPr>
        <w:jc w:val="center"/>
        <w:rPr>
          <w:rFonts w:eastAsia="方正小标宋_GBK"/>
          <w:color w:val="000000"/>
          <w:sz w:val="72"/>
          <w:szCs w:val="72"/>
        </w:rPr>
      </w:pPr>
      <w:bookmarkStart w:id="7" w:name="_Toc15396598"/>
      <w:bookmarkStart w:id="8" w:name="_Toc15306268"/>
      <w:bookmarkStart w:id="9" w:name="_Toc15377194"/>
      <w:bookmarkStart w:id="10" w:name="_Toc15377426"/>
      <w:bookmarkStart w:id="11" w:name="_Toc15396476"/>
      <w:bookmarkStart w:id="12" w:name="_Toc15378442"/>
      <w:bookmarkEnd w:id="0"/>
      <w:r>
        <w:rPr>
          <w:rFonts w:eastAsia="方正小标宋_GBK"/>
          <w:color w:val="000000"/>
          <w:sz w:val="72"/>
          <w:szCs w:val="72"/>
        </w:rPr>
        <w:t>攀枝花市医疗保障局</w:t>
      </w:r>
    </w:p>
    <w:p>
      <w:pPr>
        <w:jc w:val="center"/>
        <w:rPr>
          <w:rFonts w:eastAsia="方正小标宋_GBK"/>
          <w:color w:val="000000"/>
          <w:sz w:val="72"/>
          <w:szCs w:val="72"/>
        </w:rPr>
      </w:pPr>
      <w:r>
        <w:rPr>
          <w:rFonts w:eastAsia="方正小标宋_GBK"/>
          <w:color w:val="000000"/>
          <w:sz w:val="72"/>
          <w:szCs w:val="72"/>
        </w:rPr>
        <w:t>部门决算</w:t>
      </w:r>
      <w:bookmarkEnd w:id="7"/>
      <w:bookmarkEnd w:id="8"/>
      <w:bookmarkEnd w:id="9"/>
      <w:bookmarkEnd w:id="10"/>
      <w:bookmarkEnd w:id="11"/>
      <w:bookmarkEnd w:id="12"/>
    </w:p>
    <w:p>
      <w:pPr>
        <w:adjustRightInd w:val="0"/>
        <w:snapToGrid w:val="0"/>
        <w:spacing w:line="360" w:lineRule="auto"/>
        <w:jc w:val="center"/>
        <w:outlineLvl w:val="0"/>
        <w:rPr>
          <w:rFonts w:eastAsia="方正小标宋简体"/>
          <w:color w:val="000000"/>
          <w:sz w:val="52"/>
          <w:szCs w:val="52"/>
        </w:rPr>
      </w:pPr>
    </w:p>
    <w:p>
      <w:pPr>
        <w:widowControl/>
        <w:rPr>
          <w:rFonts w:eastAsia="方正小标宋简体"/>
          <w:color w:val="000000"/>
          <w:sz w:val="36"/>
          <w:szCs w:val="36"/>
        </w:rPr>
      </w:pPr>
    </w:p>
    <w:p>
      <w:pPr>
        <w:widowControl/>
        <w:rPr>
          <w:rFonts w:eastAsia="方正小标宋简体"/>
          <w:color w:val="000000"/>
          <w:sz w:val="36"/>
          <w:szCs w:val="36"/>
        </w:rPr>
      </w:pPr>
    </w:p>
    <w:p>
      <w:pPr>
        <w:widowControl/>
        <w:rPr>
          <w:rFonts w:eastAsia="方正小标宋简体"/>
          <w:color w:val="000000"/>
          <w:sz w:val="36"/>
          <w:szCs w:val="36"/>
        </w:rPr>
      </w:pPr>
    </w:p>
    <w:p>
      <w:pPr>
        <w:widowControl/>
        <w:rPr>
          <w:rFonts w:eastAsia="方正小标宋简体"/>
          <w:color w:val="000000"/>
          <w:sz w:val="36"/>
          <w:szCs w:val="36"/>
        </w:rPr>
      </w:pPr>
    </w:p>
    <w:p>
      <w:pPr>
        <w:widowControl/>
        <w:rPr>
          <w:rFonts w:eastAsia="方正小标宋简体"/>
          <w:color w:val="000000"/>
          <w:sz w:val="36"/>
          <w:szCs w:val="36"/>
        </w:rPr>
      </w:pPr>
    </w:p>
    <w:p>
      <w:pPr>
        <w:widowControl/>
        <w:rPr>
          <w:rFonts w:eastAsia="方正小标宋简体"/>
          <w:color w:val="000000"/>
          <w:sz w:val="36"/>
          <w:szCs w:val="36"/>
        </w:rPr>
      </w:pPr>
    </w:p>
    <w:p>
      <w:pPr>
        <w:pStyle w:val="46"/>
        <w:rPr>
          <w:rFonts w:ascii="Times New Roman" w:eastAsia="黑体" w:cs="Times New Roman" w:hAnsi="Times New Roman"/>
          <w:b w:val="0"/>
          <w:bCs w:val="0"/>
          <w:color w:val="000000"/>
          <w:kern w:val="2"/>
          <w:sz w:val="48"/>
          <w:szCs w:val="48"/>
        </w:rPr>
      </w:pPr>
    </w:p>
    <w:p>
      <w:pPr>
        <w:rPr>
          <w:b/>
          <w:bCs/>
          <w:lang w:val="zh-CN"/>
        </w:rPr>
      </w:pPr>
    </w:p>
    <w:sdt>
      <w:sdtPr>
        <w:rPr>
          <w:b/>
          <w:bCs/>
          <w:lang w:val="zh-CN"/>
        </w:rPr>
        <w:id w:val="1829635303"/>
        <w:docPartObj>
          <w:docPartGallery w:val="Table of Contents"/>
          <w:docPartUnique/>
        </w:docPartObj>
      </w:sdtPr>
      <w:sdtEndPr>
        <w:rPr>
          <w:rFonts w:ascii="仿宋_GB2312" w:eastAsia="仿宋_GB2312" w:hint="eastAsia"/>
          <w:b w:val="0"/>
          <w:bCs w:val="0"/>
          <w:sz w:val="32"/>
          <w:szCs w:val="32"/>
          <w:lang w:val="en-US"/>
        </w:rPr>
      </w:sdtEndPr>
      <w:sdtContent>
        <w:p/>
        <w:p>
          <w:pPr>
            <w:pStyle w:val="25"/>
            <w:jc w:val="center"/>
            <w:rPr>
              <w:rFonts w:eastAsia="黑体"/>
              <w:b w:val="0"/>
              <w:sz w:val="32"/>
              <w:szCs w:val="32"/>
            </w:rPr>
          </w:pPr>
          <w:r>
            <w:rPr>
              <w:rFonts w:eastAsia="黑体" w:hAnsi="黑体"/>
              <w:b w:val="0"/>
              <w:sz w:val="32"/>
              <w:szCs w:val="32"/>
            </w:rPr>
            <w:t>目录</w:t>
          </w:r>
        </w:p>
        <w:p>
          <w:pPr>
            <w:pStyle w:val="25"/>
            <w:jc w:val="center"/>
            <w:rPr>
              <w:rFonts w:eastAsia="仿宋"/>
              <w:b w:val="0"/>
              <w:sz w:val="32"/>
              <w:szCs w:val="32"/>
            </w:rPr>
          </w:pPr>
          <w:r>
            <w:rPr>
              <w:rFonts w:eastAsia="仿宋"/>
              <w:b w:val="0"/>
              <w:sz w:val="32"/>
              <w:szCs w:val="32"/>
            </w:rPr>
            <w:t>公开时间：202</w:t>
          </w:r>
          <w:r>
            <w:rPr>
              <w:rFonts w:eastAsia="仿宋" w:hint="eastAsia"/>
              <w:b w:val="0"/>
              <w:sz w:val="32"/>
              <w:szCs w:val="32"/>
            </w:rPr>
            <w:t>4</w:t>
          </w:r>
          <w:r>
            <w:rPr>
              <w:rFonts w:eastAsia="仿宋"/>
              <w:b w:val="0"/>
              <w:sz w:val="32"/>
              <w:szCs w:val="32"/>
            </w:rPr>
            <w:t>年9月</w:t>
          </w:r>
          <w:r>
            <w:rPr>
              <w:rFonts w:eastAsia="仿宋" w:hint="eastAsia"/>
              <w:b w:val="0"/>
              <w:sz w:val="32"/>
              <w:szCs w:val="32"/>
              <w:lang w:val="en-US" w:eastAsia="zh-CN"/>
            </w:rPr>
            <w:t>20</w:t>
          </w:r>
          <w:r>
            <w:rPr>
              <w:rFonts w:eastAsia="仿宋"/>
              <w:b w:val="0"/>
              <w:sz w:val="32"/>
              <w:szCs w:val="32"/>
            </w:rPr>
            <w:t>日</w:t>
          </w:r>
        </w:p>
        <w:p>
          <w:pPr>
            <w:rPr>
              <w:sz w:val="32"/>
              <w:szCs w:val="32"/>
              <w:lang w:val="zh-CN"/>
            </w:rPr>
          </w:pPr>
        </w:p>
        <w:p>
          <w:pPr>
            <w:pStyle w:val="25"/>
            <w:tabs>
              <w:tab w:val="right" w:leader="dot" w:pos="8834"/>
            </w:tabs>
            <w:rPr>
              <w:rFonts w:eastAsia="仿宋_GB2312"/>
              <w:b w:val="0"/>
              <w:bCs w:val="0"/>
              <w:caps w:val="0"/>
              <w:smallCaps w:val="0"/>
              <w:sz w:val="32"/>
              <w:szCs w:val="32"/>
            </w:rPr>
          </w:pPr>
          <w:r>
            <w:rPr>
              <w:rFonts w:eastAsia="仿宋_GB2312"/>
              <w:b w:val="0"/>
              <w:sz w:val="32"/>
              <w:szCs w:val="32"/>
            </w:rPr>
            <w:fldChar w:fldCharType="begin"/>
          </w:r>
          <w:r>
            <w:rPr>
              <w:rFonts w:eastAsia="仿宋_GB2312"/>
              <w:b w:val="0"/>
              <w:sz w:val="32"/>
              <w:szCs w:val="32"/>
            </w:rPr>
            <w:instrText xml:space="preserve"> TOC \o "1-3" \h \z \u </w:instrText>
          </w:r>
          <w:r>
            <w:rPr>
              <w:rFonts w:eastAsia="仿宋_GB2312"/>
              <w:b w:val="0"/>
              <w:sz w:val="32"/>
              <w:szCs w:val="32"/>
            </w:rPr>
            <w:fldChar w:fldCharType="separate"/>
          </w:r>
          <w:r>
            <w:fldChar w:fldCharType="begin"/>
          </w:r>
          <w:r>
            <w:instrText>Hyperlink \l "_Toc145437057"</w:instrText>
          </w:r>
          <w:r>
            <w:fldChar w:fldCharType="separate"/>
          </w:r>
          <w:r>
            <w:rPr>
              <w:rFonts w:eastAsia="仿宋_GB2312"/>
              <w:b w:val="0"/>
              <w:sz w:val="32"/>
              <w:szCs w:val="32"/>
            </w:rPr>
            <w:t>第一部分 部门概况</w:t>
            <w:tab/>
          </w:r>
          <w:r>
            <w:rPr>
              <w:rFonts w:eastAsia="仿宋_GB2312"/>
              <w:b w:val="0"/>
              <w:sz w:val="32"/>
              <w:szCs w:val="32"/>
            </w:rPr>
            <w:fldChar w:fldCharType="begin"/>
          </w:r>
          <w:r>
            <w:rPr>
              <w:rFonts w:eastAsia="仿宋_GB2312"/>
              <w:b w:val="0"/>
              <w:sz w:val="32"/>
              <w:szCs w:val="32"/>
            </w:rPr>
            <w:instrText xml:space="preserve"> PAGEREF _Toc145437057 \h </w:instrText>
          </w:r>
          <w:r>
            <w:rPr>
              <w:rFonts w:eastAsia="仿宋_GB2312"/>
              <w:b w:val="0"/>
              <w:sz w:val="32"/>
              <w:szCs w:val="32"/>
            </w:rPr>
            <w:fldChar w:fldCharType="separate"/>
          </w:r>
          <w:r>
            <w:rPr>
              <w:rFonts w:eastAsia="仿宋_GB2312"/>
              <w:b w:val="0"/>
              <w:sz w:val="32"/>
              <w:szCs w:val="32"/>
            </w:rPr>
            <w:t>3</w:t>
          </w:r>
          <w:r>
            <w:rPr>
              <w:rFonts w:eastAsia="仿宋_GB2312"/>
              <w:b w:val="0"/>
              <w:sz w:val="32"/>
              <w:szCs w:val="32"/>
            </w:rPr>
            <w:fldChar w:fldCharType="end"/>
          </w:r>
          <w:r>
            <w:fldChar w:fldCharType="end"/>
          </w:r>
        </w:p>
        <w:p>
          <w:pPr>
            <w:pStyle w:val="28"/>
            <w:tabs>
              <w:tab w:val="right" w:leader="dot" w:pos="8834"/>
            </w:tabs>
            <w:rPr>
              <w:rFonts w:eastAsia="仿宋_GB2312"/>
              <w:caps w:val="0"/>
              <w:smallCaps w:val="0"/>
              <w:sz w:val="32"/>
              <w:szCs w:val="32"/>
            </w:rPr>
          </w:pPr>
          <w:r>
            <w:fldChar w:fldCharType="begin"/>
          </w:r>
          <w:r>
            <w:instrText>Hyperlink \l "_Toc145437058"</w:instrText>
          </w:r>
          <w:r>
            <w:fldChar w:fldCharType="separate"/>
          </w:r>
          <w:r>
            <w:rPr>
              <w:rFonts w:eastAsia="仿宋_GB2312"/>
              <w:sz w:val="32"/>
              <w:szCs w:val="32"/>
            </w:rPr>
            <w:t>一、部门职责</w:t>
            <w:tab/>
          </w:r>
          <w:r>
            <w:rPr>
              <w:rFonts w:eastAsia="仿宋_GB2312"/>
              <w:sz w:val="32"/>
              <w:szCs w:val="32"/>
            </w:rPr>
            <w:fldChar w:fldCharType="begin"/>
          </w:r>
          <w:r>
            <w:rPr>
              <w:rFonts w:eastAsia="仿宋_GB2312"/>
              <w:sz w:val="32"/>
              <w:szCs w:val="32"/>
            </w:rPr>
            <w:instrText xml:space="preserve"> PAGEREF _Toc145437058 \h </w:instrText>
          </w:r>
          <w:r>
            <w:rPr>
              <w:rFonts w:eastAsia="仿宋_GB2312"/>
              <w:sz w:val="32"/>
              <w:szCs w:val="32"/>
            </w:rPr>
            <w:fldChar w:fldCharType="separate"/>
          </w:r>
          <w:r>
            <w:rPr>
              <w:rFonts w:eastAsia="仿宋_GB2312"/>
              <w:sz w:val="32"/>
              <w:szCs w:val="32"/>
            </w:rPr>
            <w:t>3</w:t>
          </w:r>
          <w:r>
            <w:rPr>
              <w:rFonts w:eastAsia="仿宋_GB2312"/>
              <w:sz w:val="32"/>
              <w:szCs w:val="32"/>
            </w:rPr>
            <w:fldChar w:fldCharType="end"/>
          </w:r>
          <w:r>
            <w:fldChar w:fldCharType="end"/>
          </w:r>
        </w:p>
        <w:p>
          <w:pPr>
            <w:pStyle w:val="28"/>
            <w:tabs>
              <w:tab w:val="right" w:leader="dot" w:pos="8834"/>
            </w:tabs>
            <w:rPr>
              <w:rFonts w:eastAsia="仿宋_GB2312"/>
              <w:caps w:val="0"/>
              <w:smallCaps w:val="0"/>
              <w:sz w:val="32"/>
              <w:szCs w:val="32"/>
            </w:rPr>
          </w:pPr>
          <w:r>
            <w:fldChar w:fldCharType="begin"/>
          </w:r>
          <w:r>
            <w:instrText>Hyperlink \l "_Toc145437059"</w:instrText>
          </w:r>
          <w:r>
            <w:fldChar w:fldCharType="separate"/>
          </w:r>
          <w:r>
            <w:rPr>
              <w:rFonts w:eastAsia="仿宋_GB2312"/>
              <w:sz w:val="32"/>
              <w:szCs w:val="32"/>
            </w:rPr>
            <w:t>二、机构设置</w:t>
            <w:tab/>
          </w:r>
          <w:r>
            <w:rPr>
              <w:rFonts w:eastAsia="仿宋_GB2312"/>
              <w:sz w:val="32"/>
              <w:szCs w:val="32"/>
            </w:rPr>
            <w:fldChar w:fldCharType="begin"/>
          </w:r>
          <w:r>
            <w:rPr>
              <w:rFonts w:eastAsia="仿宋_GB2312"/>
              <w:sz w:val="32"/>
              <w:szCs w:val="32"/>
            </w:rPr>
            <w:instrText xml:space="preserve"> PAGEREF _Toc145437059 \h </w:instrText>
          </w:r>
          <w:r>
            <w:rPr>
              <w:rFonts w:eastAsia="仿宋_GB2312"/>
              <w:sz w:val="32"/>
              <w:szCs w:val="32"/>
            </w:rPr>
            <w:fldChar w:fldCharType="separate"/>
          </w:r>
          <w:r>
            <w:rPr>
              <w:rFonts w:eastAsia="仿宋_GB2312"/>
              <w:sz w:val="32"/>
              <w:szCs w:val="32"/>
            </w:rPr>
            <w:t>5</w:t>
          </w:r>
          <w:r>
            <w:rPr>
              <w:rFonts w:eastAsia="仿宋_GB2312"/>
              <w:sz w:val="32"/>
              <w:szCs w:val="32"/>
            </w:rPr>
            <w:fldChar w:fldCharType="end"/>
          </w:r>
          <w:r>
            <w:fldChar w:fldCharType="end"/>
          </w:r>
        </w:p>
        <w:p>
          <w:pPr>
            <w:pStyle w:val="25"/>
            <w:tabs>
              <w:tab w:val="right" w:leader="dot" w:pos="8834"/>
            </w:tabs>
            <w:rPr>
              <w:rFonts w:eastAsia="仿宋_GB2312"/>
              <w:b w:val="0"/>
              <w:bCs w:val="0"/>
              <w:caps w:val="0"/>
              <w:smallCaps w:val="0"/>
              <w:sz w:val="32"/>
              <w:szCs w:val="32"/>
            </w:rPr>
          </w:pPr>
          <w:r>
            <w:fldChar w:fldCharType="begin"/>
          </w:r>
          <w:r>
            <w:instrText>Hyperlink \l "_Toc145437060"</w:instrText>
          </w:r>
          <w:r>
            <w:fldChar w:fldCharType="separate"/>
          </w:r>
          <w:r>
            <w:rPr>
              <w:rFonts w:eastAsia="仿宋_GB2312"/>
              <w:b w:val="0"/>
              <w:sz w:val="32"/>
              <w:szCs w:val="32"/>
            </w:rPr>
            <w:t>第二部分 202</w:t>
          </w:r>
          <w:r>
            <w:rPr>
              <w:rFonts w:eastAsia="仿宋_GB2312" w:hint="eastAsia"/>
              <w:b w:val="0"/>
              <w:sz w:val="32"/>
              <w:szCs w:val="32"/>
            </w:rPr>
            <w:t>3</w:t>
          </w:r>
          <w:r>
            <w:rPr>
              <w:rFonts w:eastAsia="仿宋_GB2312"/>
              <w:b w:val="0"/>
              <w:sz w:val="32"/>
              <w:szCs w:val="32"/>
            </w:rPr>
            <w:t>年度部门决算情况说明</w:t>
            <w:tab/>
          </w:r>
          <w:r>
            <w:rPr>
              <w:rFonts w:eastAsia="仿宋_GB2312"/>
              <w:b w:val="0"/>
              <w:sz w:val="32"/>
              <w:szCs w:val="32"/>
            </w:rPr>
            <w:fldChar w:fldCharType="begin"/>
          </w:r>
          <w:r>
            <w:rPr>
              <w:rFonts w:eastAsia="仿宋_GB2312"/>
              <w:b w:val="0"/>
              <w:sz w:val="32"/>
              <w:szCs w:val="32"/>
            </w:rPr>
            <w:instrText xml:space="preserve"> PAGEREF _Toc145437060 \h </w:instrText>
          </w:r>
          <w:r>
            <w:rPr>
              <w:rFonts w:eastAsia="仿宋_GB2312"/>
              <w:b w:val="0"/>
              <w:sz w:val="32"/>
              <w:szCs w:val="32"/>
            </w:rPr>
            <w:fldChar w:fldCharType="separate"/>
          </w:r>
          <w:r>
            <w:rPr>
              <w:rFonts w:eastAsia="仿宋_GB2312"/>
              <w:b w:val="0"/>
              <w:sz w:val="32"/>
              <w:szCs w:val="32"/>
            </w:rPr>
            <w:t>6</w:t>
          </w:r>
          <w:r>
            <w:rPr>
              <w:rFonts w:eastAsia="仿宋_GB2312"/>
              <w:b w:val="0"/>
              <w:sz w:val="32"/>
              <w:szCs w:val="32"/>
            </w:rPr>
            <w:fldChar w:fldCharType="end"/>
          </w:r>
          <w:r>
            <w:fldChar w:fldCharType="end"/>
          </w:r>
        </w:p>
        <w:p>
          <w:pPr>
            <w:pStyle w:val="28"/>
            <w:tabs>
              <w:tab w:val="right" w:leader="dot" w:pos="8834"/>
            </w:tabs>
            <w:rPr>
              <w:rFonts w:eastAsia="仿宋_GB2312"/>
              <w:caps w:val="0"/>
              <w:smallCaps w:val="0"/>
              <w:sz w:val="32"/>
              <w:szCs w:val="32"/>
            </w:rPr>
          </w:pPr>
          <w:r>
            <w:fldChar w:fldCharType="begin"/>
          </w:r>
          <w:r>
            <w:instrText>Hyperlink \l "_Toc145437061"</w:instrText>
          </w:r>
          <w:r>
            <w:fldChar w:fldCharType="separate"/>
          </w:r>
          <w:r>
            <w:rPr>
              <w:rFonts w:eastAsia="仿宋_GB2312"/>
              <w:sz w:val="32"/>
              <w:szCs w:val="32"/>
            </w:rPr>
            <w:t>一、收入支出决算总体情况说明</w:t>
            <w:tab/>
          </w:r>
          <w:r>
            <w:rPr>
              <w:rFonts w:eastAsia="仿宋_GB2312"/>
              <w:sz w:val="32"/>
              <w:szCs w:val="32"/>
            </w:rPr>
            <w:fldChar w:fldCharType="begin"/>
          </w:r>
          <w:r>
            <w:rPr>
              <w:rFonts w:eastAsia="仿宋_GB2312"/>
              <w:sz w:val="32"/>
              <w:szCs w:val="32"/>
            </w:rPr>
            <w:instrText xml:space="preserve"> PAGEREF _Toc145437061 \h </w:instrText>
          </w:r>
          <w:r>
            <w:rPr>
              <w:rFonts w:eastAsia="仿宋_GB2312"/>
              <w:sz w:val="32"/>
              <w:szCs w:val="32"/>
            </w:rPr>
            <w:fldChar w:fldCharType="separate"/>
          </w:r>
          <w:r>
            <w:rPr>
              <w:rFonts w:eastAsia="仿宋_GB2312"/>
              <w:sz w:val="32"/>
              <w:szCs w:val="32"/>
            </w:rPr>
            <w:t>6</w:t>
          </w:r>
          <w:r>
            <w:rPr>
              <w:rFonts w:eastAsia="仿宋_GB2312"/>
              <w:sz w:val="32"/>
              <w:szCs w:val="32"/>
            </w:rPr>
            <w:fldChar w:fldCharType="end"/>
          </w:r>
          <w:r>
            <w:fldChar w:fldCharType="end"/>
          </w:r>
        </w:p>
        <w:p>
          <w:pPr>
            <w:pStyle w:val="28"/>
            <w:tabs>
              <w:tab w:val="right" w:leader="dot" w:pos="8834"/>
            </w:tabs>
            <w:rPr>
              <w:rFonts w:eastAsia="仿宋_GB2312"/>
              <w:caps w:val="0"/>
              <w:smallCaps w:val="0"/>
              <w:sz w:val="32"/>
              <w:szCs w:val="32"/>
            </w:rPr>
          </w:pPr>
          <w:r>
            <w:fldChar w:fldCharType="begin"/>
          </w:r>
          <w:r>
            <w:instrText>Hyperlink \l "_Toc145437062"</w:instrText>
          </w:r>
          <w:r>
            <w:fldChar w:fldCharType="separate"/>
          </w:r>
          <w:r>
            <w:rPr>
              <w:rFonts w:eastAsia="仿宋_GB2312"/>
              <w:sz w:val="32"/>
              <w:szCs w:val="32"/>
            </w:rPr>
            <w:t>二、收入决算情况说明</w:t>
            <w:tab/>
          </w:r>
          <w:r>
            <w:rPr>
              <w:rFonts w:eastAsia="仿宋_GB2312"/>
              <w:sz w:val="32"/>
              <w:szCs w:val="32"/>
            </w:rPr>
            <w:fldChar w:fldCharType="begin"/>
          </w:r>
          <w:r>
            <w:rPr>
              <w:rFonts w:eastAsia="仿宋_GB2312"/>
              <w:sz w:val="32"/>
              <w:szCs w:val="32"/>
            </w:rPr>
            <w:instrText xml:space="preserve"> PAGEREF _Toc145437062 \h </w:instrText>
          </w:r>
          <w:r>
            <w:rPr>
              <w:rFonts w:eastAsia="仿宋_GB2312"/>
              <w:sz w:val="32"/>
              <w:szCs w:val="32"/>
            </w:rPr>
            <w:fldChar w:fldCharType="separate"/>
          </w:r>
          <w:r>
            <w:rPr>
              <w:rFonts w:eastAsia="仿宋_GB2312"/>
              <w:sz w:val="32"/>
              <w:szCs w:val="32"/>
            </w:rPr>
            <w:t>6</w:t>
          </w:r>
          <w:r>
            <w:rPr>
              <w:rFonts w:eastAsia="仿宋_GB2312"/>
              <w:sz w:val="32"/>
              <w:szCs w:val="32"/>
            </w:rPr>
            <w:fldChar w:fldCharType="end"/>
          </w:r>
          <w:r>
            <w:fldChar w:fldCharType="end"/>
          </w:r>
        </w:p>
        <w:p>
          <w:pPr>
            <w:pStyle w:val="28"/>
            <w:tabs>
              <w:tab w:val="right" w:leader="dot" w:pos="8834"/>
            </w:tabs>
            <w:rPr>
              <w:rFonts w:eastAsia="仿宋_GB2312"/>
              <w:caps w:val="0"/>
              <w:smallCaps w:val="0"/>
              <w:sz w:val="32"/>
              <w:szCs w:val="32"/>
            </w:rPr>
          </w:pPr>
          <w:r>
            <w:fldChar w:fldCharType="begin"/>
          </w:r>
          <w:r>
            <w:instrText>Hyperlink \l "_Toc145437063"</w:instrText>
          </w:r>
          <w:r>
            <w:fldChar w:fldCharType="separate"/>
          </w:r>
          <w:r>
            <w:rPr>
              <w:rFonts w:eastAsia="仿宋_GB2312"/>
              <w:sz w:val="32"/>
              <w:szCs w:val="32"/>
            </w:rPr>
            <w:t>三、支出决算情况说明</w:t>
            <w:tab/>
          </w:r>
          <w:r>
            <w:rPr>
              <w:rFonts w:eastAsia="仿宋_GB2312"/>
              <w:sz w:val="32"/>
              <w:szCs w:val="32"/>
            </w:rPr>
            <w:fldChar w:fldCharType="begin"/>
          </w:r>
          <w:r>
            <w:rPr>
              <w:rFonts w:eastAsia="仿宋_GB2312"/>
              <w:sz w:val="32"/>
              <w:szCs w:val="32"/>
            </w:rPr>
            <w:instrText xml:space="preserve"> PAGEREF _Toc145437063 \h </w:instrText>
          </w:r>
          <w:r>
            <w:rPr>
              <w:rFonts w:eastAsia="仿宋_GB2312"/>
              <w:sz w:val="32"/>
              <w:szCs w:val="32"/>
            </w:rPr>
            <w:fldChar w:fldCharType="separate"/>
          </w:r>
          <w:r>
            <w:rPr>
              <w:rFonts w:eastAsia="仿宋_GB2312"/>
              <w:sz w:val="32"/>
              <w:szCs w:val="32"/>
            </w:rPr>
            <w:t>7</w:t>
          </w:r>
          <w:r>
            <w:rPr>
              <w:rFonts w:eastAsia="仿宋_GB2312"/>
              <w:sz w:val="32"/>
              <w:szCs w:val="32"/>
            </w:rPr>
            <w:fldChar w:fldCharType="end"/>
          </w:r>
          <w:r>
            <w:fldChar w:fldCharType="end"/>
          </w:r>
        </w:p>
        <w:p>
          <w:pPr>
            <w:pStyle w:val="28"/>
            <w:tabs>
              <w:tab w:val="right" w:leader="dot" w:pos="8834"/>
            </w:tabs>
            <w:rPr>
              <w:rFonts w:eastAsia="仿宋_GB2312"/>
              <w:caps w:val="0"/>
              <w:smallCaps w:val="0"/>
              <w:sz w:val="32"/>
              <w:szCs w:val="32"/>
            </w:rPr>
          </w:pPr>
          <w:r>
            <w:fldChar w:fldCharType="begin"/>
          </w:r>
          <w:r>
            <w:instrText>Hyperlink \l "_Toc145437064"</w:instrText>
          </w:r>
          <w:r>
            <w:fldChar w:fldCharType="separate"/>
          </w:r>
          <w:r>
            <w:rPr>
              <w:rFonts w:eastAsia="仿宋_GB2312"/>
              <w:sz w:val="32"/>
              <w:szCs w:val="32"/>
            </w:rPr>
            <w:t>四、财政拨款收入支出决算总体情况说明</w:t>
            <w:tab/>
          </w:r>
          <w:r>
            <w:rPr>
              <w:rFonts w:eastAsia="仿宋_GB2312" w:hint="eastAsia"/>
              <w:sz w:val="32"/>
              <w:szCs w:val="32"/>
            </w:rPr>
            <w:t>8</w:t>
          </w:r>
          <w:r>
            <w:fldChar w:fldCharType="end"/>
          </w:r>
        </w:p>
        <w:p>
          <w:pPr>
            <w:pStyle w:val="28"/>
            <w:tabs>
              <w:tab w:val="right" w:leader="dot" w:pos="8834"/>
            </w:tabs>
            <w:rPr>
              <w:rFonts w:eastAsia="仿宋_GB2312"/>
              <w:caps w:val="0"/>
              <w:smallCaps w:val="0"/>
              <w:sz w:val="32"/>
              <w:szCs w:val="32"/>
            </w:rPr>
          </w:pPr>
          <w:r>
            <w:fldChar w:fldCharType="begin"/>
          </w:r>
          <w:r>
            <w:instrText>Hyperlink \l "_Toc145437065"</w:instrText>
          </w:r>
          <w:r>
            <w:fldChar w:fldCharType="separate"/>
          </w:r>
          <w:r>
            <w:rPr>
              <w:rFonts w:eastAsia="仿宋_GB2312"/>
              <w:sz w:val="32"/>
              <w:szCs w:val="32"/>
            </w:rPr>
            <w:t>五、一般公共预算财政拨款支出决算情况说明</w:t>
            <w:tab/>
          </w:r>
          <w:r>
            <w:rPr>
              <w:rFonts w:eastAsia="仿宋_GB2312"/>
              <w:sz w:val="32"/>
              <w:szCs w:val="32"/>
            </w:rPr>
            <w:fldChar w:fldCharType="begin"/>
          </w:r>
          <w:r>
            <w:rPr>
              <w:rFonts w:eastAsia="仿宋_GB2312"/>
              <w:sz w:val="32"/>
              <w:szCs w:val="32"/>
            </w:rPr>
            <w:instrText xml:space="preserve"> PAGEREF _Toc145437065 \h </w:instrText>
          </w:r>
          <w:r>
            <w:rPr>
              <w:rFonts w:eastAsia="仿宋_GB2312"/>
              <w:sz w:val="32"/>
              <w:szCs w:val="32"/>
            </w:rPr>
            <w:fldChar w:fldCharType="separate"/>
          </w:r>
          <w:r>
            <w:rPr>
              <w:rFonts w:eastAsia="仿宋_GB2312"/>
              <w:sz w:val="32"/>
              <w:szCs w:val="32"/>
            </w:rPr>
            <w:t>8</w:t>
          </w:r>
          <w:r>
            <w:rPr>
              <w:rFonts w:eastAsia="仿宋_GB2312"/>
              <w:sz w:val="32"/>
              <w:szCs w:val="32"/>
            </w:rPr>
            <w:fldChar w:fldCharType="end"/>
          </w:r>
          <w:r>
            <w:fldChar w:fldCharType="end"/>
          </w:r>
        </w:p>
        <w:p>
          <w:pPr>
            <w:pStyle w:val="28"/>
            <w:tabs>
              <w:tab w:val="right" w:leader="dot" w:pos="8834"/>
            </w:tabs>
            <w:rPr>
              <w:rFonts w:eastAsia="仿宋_GB2312"/>
              <w:caps w:val="0"/>
              <w:smallCaps w:val="0"/>
              <w:sz w:val="32"/>
              <w:szCs w:val="32"/>
            </w:rPr>
          </w:pPr>
          <w:r>
            <w:fldChar w:fldCharType="begin"/>
          </w:r>
          <w:r>
            <w:instrText>Hyperlink \l "_Toc145437066"</w:instrText>
          </w:r>
          <w:r>
            <w:fldChar w:fldCharType="separate"/>
          </w:r>
          <w:r>
            <w:rPr>
              <w:rFonts w:eastAsia="仿宋_GB2312"/>
              <w:sz w:val="32"/>
              <w:szCs w:val="32"/>
            </w:rPr>
            <w:t>六、一般公共预算财政拨款基本支出决算情况说明</w:t>
            <w:tab/>
          </w:r>
          <w:r>
            <w:rPr>
              <w:rFonts w:eastAsia="仿宋_GB2312"/>
              <w:sz w:val="32"/>
              <w:szCs w:val="32"/>
            </w:rPr>
            <w:fldChar w:fldCharType="begin"/>
          </w:r>
          <w:r>
            <w:rPr>
              <w:rFonts w:eastAsia="仿宋_GB2312"/>
              <w:sz w:val="32"/>
              <w:szCs w:val="32"/>
            </w:rPr>
            <w:instrText xml:space="preserve"> PAGEREF _Toc145437066 \h </w:instrText>
          </w:r>
          <w:r>
            <w:rPr>
              <w:rFonts w:eastAsia="仿宋_GB2312"/>
              <w:sz w:val="32"/>
              <w:szCs w:val="32"/>
            </w:rPr>
            <w:fldChar w:fldCharType="separate"/>
          </w:r>
          <w:r>
            <w:rPr>
              <w:rFonts w:eastAsia="仿宋_GB2312"/>
              <w:sz w:val="32"/>
              <w:szCs w:val="32"/>
            </w:rPr>
            <w:t>1</w:t>
          </w:r>
          <w:r>
            <w:rPr>
              <w:rFonts w:eastAsia="仿宋_GB2312" w:hint="eastAsia"/>
              <w:sz w:val="32"/>
              <w:szCs w:val="32"/>
            </w:rPr>
            <w:t>1</w:t>
          </w:r>
          <w:r>
            <w:rPr>
              <w:rFonts w:eastAsia="仿宋_GB2312"/>
              <w:sz w:val="32"/>
              <w:szCs w:val="32"/>
            </w:rPr>
            <w:fldChar w:fldCharType="end"/>
          </w:r>
          <w:r>
            <w:fldChar w:fldCharType="end"/>
          </w:r>
        </w:p>
        <w:p>
          <w:pPr>
            <w:pStyle w:val="28"/>
            <w:tabs>
              <w:tab w:val="right" w:leader="dot" w:pos="8834"/>
            </w:tabs>
            <w:rPr>
              <w:rFonts w:eastAsia="仿宋_GB2312"/>
              <w:caps w:val="0"/>
              <w:smallCaps w:val="0"/>
              <w:sz w:val="32"/>
              <w:szCs w:val="32"/>
            </w:rPr>
          </w:pPr>
          <w:r>
            <w:fldChar w:fldCharType="begin"/>
          </w:r>
          <w:r>
            <w:instrText>Hyperlink \l "_Toc145437067"</w:instrText>
          </w:r>
          <w:r>
            <w:fldChar w:fldCharType="separate"/>
          </w:r>
          <w:r>
            <w:rPr>
              <w:rFonts w:eastAsia="仿宋_GB2312"/>
              <w:sz w:val="32"/>
              <w:szCs w:val="32"/>
            </w:rPr>
            <w:t>七、财政拨款“三公”经费支出决算情况说明</w:t>
            <w:tab/>
          </w:r>
          <w:r>
            <w:rPr>
              <w:rFonts w:eastAsia="仿宋_GB2312"/>
              <w:sz w:val="32"/>
              <w:szCs w:val="32"/>
            </w:rPr>
            <w:fldChar w:fldCharType="begin"/>
          </w:r>
          <w:r>
            <w:rPr>
              <w:rFonts w:eastAsia="仿宋_GB2312"/>
              <w:sz w:val="32"/>
              <w:szCs w:val="32"/>
            </w:rPr>
            <w:instrText xml:space="preserve"> PAGEREF _Toc145437067 \h </w:instrText>
          </w:r>
          <w:r>
            <w:rPr>
              <w:rFonts w:eastAsia="仿宋_GB2312"/>
              <w:sz w:val="32"/>
              <w:szCs w:val="32"/>
            </w:rPr>
            <w:fldChar w:fldCharType="separate"/>
          </w:r>
          <w:r>
            <w:rPr>
              <w:rFonts w:eastAsia="仿宋_GB2312"/>
              <w:sz w:val="32"/>
              <w:szCs w:val="32"/>
            </w:rPr>
            <w:t>1</w:t>
          </w:r>
          <w:r>
            <w:rPr>
              <w:rFonts w:eastAsia="仿宋_GB2312" w:hint="eastAsia"/>
              <w:sz w:val="32"/>
              <w:szCs w:val="32"/>
            </w:rPr>
            <w:t>2</w:t>
          </w:r>
          <w:r>
            <w:rPr>
              <w:rFonts w:eastAsia="仿宋_GB2312"/>
              <w:sz w:val="32"/>
              <w:szCs w:val="32"/>
            </w:rPr>
            <w:fldChar w:fldCharType="end"/>
          </w:r>
          <w:r>
            <w:fldChar w:fldCharType="end"/>
          </w:r>
        </w:p>
        <w:p>
          <w:pPr>
            <w:pStyle w:val="28"/>
            <w:tabs>
              <w:tab w:val="right" w:leader="dot" w:pos="8834"/>
            </w:tabs>
            <w:rPr>
              <w:rFonts w:eastAsia="仿宋_GB2312"/>
              <w:caps w:val="0"/>
              <w:smallCaps w:val="0"/>
              <w:sz w:val="32"/>
              <w:szCs w:val="32"/>
            </w:rPr>
          </w:pPr>
          <w:r>
            <w:fldChar w:fldCharType="begin"/>
          </w:r>
          <w:r>
            <w:instrText>Hyperlink \l "_Toc145437068"</w:instrText>
          </w:r>
          <w:r>
            <w:fldChar w:fldCharType="separate"/>
          </w:r>
          <w:r>
            <w:rPr>
              <w:rFonts w:eastAsia="仿宋_GB2312"/>
              <w:sz w:val="32"/>
              <w:szCs w:val="32"/>
            </w:rPr>
            <w:t>八、政府性基金预算支出决算情况说明</w:t>
            <w:tab/>
          </w:r>
          <w:r>
            <w:rPr>
              <w:rFonts w:eastAsia="仿宋_GB2312"/>
              <w:sz w:val="32"/>
              <w:szCs w:val="32"/>
            </w:rPr>
            <w:fldChar w:fldCharType="begin"/>
          </w:r>
          <w:r>
            <w:rPr>
              <w:rFonts w:eastAsia="仿宋_GB2312"/>
              <w:sz w:val="32"/>
              <w:szCs w:val="32"/>
            </w:rPr>
            <w:instrText xml:space="preserve"> PAGEREF _Toc145437068 \h </w:instrText>
          </w:r>
          <w:r>
            <w:rPr>
              <w:rFonts w:eastAsia="仿宋_GB2312"/>
              <w:sz w:val="32"/>
              <w:szCs w:val="32"/>
            </w:rPr>
            <w:fldChar w:fldCharType="separate"/>
          </w:r>
          <w:r>
            <w:rPr>
              <w:rFonts w:eastAsia="仿宋_GB2312"/>
              <w:sz w:val="32"/>
              <w:szCs w:val="32"/>
            </w:rPr>
            <w:t>1</w:t>
          </w:r>
          <w:r>
            <w:rPr>
              <w:rFonts w:eastAsia="仿宋_GB2312" w:hint="eastAsia"/>
              <w:sz w:val="32"/>
              <w:szCs w:val="32"/>
            </w:rPr>
            <w:t>5</w:t>
          </w:r>
          <w:r>
            <w:rPr>
              <w:rFonts w:eastAsia="仿宋_GB2312"/>
              <w:sz w:val="32"/>
              <w:szCs w:val="32"/>
            </w:rPr>
            <w:fldChar w:fldCharType="end"/>
          </w:r>
          <w:r>
            <w:fldChar w:fldCharType="end"/>
          </w:r>
        </w:p>
        <w:p>
          <w:pPr>
            <w:pStyle w:val="28"/>
            <w:tabs>
              <w:tab w:val="right" w:leader="dot" w:pos="8834"/>
            </w:tabs>
            <w:rPr>
              <w:rFonts w:eastAsia="仿宋_GB2312"/>
              <w:sz w:val="32"/>
              <w:szCs w:val="32"/>
            </w:rPr>
          </w:pPr>
          <w:r>
            <w:fldChar w:fldCharType="begin"/>
          </w:r>
          <w:r>
            <w:instrText>Hyperlink \l "_Toc145437069"</w:instrText>
          </w:r>
          <w:r>
            <w:fldChar w:fldCharType="separate"/>
          </w:r>
          <w:r>
            <w:rPr>
              <w:rFonts w:eastAsia="仿宋_GB2312"/>
              <w:sz w:val="32"/>
              <w:szCs w:val="32"/>
            </w:rPr>
            <w:t>九、国有资本经营预算支出决算情况说明</w:t>
            <w:tab/>
          </w:r>
          <w:r>
            <w:rPr>
              <w:rFonts w:eastAsia="仿宋_GB2312"/>
              <w:sz w:val="32"/>
              <w:szCs w:val="32"/>
            </w:rPr>
            <w:fldChar w:fldCharType="begin"/>
          </w:r>
          <w:r>
            <w:rPr>
              <w:rFonts w:eastAsia="仿宋_GB2312"/>
              <w:sz w:val="32"/>
              <w:szCs w:val="32"/>
            </w:rPr>
            <w:instrText xml:space="preserve"> PAGEREF _Toc145437069 \h </w:instrText>
          </w:r>
          <w:r>
            <w:rPr>
              <w:rFonts w:eastAsia="仿宋_GB2312"/>
              <w:sz w:val="32"/>
              <w:szCs w:val="32"/>
            </w:rPr>
            <w:fldChar w:fldCharType="separate"/>
          </w:r>
          <w:r>
            <w:rPr>
              <w:rFonts w:eastAsia="仿宋_GB2312"/>
              <w:sz w:val="32"/>
              <w:szCs w:val="32"/>
            </w:rPr>
            <w:t>1</w:t>
          </w:r>
          <w:r>
            <w:rPr>
              <w:rFonts w:eastAsia="仿宋_GB2312" w:hint="eastAsia"/>
              <w:sz w:val="32"/>
              <w:szCs w:val="32"/>
            </w:rPr>
            <w:t>5</w:t>
          </w:r>
          <w:r>
            <w:rPr>
              <w:rFonts w:eastAsia="仿宋_GB2312"/>
              <w:sz w:val="32"/>
              <w:szCs w:val="32"/>
            </w:rPr>
            <w:fldChar w:fldCharType="end"/>
          </w:r>
          <w:r>
            <w:fldChar w:fldCharType="end"/>
          </w:r>
        </w:p>
        <w:p>
          <w:pPr>
            <w:pStyle w:val="28"/>
            <w:tabs>
              <w:tab w:val="right" w:leader="dot" w:pos="8834"/>
            </w:tabs>
            <w:rPr>
              <w:rFonts w:eastAsia="仿宋_GB2312"/>
              <w:sz w:val="32"/>
              <w:szCs w:val="32"/>
            </w:rPr>
          </w:pPr>
          <w:r>
            <w:fldChar w:fldCharType="begin"/>
          </w:r>
          <w:r>
            <w:instrText>Hyperlink \l "_Toc145437069"</w:instrText>
          </w:r>
          <w:r>
            <w:fldChar w:fldCharType="separate"/>
          </w:r>
          <w:r>
            <w:rPr>
              <w:rFonts w:eastAsia="仿宋_GB2312" w:hint="eastAsia"/>
              <w:sz w:val="32"/>
              <w:szCs w:val="32"/>
            </w:rPr>
            <w:t>十</w:t>
          </w:r>
          <w:r>
            <w:rPr>
              <w:rFonts w:eastAsia="仿宋_GB2312"/>
              <w:sz w:val="32"/>
              <w:szCs w:val="32"/>
            </w:rPr>
            <w:t>、</w:t>
          </w:r>
          <w:r>
            <w:rPr>
              <w:rFonts w:eastAsia="仿宋_GB2312" w:hint="eastAsia"/>
              <w:sz w:val="32"/>
              <w:szCs w:val="32"/>
            </w:rPr>
            <w:t>其他重要事项的</w:t>
          </w:r>
          <w:r>
            <w:rPr>
              <w:rFonts w:eastAsia="仿宋_GB2312"/>
              <w:sz w:val="32"/>
              <w:szCs w:val="32"/>
            </w:rPr>
            <w:t>情况说明</w:t>
            <w:tab/>
          </w:r>
          <w:r>
            <w:rPr>
              <w:rFonts w:eastAsia="仿宋_GB2312"/>
              <w:sz w:val="32"/>
              <w:szCs w:val="32"/>
            </w:rPr>
            <w:fldChar w:fldCharType="begin"/>
          </w:r>
          <w:r>
            <w:rPr>
              <w:rFonts w:eastAsia="仿宋_GB2312"/>
              <w:sz w:val="32"/>
              <w:szCs w:val="32"/>
            </w:rPr>
            <w:instrText xml:space="preserve"> PAGEREF _Toc145437069 \h </w:instrText>
          </w:r>
          <w:r>
            <w:rPr>
              <w:rFonts w:eastAsia="仿宋_GB2312"/>
              <w:sz w:val="32"/>
              <w:szCs w:val="32"/>
            </w:rPr>
            <w:fldChar w:fldCharType="separate"/>
          </w:r>
          <w:r>
            <w:rPr>
              <w:rFonts w:eastAsia="仿宋_GB2312"/>
              <w:sz w:val="32"/>
              <w:szCs w:val="32"/>
            </w:rPr>
            <w:t>1</w:t>
          </w:r>
          <w:r>
            <w:rPr>
              <w:rFonts w:eastAsia="仿宋_GB2312" w:hint="eastAsia"/>
              <w:sz w:val="32"/>
              <w:szCs w:val="32"/>
            </w:rPr>
            <w:t>5</w:t>
          </w:r>
          <w:r>
            <w:rPr>
              <w:rFonts w:eastAsia="仿宋_GB2312"/>
              <w:sz w:val="32"/>
              <w:szCs w:val="32"/>
            </w:rPr>
            <w:fldChar w:fldCharType="end"/>
          </w:r>
          <w:r>
            <w:fldChar w:fldCharType="end"/>
          </w:r>
        </w:p>
        <w:p>
          <w:pPr>
            <w:pStyle w:val="25"/>
            <w:tabs>
              <w:tab w:val="right" w:leader="dot" w:pos="8834"/>
            </w:tabs>
            <w:rPr>
              <w:rFonts w:eastAsia="仿宋_GB2312"/>
              <w:b w:val="0"/>
              <w:bCs w:val="0"/>
              <w:caps w:val="0"/>
              <w:smallCaps w:val="0"/>
              <w:sz w:val="32"/>
              <w:szCs w:val="32"/>
            </w:rPr>
          </w:pPr>
          <w:r>
            <w:fldChar w:fldCharType="begin"/>
          </w:r>
          <w:r>
            <w:instrText>Hyperlink \l "_Toc145437070"</w:instrText>
          </w:r>
          <w:r>
            <w:fldChar w:fldCharType="separate"/>
          </w:r>
          <w:r>
            <w:rPr>
              <w:rFonts w:eastAsia="仿宋_GB2312"/>
              <w:b w:val="0"/>
              <w:kern w:val="44"/>
              <w:sz w:val="32"/>
              <w:szCs w:val="32"/>
            </w:rPr>
            <w:t>第三部分</w:t>
          </w:r>
          <w:r>
            <w:rPr>
              <w:rFonts w:eastAsia="仿宋_GB2312"/>
              <w:b w:val="0"/>
              <w:sz w:val="32"/>
              <w:szCs w:val="32"/>
            </w:rPr>
            <w:t xml:space="preserve"> 名</w:t>
          </w:r>
          <w:r>
            <w:rPr>
              <w:rFonts w:eastAsia="仿宋_GB2312"/>
              <w:b w:val="0"/>
              <w:kern w:val="44"/>
              <w:sz w:val="32"/>
              <w:szCs w:val="32"/>
            </w:rPr>
            <w:t>词解释</w:t>
          </w:r>
          <w:r>
            <w:rPr>
              <w:rFonts w:eastAsia="仿宋_GB2312"/>
              <w:b w:val="0"/>
              <w:sz w:val="32"/>
              <w:szCs w:val="32"/>
            </w:rPr>
            <w:tab/>
          </w:r>
          <w:r>
            <w:rPr>
              <w:rFonts w:eastAsia="仿宋_GB2312"/>
              <w:b w:val="0"/>
              <w:sz w:val="32"/>
              <w:szCs w:val="32"/>
            </w:rPr>
            <w:fldChar w:fldCharType="begin"/>
          </w:r>
          <w:r>
            <w:rPr>
              <w:rFonts w:eastAsia="仿宋_GB2312"/>
              <w:b w:val="0"/>
              <w:sz w:val="32"/>
              <w:szCs w:val="32"/>
            </w:rPr>
            <w:instrText xml:space="preserve"> PAGEREF _Toc145437070 \h </w:instrText>
          </w:r>
          <w:r>
            <w:rPr>
              <w:rFonts w:eastAsia="仿宋_GB2312"/>
              <w:b w:val="0"/>
              <w:sz w:val="32"/>
              <w:szCs w:val="32"/>
            </w:rPr>
            <w:fldChar w:fldCharType="separate"/>
          </w:r>
          <w:r>
            <w:rPr>
              <w:rFonts w:eastAsia="仿宋_GB2312"/>
              <w:b w:val="0"/>
              <w:sz w:val="32"/>
              <w:szCs w:val="32"/>
            </w:rPr>
            <w:t>1</w:t>
          </w:r>
          <w:r>
            <w:rPr>
              <w:rFonts w:eastAsia="仿宋_GB2312" w:hint="eastAsia"/>
              <w:b w:val="0"/>
              <w:sz w:val="32"/>
              <w:szCs w:val="32"/>
            </w:rPr>
            <w:t>9</w:t>
          </w:r>
          <w:r>
            <w:rPr>
              <w:rFonts w:eastAsia="仿宋_GB2312"/>
              <w:b w:val="0"/>
              <w:sz w:val="32"/>
              <w:szCs w:val="32"/>
            </w:rPr>
            <w:fldChar w:fldCharType="end"/>
          </w:r>
          <w:r>
            <w:fldChar w:fldCharType="end"/>
          </w:r>
        </w:p>
        <w:p>
          <w:pPr>
            <w:pStyle w:val="25"/>
            <w:tabs>
              <w:tab w:val="right" w:leader="dot" w:pos="8834"/>
            </w:tabs>
            <w:rPr>
              <w:rFonts w:eastAsia="仿宋_GB2312"/>
              <w:b w:val="0"/>
              <w:bCs w:val="0"/>
              <w:caps w:val="0"/>
              <w:smallCaps w:val="0"/>
              <w:sz w:val="32"/>
              <w:szCs w:val="32"/>
            </w:rPr>
          </w:pPr>
          <w:r>
            <w:fldChar w:fldCharType="begin"/>
          </w:r>
          <w:r>
            <w:instrText>Hyperlink \l "_Toc145437071"</w:instrText>
          </w:r>
          <w:r>
            <w:fldChar w:fldCharType="separate"/>
          </w:r>
          <w:r>
            <w:rPr>
              <w:rFonts w:eastAsia="仿宋_GB2312"/>
              <w:b w:val="0"/>
              <w:sz w:val="32"/>
              <w:szCs w:val="32"/>
            </w:rPr>
            <w:t>第</w:t>
          </w:r>
          <w:r>
            <w:rPr>
              <w:rFonts w:eastAsia="仿宋_GB2312"/>
              <w:b w:val="0"/>
              <w:kern w:val="44"/>
              <w:sz w:val="32"/>
              <w:szCs w:val="32"/>
            </w:rPr>
            <w:t>四部分 附件</w:t>
          </w:r>
          <w:r>
            <w:rPr>
              <w:rFonts w:eastAsia="仿宋_GB2312"/>
              <w:b w:val="0"/>
              <w:sz w:val="32"/>
              <w:szCs w:val="32"/>
            </w:rPr>
            <w:tab/>
          </w:r>
          <w:r>
            <w:rPr>
              <w:rFonts w:eastAsia="仿宋_GB2312" w:hint="eastAsia"/>
              <w:b w:val="0"/>
              <w:sz w:val="32"/>
              <w:szCs w:val="32"/>
            </w:rPr>
            <w:t>21</w:t>
          </w:r>
          <w:r>
            <w:fldChar w:fldCharType="end"/>
          </w:r>
        </w:p>
        <w:p>
          <w:pPr>
            <w:pStyle w:val="28"/>
            <w:tabs>
              <w:tab w:val="right" w:leader="dot" w:pos="8834"/>
            </w:tabs>
            <w:rPr>
              <w:rFonts w:eastAsia="仿宋_GB2312"/>
              <w:caps w:val="0"/>
              <w:smallCaps w:val="0"/>
              <w:sz w:val="32"/>
              <w:szCs w:val="32"/>
            </w:rPr>
          </w:pPr>
          <w:r>
            <w:fldChar w:fldCharType="begin"/>
          </w:r>
          <w:r>
            <w:instrText>Hyperlink \l "_Toc145437072"</w:instrText>
          </w:r>
          <w:r>
            <w:fldChar w:fldCharType="separate"/>
          </w:r>
          <w:r>
            <w:rPr>
              <w:rFonts w:eastAsia="仿宋_GB2312"/>
              <w:sz w:val="32"/>
              <w:szCs w:val="32"/>
            </w:rPr>
            <w:t>附件1</w:t>
            <w:tab/>
          </w:r>
          <w:r>
            <w:rPr>
              <w:rFonts w:eastAsia="仿宋_GB2312" w:hint="eastAsia"/>
              <w:sz w:val="32"/>
              <w:szCs w:val="32"/>
            </w:rPr>
            <w:t>21</w:t>
          </w:r>
          <w:r>
            <w:fldChar w:fldCharType="end"/>
          </w:r>
        </w:p>
        <w:p>
          <w:pPr>
            <w:pStyle w:val="28"/>
            <w:tabs>
              <w:tab w:val="right" w:leader="dot" w:pos="8834"/>
            </w:tabs>
            <w:rPr>
              <w:rFonts w:eastAsia="仿宋_GB2312"/>
              <w:caps w:val="0"/>
              <w:smallCaps w:val="0"/>
              <w:sz w:val="32"/>
              <w:szCs w:val="32"/>
            </w:rPr>
          </w:pPr>
          <w:r>
            <w:fldChar w:fldCharType="begin"/>
          </w:r>
          <w:r>
            <w:instrText>Hyperlink \l "_Toc145437073"</w:instrText>
          </w:r>
          <w:r>
            <w:fldChar w:fldCharType="separate"/>
          </w:r>
          <w:r>
            <w:rPr>
              <w:rFonts w:eastAsia="仿宋_GB2312"/>
              <w:sz w:val="32"/>
              <w:szCs w:val="32"/>
            </w:rPr>
            <w:t>附件2</w:t>
            <w:tab/>
          </w:r>
          <w:r>
            <w:rPr>
              <w:rFonts w:eastAsia="仿宋_GB2312" w:hint="eastAsia"/>
              <w:sz w:val="32"/>
              <w:szCs w:val="32"/>
            </w:rPr>
            <w:t>28</w:t>
          </w:r>
          <w:r>
            <w:fldChar w:fldCharType="end"/>
          </w:r>
        </w:p>
        <w:p>
          <w:pPr>
            <w:pStyle w:val="28"/>
            <w:tabs>
              <w:tab w:val="right" w:leader="dot" w:pos="8834"/>
            </w:tabs>
            <w:rPr>
              <w:rFonts w:eastAsia="仿宋_GB2312"/>
              <w:sz w:val="32"/>
              <w:szCs w:val="32"/>
            </w:rPr>
          </w:pPr>
          <w:r>
            <w:fldChar w:fldCharType="begin"/>
          </w:r>
          <w:r>
            <w:instrText>Hyperlink \l "_Toc145437074"</w:instrText>
          </w:r>
          <w:r>
            <w:fldChar w:fldCharType="separate"/>
          </w:r>
          <w:r>
            <w:rPr>
              <w:rFonts w:eastAsia="仿宋_GB2312"/>
              <w:sz w:val="32"/>
              <w:szCs w:val="32"/>
            </w:rPr>
            <w:t>附件3</w:t>
            <w:tab/>
          </w:r>
          <w:r>
            <w:rPr>
              <w:rFonts w:eastAsia="仿宋_GB2312" w:hint="eastAsia"/>
              <w:sz w:val="32"/>
              <w:szCs w:val="32"/>
            </w:rPr>
            <w:t>32</w:t>
          </w:r>
          <w:r>
            <w:fldChar w:fldCharType="end"/>
          </w:r>
        </w:p>
        <w:p>
          <w:pPr>
            <w:pStyle w:val="28"/>
            <w:tabs>
              <w:tab w:val="right" w:leader="dot" w:pos="8834"/>
            </w:tabs>
            <w:rPr>
              <w:rFonts w:eastAsia="仿宋_GB2312" w:hint="eastAsia"/>
              <w:sz w:val="32"/>
              <w:szCs w:val="32"/>
            </w:rPr>
          </w:pPr>
          <w:r>
            <w:fldChar w:fldCharType="begin"/>
          </w:r>
          <w:r>
            <w:instrText>Hyperlink \l "_Toc145437074"</w:instrText>
          </w:r>
          <w:r>
            <w:fldChar w:fldCharType="separate"/>
          </w:r>
          <w:r>
            <w:rPr>
              <w:rFonts w:eastAsia="仿宋_GB2312"/>
              <w:sz w:val="32"/>
              <w:szCs w:val="32"/>
            </w:rPr>
            <w:t>附件</w:t>
          </w:r>
          <w:r>
            <w:rPr>
              <w:rFonts w:eastAsia="仿宋_GB2312" w:hint="eastAsia"/>
              <w:sz w:val="32"/>
              <w:szCs w:val="32"/>
            </w:rPr>
            <w:t>4</w:t>
          </w:r>
          <w:r>
            <w:rPr>
              <w:rFonts w:eastAsia="仿宋_GB2312"/>
              <w:sz w:val="32"/>
              <w:szCs w:val="32"/>
            </w:rPr>
            <w:tab/>
          </w:r>
          <w:r>
            <w:rPr>
              <w:rFonts w:eastAsia="仿宋_GB2312" w:hint="eastAsia"/>
              <w:sz w:val="32"/>
              <w:szCs w:val="32"/>
            </w:rPr>
            <w:t>35</w:t>
          </w:r>
          <w:r>
            <w:fldChar w:fldCharType="end"/>
          </w:r>
        </w:p>
        <w:p>
          <w:pPr>
            <w:pStyle w:val="25"/>
            <w:tabs>
              <w:tab w:val="right" w:leader="dot" w:pos="8834"/>
            </w:tabs>
            <w:rPr>
              <w:rFonts w:eastAsia="仿宋_GB2312"/>
              <w:b w:val="0"/>
              <w:bCs w:val="0"/>
              <w:caps w:val="0"/>
              <w:smallCaps w:val="0"/>
              <w:sz w:val="32"/>
              <w:szCs w:val="32"/>
            </w:rPr>
          </w:pPr>
          <w:r>
            <w:fldChar w:fldCharType="begin"/>
          </w:r>
          <w:r>
            <w:instrText>Hyperlink \l "_Toc145437075"</w:instrText>
          </w:r>
          <w:r>
            <w:fldChar w:fldCharType="separate"/>
          </w:r>
          <w:r>
            <w:rPr>
              <w:rFonts w:eastAsia="仿宋_GB2312"/>
              <w:b w:val="0"/>
              <w:sz w:val="32"/>
              <w:szCs w:val="32"/>
            </w:rPr>
            <w:t>第</w:t>
          </w:r>
          <w:r>
            <w:rPr>
              <w:rFonts w:eastAsia="仿宋_GB2312"/>
              <w:b w:val="0"/>
              <w:kern w:val="44"/>
              <w:sz w:val="32"/>
              <w:szCs w:val="32"/>
            </w:rPr>
            <w:t>五部分 附表</w:t>
          </w:r>
          <w:r>
            <w:rPr>
              <w:rFonts w:eastAsia="仿宋_GB2312"/>
              <w:b w:val="0"/>
              <w:sz w:val="32"/>
              <w:szCs w:val="32"/>
            </w:rPr>
            <w:tab/>
          </w:r>
          <w:r>
            <w:rPr>
              <w:rFonts w:eastAsia="仿宋_GB2312" w:hint="eastAsia"/>
              <w:b w:val="0"/>
              <w:sz w:val="32"/>
              <w:szCs w:val="32"/>
            </w:rPr>
            <w:t>39</w:t>
          </w:r>
          <w:r>
            <w:fldChar w:fldCharType="end"/>
          </w:r>
        </w:p>
        <w:p>
          <w:pPr>
            <w:pStyle w:val="28"/>
            <w:tabs>
              <w:tab w:val="right" w:leader="dot" w:pos="8834"/>
            </w:tabs>
            <w:rPr>
              <w:rFonts w:eastAsia="仿宋_GB2312"/>
              <w:caps w:val="0"/>
              <w:smallCaps w:val="0"/>
              <w:sz w:val="32"/>
              <w:szCs w:val="32"/>
            </w:rPr>
          </w:pPr>
          <w:r>
            <w:fldChar w:fldCharType="begin"/>
          </w:r>
          <w:r>
            <w:instrText>Hyperlink \l "_Toc145437076"</w:instrText>
          </w:r>
          <w:r>
            <w:fldChar w:fldCharType="separate"/>
          </w:r>
          <w:r>
            <w:rPr>
              <w:rFonts w:eastAsia="仿宋_GB2312"/>
              <w:sz w:val="32"/>
              <w:szCs w:val="32"/>
            </w:rPr>
            <w:t>一、收入支出决算总表</w:t>
            <w:tab/>
          </w:r>
          <w:r>
            <w:rPr>
              <w:rFonts w:eastAsia="仿宋_GB2312" w:hint="eastAsia"/>
              <w:sz w:val="32"/>
              <w:szCs w:val="32"/>
            </w:rPr>
            <w:t>39</w:t>
          </w:r>
          <w:r>
            <w:fldChar w:fldCharType="end"/>
          </w:r>
        </w:p>
        <w:p>
          <w:pPr>
            <w:pStyle w:val="28"/>
            <w:tabs>
              <w:tab w:val="right" w:leader="dot" w:pos="8834"/>
            </w:tabs>
            <w:rPr>
              <w:rFonts w:eastAsia="仿宋_GB2312"/>
              <w:caps w:val="0"/>
              <w:smallCaps w:val="0"/>
              <w:sz w:val="32"/>
              <w:szCs w:val="32"/>
            </w:rPr>
          </w:pPr>
          <w:r>
            <w:fldChar w:fldCharType="begin"/>
          </w:r>
          <w:r>
            <w:instrText>Hyperlink \l "_Toc145437077"</w:instrText>
          </w:r>
          <w:r>
            <w:fldChar w:fldCharType="separate"/>
          </w:r>
          <w:r>
            <w:rPr>
              <w:rFonts w:eastAsia="仿宋_GB2312"/>
              <w:sz w:val="32"/>
              <w:szCs w:val="32"/>
            </w:rPr>
            <w:t>二、收入决算表</w:t>
            <w:tab/>
          </w:r>
          <w:r>
            <w:rPr>
              <w:rFonts w:eastAsia="仿宋_GB2312" w:hint="eastAsia"/>
              <w:sz w:val="32"/>
              <w:szCs w:val="32"/>
            </w:rPr>
            <w:t>39</w:t>
          </w:r>
          <w:r>
            <w:fldChar w:fldCharType="end"/>
          </w:r>
        </w:p>
        <w:p>
          <w:pPr>
            <w:pStyle w:val="28"/>
            <w:tabs>
              <w:tab w:val="right" w:leader="dot" w:pos="8834"/>
            </w:tabs>
            <w:rPr>
              <w:rFonts w:eastAsia="仿宋_GB2312"/>
              <w:caps w:val="0"/>
              <w:smallCaps w:val="0"/>
              <w:sz w:val="32"/>
              <w:szCs w:val="32"/>
            </w:rPr>
          </w:pPr>
          <w:r>
            <w:fldChar w:fldCharType="begin"/>
          </w:r>
          <w:r>
            <w:instrText>Hyperlink \l "_Toc145437078"</w:instrText>
          </w:r>
          <w:r>
            <w:fldChar w:fldCharType="separate"/>
          </w:r>
          <w:r>
            <w:rPr>
              <w:rFonts w:eastAsia="仿宋_GB2312"/>
              <w:sz w:val="32"/>
              <w:szCs w:val="32"/>
            </w:rPr>
            <w:t>三、支出决算表</w:t>
            <w:tab/>
          </w:r>
          <w:r>
            <w:rPr>
              <w:rFonts w:eastAsia="仿宋_GB2312" w:hint="eastAsia"/>
              <w:sz w:val="32"/>
              <w:szCs w:val="32"/>
            </w:rPr>
            <w:t>39</w:t>
          </w:r>
          <w:r>
            <w:fldChar w:fldCharType="end"/>
          </w:r>
        </w:p>
        <w:p>
          <w:pPr>
            <w:pStyle w:val="28"/>
            <w:tabs>
              <w:tab w:val="right" w:leader="dot" w:pos="8834"/>
            </w:tabs>
            <w:rPr>
              <w:rFonts w:eastAsia="仿宋_GB2312"/>
              <w:caps w:val="0"/>
              <w:smallCaps w:val="0"/>
              <w:sz w:val="32"/>
              <w:szCs w:val="32"/>
            </w:rPr>
          </w:pPr>
          <w:r>
            <w:fldChar w:fldCharType="begin"/>
          </w:r>
          <w:r>
            <w:instrText>Hyperlink \l "_Toc145437079"</w:instrText>
          </w:r>
          <w:r>
            <w:fldChar w:fldCharType="separate"/>
          </w:r>
          <w:r>
            <w:rPr>
              <w:rFonts w:eastAsia="仿宋_GB2312"/>
              <w:sz w:val="32"/>
              <w:szCs w:val="32"/>
            </w:rPr>
            <w:t>四、财政拨款收入支出决算总表</w:t>
            <w:tab/>
          </w:r>
          <w:r>
            <w:rPr>
              <w:rFonts w:eastAsia="仿宋_GB2312" w:hint="eastAsia"/>
              <w:sz w:val="32"/>
              <w:szCs w:val="32"/>
            </w:rPr>
            <w:t>39</w:t>
          </w:r>
          <w:r>
            <w:fldChar w:fldCharType="end"/>
          </w:r>
        </w:p>
        <w:p>
          <w:pPr>
            <w:pStyle w:val="28"/>
            <w:tabs>
              <w:tab w:val="right" w:leader="dot" w:pos="8834"/>
            </w:tabs>
            <w:rPr>
              <w:rFonts w:eastAsia="仿宋_GB2312"/>
              <w:caps w:val="0"/>
              <w:smallCaps w:val="0"/>
              <w:sz w:val="32"/>
              <w:szCs w:val="32"/>
            </w:rPr>
          </w:pPr>
          <w:r>
            <w:fldChar w:fldCharType="begin"/>
          </w:r>
          <w:r>
            <w:instrText>Hyperlink \l "_Toc145437080"</w:instrText>
          </w:r>
          <w:r>
            <w:fldChar w:fldCharType="separate"/>
          </w:r>
          <w:r>
            <w:rPr>
              <w:rFonts w:eastAsia="仿宋_GB2312"/>
              <w:sz w:val="32"/>
              <w:szCs w:val="32"/>
            </w:rPr>
            <w:t>五、财政拨款支出决算明细表</w:t>
            <w:tab/>
          </w:r>
          <w:r>
            <w:rPr>
              <w:rFonts w:eastAsia="仿宋_GB2312" w:hint="eastAsia"/>
              <w:sz w:val="32"/>
              <w:szCs w:val="32"/>
            </w:rPr>
            <w:t>39</w:t>
          </w:r>
          <w:r>
            <w:fldChar w:fldCharType="end"/>
          </w:r>
        </w:p>
        <w:p>
          <w:pPr>
            <w:pStyle w:val="28"/>
            <w:tabs>
              <w:tab w:val="right" w:leader="dot" w:pos="8834"/>
            </w:tabs>
            <w:rPr>
              <w:rFonts w:eastAsia="仿宋_GB2312"/>
              <w:caps w:val="0"/>
              <w:smallCaps w:val="0"/>
              <w:sz w:val="32"/>
              <w:szCs w:val="32"/>
            </w:rPr>
          </w:pPr>
          <w:r>
            <w:fldChar w:fldCharType="begin"/>
          </w:r>
          <w:r>
            <w:instrText>Hyperlink \l "_Toc145437081"</w:instrText>
          </w:r>
          <w:r>
            <w:fldChar w:fldCharType="separate"/>
          </w:r>
          <w:r>
            <w:rPr>
              <w:rFonts w:eastAsia="仿宋_GB2312"/>
              <w:sz w:val="32"/>
              <w:szCs w:val="32"/>
            </w:rPr>
            <w:t>六、一般公共预算财政拨款支出决算表</w:t>
            <w:tab/>
          </w:r>
          <w:r>
            <w:rPr>
              <w:rFonts w:eastAsia="仿宋_GB2312" w:hint="eastAsia"/>
              <w:sz w:val="32"/>
              <w:szCs w:val="32"/>
            </w:rPr>
            <w:t>39</w:t>
          </w:r>
          <w:r>
            <w:fldChar w:fldCharType="end"/>
          </w:r>
        </w:p>
        <w:p>
          <w:pPr>
            <w:pStyle w:val="28"/>
            <w:tabs>
              <w:tab w:val="right" w:leader="dot" w:pos="8834"/>
            </w:tabs>
            <w:rPr>
              <w:rFonts w:eastAsia="仿宋_GB2312"/>
              <w:caps w:val="0"/>
              <w:smallCaps w:val="0"/>
              <w:sz w:val="32"/>
              <w:szCs w:val="32"/>
            </w:rPr>
          </w:pPr>
          <w:r>
            <w:fldChar w:fldCharType="begin"/>
          </w:r>
          <w:r>
            <w:instrText>Hyperlink \l "_Toc145437082"</w:instrText>
          </w:r>
          <w:r>
            <w:fldChar w:fldCharType="separate"/>
          </w:r>
          <w:r>
            <w:rPr>
              <w:rFonts w:eastAsia="仿宋_GB2312"/>
              <w:sz w:val="32"/>
              <w:szCs w:val="32"/>
            </w:rPr>
            <w:t>七、一般公共预算财政拨款支出决算明细表</w:t>
            <w:tab/>
          </w:r>
          <w:r>
            <w:rPr>
              <w:rFonts w:eastAsia="仿宋_GB2312" w:hint="eastAsia"/>
              <w:sz w:val="32"/>
              <w:szCs w:val="32"/>
            </w:rPr>
            <w:t>39</w:t>
          </w:r>
          <w:r>
            <w:fldChar w:fldCharType="end"/>
          </w:r>
        </w:p>
        <w:p>
          <w:pPr>
            <w:pStyle w:val="28"/>
            <w:tabs>
              <w:tab w:val="right" w:leader="dot" w:pos="8834"/>
            </w:tabs>
            <w:rPr>
              <w:rFonts w:eastAsia="仿宋_GB2312"/>
              <w:caps w:val="0"/>
              <w:smallCaps w:val="0"/>
              <w:sz w:val="32"/>
              <w:szCs w:val="32"/>
            </w:rPr>
          </w:pPr>
          <w:r>
            <w:fldChar w:fldCharType="begin"/>
          </w:r>
          <w:r>
            <w:instrText>Hyperlink \l "_Toc145437083"</w:instrText>
          </w:r>
          <w:r>
            <w:fldChar w:fldCharType="separate"/>
          </w:r>
          <w:r>
            <w:rPr>
              <w:rFonts w:eastAsia="仿宋_GB2312"/>
              <w:sz w:val="32"/>
              <w:szCs w:val="32"/>
            </w:rPr>
            <w:t>八、一般公共预算财政拨款基本支出决算表</w:t>
            <w:tab/>
          </w:r>
          <w:r>
            <w:rPr>
              <w:rFonts w:eastAsia="仿宋_GB2312" w:hint="eastAsia"/>
              <w:sz w:val="32"/>
              <w:szCs w:val="32"/>
            </w:rPr>
            <w:t>39</w:t>
          </w:r>
          <w:r>
            <w:fldChar w:fldCharType="end"/>
          </w:r>
        </w:p>
        <w:p>
          <w:pPr>
            <w:pStyle w:val="28"/>
            <w:tabs>
              <w:tab w:val="right" w:leader="dot" w:pos="8834"/>
            </w:tabs>
            <w:rPr>
              <w:rFonts w:eastAsia="仿宋_GB2312"/>
              <w:caps w:val="0"/>
              <w:smallCaps w:val="0"/>
              <w:sz w:val="32"/>
              <w:szCs w:val="32"/>
            </w:rPr>
          </w:pPr>
          <w:r>
            <w:fldChar w:fldCharType="begin"/>
          </w:r>
          <w:r>
            <w:instrText>Hyperlink \l "_Toc145437084"</w:instrText>
          </w:r>
          <w:r>
            <w:fldChar w:fldCharType="separate"/>
          </w:r>
          <w:r>
            <w:rPr>
              <w:rFonts w:eastAsia="仿宋_GB2312"/>
              <w:sz w:val="32"/>
              <w:szCs w:val="32"/>
            </w:rPr>
            <w:t>九、一般公共预算财政拨款项目支出决算表</w:t>
            <w:tab/>
          </w:r>
          <w:r>
            <w:rPr>
              <w:rFonts w:eastAsia="仿宋_GB2312" w:hint="eastAsia"/>
              <w:sz w:val="32"/>
              <w:szCs w:val="32"/>
            </w:rPr>
            <w:t>39</w:t>
          </w:r>
          <w:r>
            <w:fldChar w:fldCharType="end"/>
          </w:r>
        </w:p>
        <w:p>
          <w:pPr>
            <w:pStyle w:val="28"/>
            <w:tabs>
              <w:tab w:val="right" w:leader="dot" w:pos="8834"/>
            </w:tabs>
            <w:rPr>
              <w:rFonts w:eastAsia="仿宋_GB2312"/>
              <w:caps w:val="0"/>
              <w:smallCaps w:val="0"/>
              <w:sz w:val="32"/>
              <w:szCs w:val="32"/>
            </w:rPr>
          </w:pPr>
          <w:r>
            <w:fldChar w:fldCharType="begin"/>
          </w:r>
          <w:r>
            <w:instrText>Hyperlink \l "_Toc145437085"</w:instrText>
          </w:r>
          <w:r>
            <w:fldChar w:fldCharType="separate"/>
          </w:r>
          <w:r>
            <w:rPr>
              <w:rFonts w:eastAsia="仿宋_GB2312"/>
              <w:sz w:val="32"/>
              <w:szCs w:val="32"/>
            </w:rPr>
            <w:t>十、政府性基金预算财政拨款收入支出决算表</w:t>
            <w:tab/>
          </w:r>
          <w:r>
            <w:rPr>
              <w:rFonts w:eastAsia="仿宋_GB2312" w:hint="eastAsia"/>
              <w:sz w:val="32"/>
              <w:szCs w:val="32"/>
            </w:rPr>
            <w:t>39</w:t>
          </w:r>
          <w:r>
            <w:fldChar w:fldCharType="end"/>
          </w:r>
        </w:p>
        <w:p>
          <w:pPr>
            <w:pStyle w:val="28"/>
            <w:tabs>
              <w:tab w:val="right" w:leader="dot" w:pos="8834"/>
            </w:tabs>
            <w:rPr>
              <w:rFonts w:eastAsia="仿宋_GB2312"/>
              <w:caps w:val="0"/>
              <w:smallCaps w:val="0"/>
              <w:sz w:val="32"/>
              <w:szCs w:val="32"/>
            </w:rPr>
          </w:pPr>
          <w:r>
            <w:fldChar w:fldCharType="begin"/>
          </w:r>
          <w:r>
            <w:instrText>Hyperlink \l "_Toc145437086"</w:instrText>
          </w:r>
          <w:r>
            <w:fldChar w:fldCharType="separate"/>
          </w:r>
          <w:r>
            <w:rPr>
              <w:rFonts w:eastAsia="仿宋_GB2312"/>
              <w:sz w:val="32"/>
              <w:szCs w:val="32"/>
            </w:rPr>
            <w:t>十一、国有资本经营预算财政拨款收入支出决算表</w:t>
            <w:tab/>
          </w:r>
          <w:r>
            <w:rPr>
              <w:rFonts w:eastAsia="仿宋_GB2312" w:hint="eastAsia"/>
              <w:sz w:val="32"/>
              <w:szCs w:val="32"/>
            </w:rPr>
            <w:t>39</w:t>
          </w:r>
          <w:r>
            <w:fldChar w:fldCharType="end"/>
          </w:r>
        </w:p>
        <w:p>
          <w:pPr>
            <w:pStyle w:val="28"/>
            <w:tabs>
              <w:tab w:val="right" w:leader="dot" w:pos="8834"/>
            </w:tabs>
            <w:rPr>
              <w:rFonts w:eastAsia="仿宋_GB2312"/>
              <w:caps w:val="0"/>
              <w:smallCaps w:val="0"/>
              <w:sz w:val="32"/>
              <w:szCs w:val="32"/>
            </w:rPr>
          </w:pPr>
          <w:r>
            <w:fldChar w:fldCharType="begin"/>
          </w:r>
          <w:r>
            <w:instrText>Hyperlink \l "_Toc145437087"</w:instrText>
          </w:r>
          <w:r>
            <w:fldChar w:fldCharType="separate"/>
          </w:r>
          <w:r>
            <w:rPr>
              <w:rFonts w:eastAsia="仿宋_GB2312"/>
              <w:sz w:val="32"/>
              <w:szCs w:val="32"/>
            </w:rPr>
            <w:t>十二、国有资本经营预算财政拨款支出决算表</w:t>
            <w:tab/>
          </w:r>
          <w:r>
            <w:rPr>
              <w:rFonts w:eastAsia="仿宋_GB2312" w:hint="eastAsia"/>
              <w:sz w:val="32"/>
              <w:szCs w:val="32"/>
            </w:rPr>
            <w:t>39</w:t>
          </w:r>
          <w:r>
            <w:fldChar w:fldCharType="end"/>
          </w:r>
        </w:p>
        <w:p>
          <w:pPr>
            <w:pStyle w:val="28"/>
            <w:tabs>
              <w:tab w:val="right" w:leader="dot" w:pos="8834"/>
            </w:tabs>
            <w:spacing w:before="93"/>
            <w:rPr>
              <w:rFonts w:eastAsia="仿宋_GB2312"/>
              <w:caps w:val="0"/>
              <w:smallCaps w:val="0"/>
              <w:sz w:val="32"/>
              <w:szCs w:val="32"/>
            </w:rPr>
          </w:pPr>
          <w:r>
            <w:fldChar w:fldCharType="begin"/>
          </w:r>
          <w:r>
            <w:instrText>Hyperlink \l "_Toc145437088"</w:instrText>
          </w:r>
          <w:r>
            <w:fldChar w:fldCharType="separate"/>
          </w:r>
          <w:r>
            <w:rPr>
              <w:rFonts w:eastAsia="仿宋_GB2312"/>
              <w:sz w:val="32"/>
              <w:szCs w:val="32"/>
            </w:rPr>
            <w:t>十三、财政拨款“三公”经费支出决算表</w:t>
            <w:tab/>
          </w:r>
          <w:r>
            <w:rPr>
              <w:rFonts w:eastAsia="仿宋_GB2312" w:hint="eastAsia"/>
              <w:sz w:val="32"/>
              <w:szCs w:val="32"/>
            </w:rPr>
            <w:t>39</w:t>
          </w:r>
          <w:r>
            <w:fldChar w:fldCharType="end"/>
          </w:r>
        </w:p>
        <w:p>
          <w:pPr>
            <w:rPr>
              <w:rFonts w:ascii="仿宋_GB2312" w:eastAsia="仿宋_GB2312"/>
              <w:sz w:val="32"/>
              <w:szCs w:val="32"/>
            </w:rPr>
          </w:pPr>
          <w:r>
            <w:rPr>
              <w:rFonts w:eastAsia="仿宋_GB2312"/>
              <w:sz w:val="32"/>
              <w:szCs w:val="32"/>
            </w:rPr>
            <w:fldChar w:fldCharType="end"/>
          </w:r>
        </w:p>
      </w:sdtContent>
    </w:sdt>
    <w:p/>
    <w:p>
      <w:pPr>
        <w:tabs>
          <w:tab w:val="left" w:pos="2760"/>
        </w:tabs>
      </w:pPr>
      <w:bookmarkStart w:id="13" w:name="_Toc15396599"/>
      <w:bookmarkStart w:id="14" w:name="_Toc15377196"/>
    </w:p>
    <w:p>
      <w:pPr>
        <w:pStyle w:val="1"/>
        <w:jc w:val="center"/>
        <w:rPr>
          <w:rFonts w:eastAsia="黑体"/>
          <w:bCs w:val="0"/>
        </w:rPr>
      </w:pPr>
      <w:bookmarkStart w:id="15" w:name="_Toc145437057"/>
      <w:bookmarkStart w:id="16" w:name="_Toc145434810"/>
      <w:bookmarkEnd w:id="13"/>
      <w:bookmarkEnd w:id="14"/>
      <w:r>
        <w:rPr>
          <w:rFonts w:eastAsia="黑体"/>
          <w:b w:val="0"/>
        </w:rPr>
        <w:t>第一部分</w:t>
      </w:r>
      <w:r>
        <w:rPr>
          <w:rFonts w:eastAsia="黑体" w:hint="eastAsia"/>
          <w:b w:val="0"/>
        </w:rPr>
        <w:t xml:space="preserve"> </w:t>
      </w:r>
      <w:r>
        <w:rPr>
          <w:rStyle w:val="1Char"/>
          <w:rFonts w:eastAsia="黑体"/>
          <w:b w:val="0"/>
          <w:bCs w:val="0"/>
        </w:rPr>
        <w:t>部门概况</w:t>
      </w:r>
      <w:bookmarkEnd w:id="15"/>
      <w:bookmarkEnd w:id="16"/>
    </w:p>
    <w:p>
      <w:pPr>
        <w:pStyle w:val="2"/>
        <w:rPr>
          <w:rFonts w:ascii="Times New Roman" w:eastAsia="黑体" w:hAnsi="Times New Roman"/>
          <w:b w:val="0"/>
        </w:rPr>
      </w:pPr>
      <w:bookmarkStart w:id="17" w:name="_Toc145437058"/>
      <w:bookmarkStart w:id="18" w:name="_Toc145434811"/>
      <w:bookmarkStart w:id="19" w:name="_Toc82085418"/>
      <w:bookmarkStart w:id="20" w:name="_Toc82085531"/>
      <w:bookmarkStart w:id="21" w:name="_Toc15377204"/>
      <w:bookmarkStart w:id="22" w:name="_Toc15396602"/>
      <w:r>
        <w:rPr>
          <w:rFonts w:ascii="Times New Roman" w:eastAsia="黑体" w:hAnsi="Times New Roman"/>
          <w:b w:val="0"/>
        </w:rPr>
        <w:t>一、部门职责</w:t>
      </w:r>
      <w:bookmarkEnd w:id="17"/>
      <w:bookmarkEnd w:id="18"/>
    </w:p>
    <w:p>
      <w:pPr>
        <w:snapToGrid w:val="0"/>
        <w:spacing w:line="360" w:lineRule="auto"/>
        <w:ind w:firstLineChars="200" w:firstLine="640"/>
        <w:rPr>
          <w:rFonts w:eastAsia="仿宋_GB2312"/>
          <w:sz w:val="32"/>
          <w:szCs w:val="32"/>
        </w:rPr>
      </w:pPr>
      <w:r>
        <w:rPr>
          <w:rFonts w:eastAsia="仿宋_GB2312"/>
          <w:sz w:val="32"/>
          <w:szCs w:val="32"/>
        </w:rPr>
        <w:t>（一）贯彻执行医疗保险、生育保险、医疗救助等医疗保障法律、法规、规章。拟订全市医疗保障事业发展规划、政策和标准，并组织实施和监督检查。</w:t>
      </w:r>
    </w:p>
    <w:p>
      <w:pPr>
        <w:snapToGrid w:val="0"/>
        <w:spacing w:line="360" w:lineRule="auto"/>
        <w:ind w:firstLineChars="200" w:firstLine="640"/>
        <w:rPr>
          <w:rFonts w:eastAsia="仿宋_GB2312"/>
          <w:sz w:val="32"/>
          <w:szCs w:val="32"/>
        </w:rPr>
      </w:pPr>
      <w:r>
        <w:rPr>
          <w:rFonts w:eastAsia="仿宋_GB2312"/>
          <w:sz w:val="32"/>
          <w:szCs w:val="32"/>
        </w:rPr>
        <w:t>（二）组织拟订并实施医疗保障基金监督管理制度，建立健全医疗保障基金安全防控机制，监督强化全市医疗保障基金运行管理。</w:t>
      </w:r>
    </w:p>
    <w:p>
      <w:pPr>
        <w:snapToGrid w:val="0"/>
        <w:spacing w:line="360" w:lineRule="auto"/>
        <w:ind w:firstLineChars="200" w:firstLine="640"/>
        <w:rPr>
          <w:rFonts w:eastAsia="仿宋_GB2312"/>
          <w:sz w:val="32"/>
          <w:szCs w:val="32"/>
        </w:rPr>
      </w:pPr>
      <w:r>
        <w:rPr>
          <w:rFonts w:eastAsia="仿宋_GB2312"/>
          <w:sz w:val="32"/>
          <w:szCs w:val="32"/>
        </w:rPr>
        <w:t>（三）组织拟订并实施医疗保障筹资和待遇政策，完善全市医疗保障筹资标准动态调整机制，统筹城乡医疗保障待遇标准，建立健全与筹资水平相适应的待遇调整机制。组织拟订并实施长期护理保险制度改革方案。</w:t>
      </w:r>
    </w:p>
    <w:p>
      <w:pPr>
        <w:snapToGrid w:val="0"/>
        <w:spacing w:line="360" w:lineRule="auto"/>
        <w:ind w:firstLineChars="200" w:firstLine="640"/>
        <w:rPr>
          <w:rFonts w:eastAsia="仿宋_GB2312"/>
          <w:sz w:val="32"/>
          <w:szCs w:val="32"/>
        </w:rPr>
      </w:pPr>
      <w:r>
        <w:rPr>
          <w:rFonts w:eastAsia="仿宋_GB2312"/>
          <w:sz w:val="32"/>
          <w:szCs w:val="32"/>
        </w:rPr>
        <w:t>（四）组织实施全省城乡统一的药品、医用耗材、医疗服务项目、医疗服务设施等医疗保障目录和支付标准，根据授权在医疗保障目录准入谈判规则下进行目录增补和支付标准的调整。</w:t>
      </w:r>
    </w:p>
    <w:p>
      <w:pPr>
        <w:snapToGrid w:val="0"/>
        <w:spacing w:line="360" w:lineRule="auto"/>
        <w:ind w:firstLineChars="200" w:firstLine="640"/>
        <w:rPr>
          <w:rFonts w:eastAsia="仿宋_GB2312"/>
          <w:sz w:val="32"/>
          <w:szCs w:val="32"/>
        </w:rPr>
      </w:pPr>
      <w:r>
        <w:rPr>
          <w:rFonts w:eastAsia="仿宋_GB2312"/>
          <w:sz w:val="32"/>
          <w:szCs w:val="32"/>
        </w:rPr>
        <w:t>（五）组织拟订并实施全市统一的药品、医用耗材价格和医疗服务项目、医疗服务设施收费等政策，建立医保支付医药服务价格合理确定和动态调整机制，推动建立市场主导的社会医药服务价格形成机制，建立价格信息监测和信息发布制度。</w:t>
      </w:r>
    </w:p>
    <w:p>
      <w:pPr>
        <w:snapToGrid w:val="0"/>
        <w:spacing w:line="360" w:lineRule="auto"/>
        <w:ind w:firstLineChars="200" w:firstLine="640"/>
        <w:rPr>
          <w:rFonts w:eastAsia="仿宋_GB2312"/>
          <w:sz w:val="32"/>
          <w:szCs w:val="32"/>
        </w:rPr>
      </w:pPr>
      <w:r>
        <w:rPr>
          <w:rFonts w:eastAsia="仿宋_GB2312"/>
          <w:sz w:val="32"/>
          <w:szCs w:val="32"/>
        </w:rPr>
        <w:t>（六）贯彻执行全省药品、医用耗材的招标采购政策并监督实施，根据省上统一安排部署，参与全省药品、医用耗材招标采购平台建设，承担相关工作任务。</w:t>
      </w:r>
    </w:p>
    <w:p>
      <w:pPr>
        <w:snapToGrid w:val="0"/>
        <w:spacing w:line="360" w:lineRule="auto"/>
        <w:ind w:firstLineChars="200" w:firstLine="640"/>
        <w:rPr>
          <w:rFonts w:eastAsia="仿宋_GB2312"/>
          <w:sz w:val="32"/>
          <w:szCs w:val="32"/>
        </w:rPr>
      </w:pPr>
      <w:r>
        <w:rPr>
          <w:rFonts w:eastAsia="仿宋_GB2312"/>
          <w:sz w:val="32"/>
          <w:szCs w:val="32"/>
        </w:rPr>
        <w:t>（七）推进医疗保障基金支付方式改革，制定全市医疗保障定点医药机构服务协议和基金支付管理办法并组织实施，指导全市医疗保障定点医药机构管理。建立健全医疗保障信用评价体系和信息披露制度，监督管理纳入医疗保障范围内的医疗服务行为和医疗费用，依法查处医疗保障领域违法违规行为。</w:t>
      </w:r>
    </w:p>
    <w:p>
      <w:pPr>
        <w:snapToGrid w:val="0"/>
        <w:spacing w:line="360" w:lineRule="auto"/>
        <w:ind w:firstLineChars="200" w:firstLine="640"/>
        <w:rPr>
          <w:rFonts w:eastAsia="仿宋_GB2312"/>
          <w:sz w:val="32"/>
          <w:szCs w:val="32"/>
        </w:rPr>
      </w:pPr>
      <w:r>
        <w:rPr>
          <w:rFonts w:eastAsia="仿宋_GB2312"/>
          <w:sz w:val="32"/>
          <w:szCs w:val="32"/>
        </w:rPr>
        <w:t>（八）负责全市医疗保障业务经办管理和公共服务体系建设。组织实施异地就医管理规定和费用结算政策。贯彻执行医疗保障关系转移接续政策。指导和监督管理全市医保经办服务工作。开展医疗保障领域对外合作交流。</w:t>
      </w:r>
    </w:p>
    <w:p>
      <w:pPr>
        <w:tabs>
          <w:tab w:val="right" w:pos="8306"/>
        </w:tabs>
        <w:snapToGrid w:val="0"/>
        <w:spacing w:line="360" w:lineRule="auto"/>
        <w:ind w:firstLineChars="200" w:firstLine="640"/>
        <w:rPr>
          <w:rFonts w:eastAsia="仿宋_GB2312"/>
          <w:sz w:val="32"/>
          <w:szCs w:val="32"/>
        </w:rPr>
      </w:pPr>
      <w:r>
        <w:rPr>
          <w:rFonts w:eastAsia="仿宋_GB2312"/>
          <w:sz w:val="32"/>
          <w:szCs w:val="32"/>
        </w:rPr>
        <w:t>（九）拟订全市医疗保障信息化建设规划并参与全省医疗保障信息化建设。组织开展医疗保障大数据管理和应用。</w:t>
      </w:r>
    </w:p>
    <w:p>
      <w:pPr>
        <w:snapToGrid w:val="0"/>
        <w:spacing w:line="360" w:lineRule="auto"/>
        <w:ind w:firstLineChars="200" w:firstLine="640"/>
        <w:rPr>
          <w:rFonts w:eastAsia="仿宋_GB2312"/>
          <w:sz w:val="32"/>
          <w:szCs w:val="32"/>
        </w:rPr>
      </w:pPr>
      <w:r>
        <w:rPr>
          <w:rFonts w:eastAsia="仿宋_GB2312"/>
          <w:sz w:val="32"/>
          <w:szCs w:val="32"/>
        </w:rPr>
        <w:t>（十）组织拟订市本级离休干部、六级以上革命伤残军人的医疗保障政策和厅级干部、县级干部、高级知识分子的医疗照顾政策。</w:t>
      </w:r>
    </w:p>
    <w:p>
      <w:pPr>
        <w:snapToGrid w:val="0"/>
        <w:spacing w:line="360" w:lineRule="auto"/>
        <w:ind w:firstLineChars="200" w:firstLine="640"/>
        <w:rPr>
          <w:rFonts w:eastAsia="仿宋_GB2312"/>
          <w:sz w:val="32"/>
          <w:szCs w:val="32"/>
        </w:rPr>
      </w:pPr>
      <w:r>
        <w:rPr>
          <w:rFonts w:eastAsia="仿宋_GB2312"/>
          <w:sz w:val="32"/>
          <w:szCs w:val="32"/>
        </w:rPr>
        <w:t>（十一）负责职责范围内的安全生产和职业健康、生态环境保护、审批服务便民化等工作。</w:t>
      </w:r>
    </w:p>
    <w:p>
      <w:pPr>
        <w:snapToGrid w:val="0"/>
        <w:spacing w:line="360" w:lineRule="auto"/>
        <w:ind w:firstLineChars="200" w:firstLine="640"/>
        <w:rPr>
          <w:rFonts w:eastAsia="仿宋_GB2312"/>
          <w:sz w:val="32"/>
          <w:szCs w:val="32"/>
        </w:rPr>
      </w:pPr>
      <w:r>
        <w:rPr>
          <w:rFonts w:eastAsia="仿宋_GB2312"/>
          <w:sz w:val="32"/>
          <w:szCs w:val="32"/>
        </w:rPr>
        <w:t>（十二）完成市委、市政府交办的其他任务。</w:t>
      </w:r>
    </w:p>
    <w:p>
      <w:pPr>
        <w:pStyle w:val="2"/>
        <w:rPr>
          <w:rStyle w:val="2Char"/>
          <w:rFonts w:ascii="Times New Roman" w:hAnsi="Times New Roman"/>
          <w:b w:val="0"/>
          <w:bCs w:val="0"/>
        </w:rPr>
      </w:pPr>
      <w:bookmarkStart w:id="23" w:name="_Toc15377200"/>
      <w:bookmarkStart w:id="24" w:name="_Toc145434812"/>
      <w:bookmarkStart w:id="25" w:name="_Toc15396601"/>
      <w:bookmarkStart w:id="26" w:name="_Toc145437059"/>
      <w:r>
        <w:rPr>
          <w:rFonts w:ascii="Times New Roman" w:eastAsia="黑体" w:hAnsi="Times New Roman"/>
          <w:b w:val="0"/>
        </w:rPr>
        <w:t>二、机</w:t>
      </w:r>
      <w:r>
        <w:rPr>
          <w:rStyle w:val="2Char"/>
          <w:rFonts w:ascii="Times New Roman" w:eastAsia="黑体" w:hAnsi="Times New Roman"/>
          <w:b w:val="0"/>
          <w:bCs w:val="0"/>
        </w:rPr>
        <w:t>构设置</w:t>
      </w:r>
      <w:bookmarkEnd w:id="23"/>
      <w:bookmarkEnd w:id="24"/>
      <w:bookmarkEnd w:id="25"/>
      <w:bookmarkEnd w:id="26"/>
    </w:p>
    <w:p>
      <w:pPr>
        <w:snapToGrid w:val="0"/>
        <w:spacing w:line="578" w:lineRule="exact"/>
        <w:ind w:firstLineChars="200" w:firstLine="640"/>
        <w:rPr>
          <w:rFonts w:eastAsia="仿宋_GB2312"/>
          <w:color w:val="000000"/>
          <w:sz w:val="32"/>
          <w:szCs w:val="32"/>
        </w:rPr>
      </w:pPr>
      <w:r>
        <w:rPr>
          <w:rFonts w:eastAsia="仿宋_GB2312"/>
          <w:color w:val="000000"/>
          <w:sz w:val="32"/>
          <w:szCs w:val="32"/>
        </w:rPr>
        <w:t>攀枝花市医疗保障局（以下简称“市医保局”）下属事业单位2个，其中</w:t>
      </w:r>
      <w:r>
        <w:rPr>
          <w:rFonts w:eastAsia="仿宋"/>
          <w:color w:val="000000"/>
          <w:sz w:val="32"/>
          <w:szCs w:val="32"/>
        </w:rPr>
        <w:t>参照公务员法管理的事业单位</w:t>
      </w:r>
      <w:r>
        <w:rPr>
          <w:rFonts w:eastAsia="仿宋"/>
          <w:bCs/>
          <w:color w:val="000000"/>
          <w:sz w:val="32"/>
          <w:szCs w:val="32"/>
        </w:rPr>
        <w:t>1</w:t>
      </w:r>
      <w:r>
        <w:rPr>
          <w:rFonts w:eastAsia="仿宋"/>
          <w:color w:val="000000"/>
          <w:sz w:val="32"/>
          <w:szCs w:val="32"/>
        </w:rPr>
        <w:t>个，其他事业单位1个</w:t>
      </w:r>
      <w:r>
        <w:rPr>
          <w:rFonts w:eastAsia="仿宋_GB2312"/>
          <w:color w:val="000000"/>
          <w:sz w:val="32"/>
          <w:szCs w:val="32"/>
        </w:rPr>
        <w:t>。</w:t>
      </w:r>
    </w:p>
    <w:p>
      <w:pPr>
        <w:snapToGrid w:val="0"/>
        <w:spacing w:line="578" w:lineRule="exact"/>
        <w:ind w:firstLineChars="200" w:firstLine="640"/>
        <w:rPr>
          <w:rStyle w:val="1Char"/>
          <w:rFonts w:eastAsia="仿宋_GB2312"/>
          <w:b w:val="0"/>
          <w:bCs w:val="0"/>
          <w:color w:val="000000"/>
          <w:szCs w:val="32"/>
        </w:rPr>
      </w:pPr>
      <w:r>
        <w:rPr>
          <w:rFonts w:eastAsia="仿宋"/>
          <w:color w:val="000000"/>
          <w:sz w:val="32"/>
          <w:szCs w:val="32"/>
        </w:rPr>
        <w:t>纳入市医保局202</w:t>
      </w:r>
      <w:r>
        <w:rPr>
          <w:rFonts w:eastAsia="仿宋" w:hint="eastAsia"/>
          <w:color w:val="000000"/>
          <w:sz w:val="32"/>
          <w:szCs w:val="32"/>
        </w:rPr>
        <w:t>3</w:t>
      </w:r>
      <w:r>
        <w:rPr>
          <w:rFonts w:eastAsia="仿宋"/>
          <w:color w:val="000000"/>
          <w:sz w:val="32"/>
          <w:szCs w:val="32"/>
        </w:rPr>
        <w:t>年度部门决算编制范围的二级预算单位为攀枝花市医疗保障信息中心（以下简称“市医保信息中心”）</w:t>
      </w:r>
    </w:p>
    <w:p>
      <w:pPr>
        <w:widowControl/>
        <w:spacing w:line="578" w:lineRule="exact"/>
        <w:jc w:val="center"/>
        <w:rPr>
          <w:rStyle w:val="1Char"/>
          <w:rFonts w:eastAsia="黑体"/>
          <w:b w:val="0"/>
          <w:color w:val="000000"/>
        </w:rPr>
      </w:pPr>
    </w:p>
    <w:p>
      <w:pPr>
        <w:widowControl/>
        <w:spacing w:line="578" w:lineRule="exact"/>
        <w:jc w:val="center"/>
        <w:rPr>
          <w:rStyle w:val="1Char"/>
          <w:rFonts w:eastAsia="黑体"/>
          <w:b w:val="0"/>
          <w:color w:val="000000"/>
        </w:rPr>
      </w:pPr>
    </w:p>
    <w:p>
      <w:pPr>
        <w:widowControl/>
        <w:spacing w:line="578" w:lineRule="exact"/>
        <w:jc w:val="center"/>
        <w:rPr>
          <w:rStyle w:val="1Char"/>
          <w:rFonts w:eastAsia="黑体"/>
          <w:b w:val="0"/>
          <w:color w:val="000000"/>
        </w:rPr>
      </w:pPr>
    </w:p>
    <w:p>
      <w:pPr>
        <w:widowControl/>
        <w:spacing w:line="578" w:lineRule="exact"/>
        <w:jc w:val="center"/>
        <w:rPr>
          <w:rStyle w:val="1Char"/>
          <w:rFonts w:eastAsia="黑体"/>
          <w:b w:val="0"/>
          <w:color w:val="000000"/>
        </w:rPr>
      </w:pPr>
    </w:p>
    <w:p>
      <w:pPr>
        <w:widowControl/>
        <w:spacing w:line="578" w:lineRule="exact"/>
        <w:jc w:val="center"/>
        <w:rPr>
          <w:rStyle w:val="1Char"/>
          <w:rFonts w:eastAsia="黑体"/>
          <w:b w:val="0"/>
          <w:color w:val="000000"/>
        </w:rPr>
      </w:pPr>
    </w:p>
    <w:p>
      <w:pPr>
        <w:widowControl/>
        <w:spacing w:line="578" w:lineRule="exact"/>
        <w:jc w:val="center"/>
        <w:rPr>
          <w:rStyle w:val="1Char"/>
          <w:rFonts w:eastAsia="黑体"/>
          <w:b w:val="0"/>
          <w:color w:val="000000"/>
        </w:rPr>
      </w:pPr>
    </w:p>
    <w:p>
      <w:pPr>
        <w:widowControl/>
        <w:spacing w:line="578" w:lineRule="exact"/>
        <w:jc w:val="center"/>
        <w:rPr>
          <w:rStyle w:val="1Char"/>
          <w:rFonts w:eastAsia="黑体"/>
          <w:b w:val="0"/>
          <w:color w:val="000000"/>
        </w:rPr>
      </w:pPr>
    </w:p>
    <w:p>
      <w:pPr>
        <w:widowControl/>
        <w:spacing w:line="578" w:lineRule="exact"/>
        <w:jc w:val="center"/>
        <w:rPr>
          <w:rStyle w:val="1Char"/>
          <w:rFonts w:eastAsia="黑体"/>
          <w:b w:val="0"/>
          <w:color w:val="000000"/>
        </w:rPr>
      </w:pPr>
    </w:p>
    <w:p>
      <w:pPr>
        <w:widowControl/>
        <w:spacing w:line="578" w:lineRule="exact"/>
        <w:jc w:val="center"/>
        <w:rPr>
          <w:rStyle w:val="1Char"/>
          <w:rFonts w:eastAsia="黑体"/>
          <w:b w:val="0"/>
          <w:color w:val="000000"/>
        </w:rPr>
      </w:pPr>
    </w:p>
    <w:p>
      <w:pPr>
        <w:widowControl/>
        <w:spacing w:line="578" w:lineRule="exact"/>
        <w:jc w:val="center"/>
        <w:rPr>
          <w:rStyle w:val="1Char"/>
          <w:rFonts w:eastAsia="黑体"/>
          <w:b w:val="0"/>
          <w:color w:val="000000"/>
        </w:rPr>
      </w:pPr>
    </w:p>
    <w:p>
      <w:pPr>
        <w:widowControl/>
        <w:spacing w:line="578" w:lineRule="exact"/>
        <w:jc w:val="center"/>
        <w:rPr>
          <w:rStyle w:val="1Char"/>
          <w:rFonts w:eastAsia="黑体"/>
          <w:b w:val="0"/>
          <w:color w:val="000000"/>
        </w:rPr>
      </w:pPr>
    </w:p>
    <w:p>
      <w:pPr>
        <w:widowControl/>
        <w:spacing w:line="578" w:lineRule="exact"/>
        <w:jc w:val="center"/>
        <w:rPr>
          <w:rStyle w:val="1Char"/>
          <w:rFonts w:eastAsia="黑体"/>
          <w:b w:val="0"/>
          <w:color w:val="000000"/>
        </w:rPr>
      </w:pPr>
    </w:p>
    <w:p>
      <w:pPr>
        <w:widowControl/>
        <w:spacing w:line="578" w:lineRule="exact"/>
        <w:jc w:val="center"/>
        <w:rPr>
          <w:rStyle w:val="1Char"/>
          <w:rFonts w:eastAsia="黑体"/>
          <w:b w:val="0"/>
          <w:color w:val="000000"/>
        </w:rPr>
      </w:pPr>
    </w:p>
    <w:p>
      <w:pPr>
        <w:widowControl/>
        <w:spacing w:line="578" w:lineRule="exact"/>
        <w:rPr>
          <w:rStyle w:val="1Char"/>
          <w:rFonts w:eastAsia="黑体"/>
          <w:b w:val="0"/>
          <w:color w:val="000000"/>
        </w:rPr>
      </w:pPr>
    </w:p>
    <w:p>
      <w:pPr>
        <w:widowControl/>
        <w:spacing w:line="578" w:lineRule="exact"/>
        <w:rPr>
          <w:rStyle w:val="1Char"/>
          <w:rFonts w:eastAsia="黑体"/>
          <w:b w:val="0"/>
          <w:color w:val="000000"/>
        </w:rPr>
      </w:pPr>
    </w:p>
    <w:p>
      <w:pPr>
        <w:widowControl/>
        <w:spacing w:line="578" w:lineRule="exact"/>
        <w:jc w:val="center"/>
        <w:rPr>
          <w:rStyle w:val="1Char"/>
          <w:rFonts w:eastAsia="黑体"/>
          <w:b w:val="0"/>
          <w:bCs w:val="0"/>
          <w:color w:val="000000"/>
          <w:kern w:val="0"/>
          <w:sz w:val="32"/>
          <w:szCs w:val="32"/>
        </w:rPr>
      </w:pPr>
      <w:bookmarkStart w:id="27" w:name="_Toc145434813"/>
      <w:bookmarkStart w:id="28" w:name="_Toc113574856"/>
      <w:bookmarkStart w:id="29" w:name="_Toc145437060"/>
      <w:r>
        <w:rPr>
          <w:rStyle w:val="1Char"/>
          <w:rFonts w:eastAsia="黑体"/>
          <w:b w:val="0"/>
          <w:color w:val="000000"/>
        </w:rPr>
        <w:t>第二部分</w:t>
      </w:r>
      <w:r>
        <w:rPr>
          <w:rStyle w:val="1Char"/>
          <w:rFonts w:eastAsia="黑体" w:hint="eastAsia"/>
          <w:b w:val="0"/>
          <w:color w:val="000000"/>
        </w:rPr>
        <w:t xml:space="preserve"> </w:t>
      </w:r>
      <w:r>
        <w:rPr>
          <w:rStyle w:val="1Char"/>
          <w:rFonts w:eastAsia="黑体"/>
          <w:b w:val="0"/>
          <w:bCs w:val="0"/>
          <w:color w:val="000000"/>
        </w:rPr>
        <w:t>202</w:t>
      </w:r>
      <w:r>
        <w:rPr>
          <w:rStyle w:val="1Char"/>
          <w:rFonts w:eastAsia="黑体" w:hint="eastAsia"/>
          <w:b w:val="0"/>
          <w:bCs w:val="0"/>
          <w:color w:val="000000"/>
        </w:rPr>
        <w:t>3</w:t>
      </w:r>
      <w:r>
        <w:rPr>
          <w:rStyle w:val="1Char"/>
          <w:rFonts w:eastAsia="黑体"/>
          <w:b w:val="0"/>
          <w:bCs w:val="0"/>
          <w:color w:val="000000"/>
        </w:rPr>
        <w:t>年度部门决算情况说明</w:t>
      </w:r>
      <w:bookmarkEnd w:id="19"/>
      <w:bookmarkEnd w:id="20"/>
      <w:bookmarkEnd w:id="21"/>
      <w:bookmarkEnd w:id="22"/>
      <w:bookmarkEnd w:id="27"/>
      <w:bookmarkEnd w:id="28"/>
      <w:bookmarkEnd w:id="29"/>
    </w:p>
    <w:p>
      <w:pPr>
        <w:spacing w:line="578" w:lineRule="exact"/>
        <w:ind w:firstLineChars="200" w:firstLine="640"/>
        <w:rPr>
          <w:rFonts w:eastAsia="仿宋_GB2312"/>
          <w:color w:val="000000"/>
          <w:sz w:val="32"/>
          <w:szCs w:val="32"/>
        </w:rPr>
      </w:pPr>
    </w:p>
    <w:p>
      <w:pPr>
        <w:ind w:firstLineChars="200" w:firstLine="640"/>
        <w:outlineLvl w:val="1"/>
        <w:rPr>
          <w:rFonts w:eastAsia="黑体"/>
          <w:color w:val="000000"/>
          <w:sz w:val="32"/>
          <w:szCs w:val="32"/>
        </w:rPr>
      </w:pPr>
      <w:bookmarkStart w:id="30" w:name="_Toc15396603"/>
      <w:bookmarkStart w:id="31" w:name="_Toc82085532"/>
      <w:bookmarkStart w:id="32" w:name="_Toc145437061"/>
      <w:bookmarkStart w:id="33" w:name="_Toc145434814"/>
      <w:bookmarkStart w:id="34" w:name="_Toc15377205"/>
      <w:bookmarkStart w:id="35" w:name="_Toc113574857"/>
      <w:bookmarkStart w:id="36" w:name="_Toc82085419"/>
      <w:r>
        <w:rPr>
          <w:rFonts w:eastAsia="黑体"/>
          <w:color w:val="000000"/>
          <w:sz w:val="32"/>
          <w:szCs w:val="32"/>
        </w:rPr>
        <w:t>一、收入支出决算总体情况说明</w:t>
      </w:r>
      <w:bookmarkEnd w:id="30"/>
      <w:bookmarkEnd w:id="31"/>
      <w:bookmarkEnd w:id="32"/>
      <w:bookmarkEnd w:id="33"/>
      <w:bookmarkEnd w:id="34"/>
      <w:bookmarkEnd w:id="35"/>
      <w:bookmarkEnd w:id="36"/>
    </w:p>
    <w:p>
      <w:pPr>
        <w:spacing w:line="360" w:lineRule="auto"/>
        <w:ind w:firstLineChars="196" w:firstLine="627"/>
        <w:rPr>
          <w:rFonts w:eastAsia="仿宋_GB2312"/>
          <w:color w:val="000000"/>
          <w:sz w:val="32"/>
          <w:szCs w:val="32"/>
        </w:rPr>
      </w:pPr>
      <w:r>
        <w:rPr>
          <w:rFonts w:eastAsia="仿宋"/>
          <w:sz w:val="32"/>
          <w:szCs w:val="32"/>
        </w:rPr>
        <w:t>202</w:t>
      </w:r>
      <w:r>
        <w:rPr>
          <w:rFonts w:eastAsia="仿宋" w:hint="eastAsia"/>
          <w:sz w:val="32"/>
          <w:szCs w:val="32"/>
        </w:rPr>
        <w:t>3</w:t>
      </w:r>
      <w:r>
        <w:rPr>
          <w:rFonts w:eastAsia="仿宋"/>
          <w:sz w:val="32"/>
          <w:szCs w:val="32"/>
        </w:rPr>
        <w:t>年度收、支总计</w:t>
      </w:r>
      <w:r>
        <w:rPr>
          <w:rFonts w:eastAsia="仿宋" w:hint="eastAsia"/>
          <w:sz w:val="32"/>
          <w:szCs w:val="32"/>
        </w:rPr>
        <w:t>1027.22</w:t>
      </w:r>
      <w:r>
        <w:rPr>
          <w:rFonts w:eastAsia="仿宋"/>
          <w:sz w:val="32"/>
          <w:szCs w:val="32"/>
        </w:rPr>
        <w:t>万元。与202</w:t>
      </w:r>
      <w:r>
        <w:rPr>
          <w:rFonts w:eastAsia="仿宋" w:hint="eastAsia"/>
          <w:sz w:val="32"/>
          <w:szCs w:val="32"/>
        </w:rPr>
        <w:t>2</w:t>
      </w:r>
      <w:r>
        <w:rPr>
          <w:rFonts w:eastAsia="仿宋"/>
          <w:sz w:val="32"/>
          <w:szCs w:val="32"/>
        </w:rPr>
        <w:t>年相比，收、支总计各增加</w:t>
      </w:r>
      <w:r>
        <w:rPr>
          <w:rFonts w:eastAsia="仿宋" w:hint="eastAsia"/>
          <w:sz w:val="32"/>
          <w:szCs w:val="32"/>
        </w:rPr>
        <w:t>251.73</w:t>
      </w:r>
      <w:r>
        <w:rPr>
          <w:rFonts w:eastAsia="仿宋"/>
          <w:sz w:val="32"/>
          <w:szCs w:val="32"/>
        </w:rPr>
        <w:t>万元，增长</w:t>
      </w:r>
      <w:r>
        <w:rPr>
          <w:rFonts w:eastAsia="仿宋" w:hint="eastAsia"/>
          <w:sz w:val="32"/>
          <w:szCs w:val="32"/>
        </w:rPr>
        <w:t>32.46</w:t>
      </w:r>
      <w:r>
        <w:rPr>
          <w:rFonts w:eastAsia="仿宋"/>
          <w:sz w:val="32"/>
          <w:szCs w:val="32"/>
        </w:rPr>
        <w:t>%。</w:t>
      </w:r>
      <w:r>
        <w:rPr>
          <w:rFonts w:eastAsia="仿宋_GB2312"/>
          <w:sz w:val="32"/>
        </w:rPr>
        <w:t>原因</w:t>
      </w:r>
      <w:r>
        <w:rPr>
          <w:rFonts w:eastAsia="仿宋_GB2312" w:hint="eastAsia"/>
          <w:sz w:val="32"/>
        </w:rPr>
        <w:t>：</w:t>
      </w:r>
      <w:r>
        <w:rPr>
          <w:rFonts w:eastAsia="仿宋_GB2312"/>
          <w:sz w:val="32"/>
          <w:szCs w:val="32"/>
        </w:rPr>
        <w:t>一是</w:t>
      </w:r>
      <w:r>
        <w:rPr>
          <w:rFonts w:eastAsia="仿宋_GB2312" w:hint="eastAsia"/>
          <w:sz w:val="32"/>
          <w:szCs w:val="32"/>
        </w:rPr>
        <w:t>在职人员</w:t>
      </w:r>
      <w:r>
        <w:rPr>
          <w:rFonts w:eastAsia="仿宋_GB2312"/>
          <w:sz w:val="32"/>
          <w:szCs w:val="32"/>
        </w:rPr>
        <w:t>职务晋级晋档，</w:t>
      </w:r>
      <w:r>
        <w:rPr>
          <w:rFonts w:eastAsia="仿宋_GB2312"/>
          <w:color w:val="000000"/>
          <w:sz w:val="32"/>
          <w:szCs w:val="32"/>
        </w:rPr>
        <w:t>人员经费</w:t>
      </w:r>
      <w:r>
        <w:rPr>
          <w:rFonts w:eastAsia="仿宋_GB2312" w:hint="eastAsia"/>
          <w:color w:val="000000"/>
          <w:sz w:val="32"/>
          <w:szCs w:val="32"/>
        </w:rPr>
        <w:t>增加</w:t>
      </w:r>
      <w:r>
        <w:rPr>
          <w:rFonts w:eastAsia="仿宋_GB2312"/>
          <w:color w:val="000000"/>
          <w:sz w:val="32"/>
          <w:szCs w:val="32"/>
        </w:rPr>
        <w:t>79.68万元，二是新增行政退休人员经费18.18万元，三是医保信息化建设项目经费</w:t>
      </w:r>
      <w:r>
        <w:rPr>
          <w:rFonts w:eastAsia="仿宋_GB2312" w:hint="eastAsia"/>
          <w:color w:val="000000"/>
          <w:sz w:val="32"/>
          <w:szCs w:val="32"/>
        </w:rPr>
        <w:t>增加</w:t>
      </w:r>
      <w:r>
        <w:rPr>
          <w:rFonts w:eastAsia="仿宋_GB2312"/>
          <w:color w:val="000000"/>
          <w:sz w:val="32"/>
          <w:szCs w:val="32"/>
        </w:rPr>
        <w:t>172.67万元</w:t>
      </w:r>
      <w:r>
        <w:rPr>
          <w:rFonts w:eastAsia="仿宋_GB2312"/>
          <w:sz w:val="32"/>
        </w:rPr>
        <w:t>。</w:t>
      </w:r>
    </w:p>
    <w:p>
      <w:pPr>
        <w:ind w:left="1280" w:hangingChars="400" w:hanging="1280"/>
        <w:jc w:val="left"/>
        <w:rPr>
          <w:rFonts w:eastAsia="仿宋_GB2312"/>
          <w:color w:val="000000"/>
          <w:sz w:val="32"/>
          <w:szCs w:val="32"/>
        </w:rPr>
      </w:pPr>
      <w:r>
        <w:rPr>
          <w:rFonts w:eastAsia="仿宋_GB2312"/>
          <w:color w:val="000000"/>
          <w:sz w:val="32"/>
          <w:szCs w:val="32"/>
        </w:rPr>
        <w:object>
          <v:shapetype id="_x0000_t75" coordsize="21600,2160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type="#_x0000_t75" filled="f" stroked="f" style="position:absolute;margin-left:84.9pt;margin-top:0.55pt;width:250.2pt;height:204.6pt;z-index:28;mso-position-horizontal:absolute;mso-position-vertical:absolute;" o:ole="">
            <v:stroke color="#000000"/>
            <v:imagedata r:id="rId5" o:title="image1"/>
            <o:lock aspectratio="t"/>
            <w10:wrap type="square" side="right"/>
          </v:shape>
          <o:OLEObject Type="Embed" ProgID="Package" ShapeID="_x0000_i1" DrawAspect="Content" ObjectID="_1393063351" r:id="rId6"/>
        </w:object>
      </w:r>
      <w:r>
        <w:rPr>
          <w:rFonts w:eastAsia="仿宋_GB2312"/>
          <w:color w:val="000000"/>
          <w:sz w:val="32"/>
          <w:szCs w:val="32"/>
        </w:rPr>
        <w:br w:type="textWrapping" w:clear="all"/>
      </w:r>
      <w:bookmarkStart w:id="37" w:name="_Toc82085533"/>
      <w:bookmarkStart w:id="38" w:name="_Toc15377206"/>
      <w:bookmarkStart w:id="39" w:name="_Toc15396604"/>
      <w:bookmarkStart w:id="40" w:name="_Toc82085420"/>
      <w:r>
        <w:rPr>
          <w:rFonts w:eastAsia="仿宋_GB2312"/>
          <w:color w:val="000000"/>
          <w:sz w:val="32"/>
          <w:szCs w:val="32"/>
        </w:rPr>
        <w:t>（图1：收、支决算总计变动情况图）</w:t>
      </w:r>
    </w:p>
    <w:p>
      <w:pPr>
        <w:tabs>
          <w:tab w:val="right" w:pos="8844"/>
        </w:tabs>
        <w:ind w:firstLineChars="200" w:firstLine="640"/>
        <w:outlineLvl w:val="1"/>
        <w:rPr>
          <w:rFonts w:eastAsia="黑体"/>
          <w:color w:val="000000"/>
          <w:sz w:val="32"/>
          <w:szCs w:val="32"/>
        </w:rPr>
      </w:pPr>
      <w:bookmarkStart w:id="41" w:name="_Toc145437062"/>
      <w:bookmarkStart w:id="42" w:name="_Toc113574858"/>
      <w:bookmarkStart w:id="43" w:name="_Toc145434815"/>
      <w:r>
        <w:rPr>
          <w:rFonts w:eastAsia="黑体"/>
          <w:color w:val="000000"/>
          <w:sz w:val="32"/>
          <w:szCs w:val="32"/>
        </w:rPr>
        <w:t>二、收入决算情况说明</w:t>
      </w:r>
      <w:bookmarkEnd w:id="37"/>
      <w:bookmarkEnd w:id="38"/>
      <w:bookmarkEnd w:id="39"/>
      <w:bookmarkEnd w:id="40"/>
      <w:bookmarkEnd w:id="41"/>
      <w:bookmarkEnd w:id="42"/>
      <w:bookmarkEnd w:id="43"/>
      <w:r>
        <w:rPr>
          <w:rFonts w:eastAsia="黑体"/>
          <w:color w:val="000000"/>
          <w:sz w:val="32"/>
          <w:szCs w:val="32"/>
        </w:rPr>
        <w:tab/>
      </w:r>
    </w:p>
    <w:p>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3</w:t>
      </w:r>
      <w:r>
        <w:rPr>
          <w:rFonts w:eastAsia="仿宋_GB2312"/>
          <w:color w:val="000000"/>
          <w:sz w:val="32"/>
          <w:szCs w:val="32"/>
        </w:rPr>
        <w:t>年本年收入合计</w:t>
      </w:r>
      <w:r>
        <w:rPr>
          <w:rFonts w:eastAsia="仿宋_GB2312" w:hint="eastAsia"/>
          <w:color w:val="000000"/>
          <w:sz w:val="32"/>
          <w:szCs w:val="32"/>
        </w:rPr>
        <w:t>1027.22</w:t>
      </w:r>
      <w:r>
        <w:rPr>
          <w:rFonts w:eastAsia="仿宋_GB2312"/>
          <w:color w:val="000000"/>
          <w:sz w:val="32"/>
          <w:szCs w:val="32"/>
        </w:rPr>
        <w:t>万元，其中：一般公共预算财政拨款收入</w:t>
      </w:r>
      <w:r>
        <w:rPr>
          <w:rFonts w:eastAsia="仿宋_GB2312" w:hint="eastAsia"/>
          <w:color w:val="000000"/>
          <w:sz w:val="32"/>
          <w:szCs w:val="32"/>
        </w:rPr>
        <w:t>1027.22</w:t>
      </w:r>
      <w:r>
        <w:rPr>
          <w:rFonts w:eastAsia="仿宋_GB2312"/>
          <w:color w:val="000000"/>
          <w:sz w:val="32"/>
          <w:szCs w:val="32"/>
        </w:rPr>
        <w:t>万元，占100%；政府性基金预算财政拨款收入0万元，占0%；</w:t>
      </w:r>
      <w:r>
        <w:rPr>
          <w:rFonts w:eastAsia="仿宋_GB2312"/>
          <w:sz w:val="32"/>
          <w:szCs w:val="32"/>
        </w:rPr>
        <w:t>国有资本经营预算财政拨款收入0万元，占0%；</w:t>
      </w:r>
      <w:r>
        <w:rPr>
          <w:rFonts w:eastAsia="仿宋_GB2312"/>
          <w:color w:val="000000"/>
          <w:sz w:val="32"/>
          <w:szCs w:val="32"/>
        </w:rPr>
        <w:t>上级补助收入0万元，占0%；事业收入0万元，占0%；经营收入0万元，占0%；附属单位上缴收入0万元，占0%；其他收入0万元，占0%。</w:t>
      </w:r>
    </w:p>
    <w:p>
      <w:pPr>
        <w:jc w:val="center"/>
        <w:rPr>
          <w:rFonts w:eastAsia="仿宋_GB2312"/>
          <w:color w:val="000000"/>
          <w:sz w:val="32"/>
          <w:szCs w:val="32"/>
        </w:rPr>
      </w:pPr>
      <w:bookmarkStart w:id="44" w:name="_MON_1723881745"/>
      <w:bookmarkEnd w:id="44"/>
      <w:r>
        <w:rPr>
          <w:rFonts w:eastAsia="仿宋_GB2312"/>
          <w:color w:val="000000"/>
          <w:sz w:val="32"/>
          <w:szCs w:val="32"/>
        </w:rPr>
        <w:object>
          <v:shape id="_x0000_i2" type="#_x0000_t75" filled="f" stroked="f" style="width:273.75pt;height:182.25pt;" o:ole="">
            <v:stroke color="#000000"/>
            <v:imagedata r:id="rId7" o:title="image2" cropbottom="-53f"/>
            <o:lock aspectratio="t"/>
            <w10:anchorLock/>
          </v:shape>
          <o:OLEObject Type="Embed" ProgID="Package" ShapeID="_x0000_i2" DrawAspect="Content" ObjectID="_1393063352" r:id="rId8"/>
        </w:object>
      </w:r>
    </w:p>
    <w:p>
      <w:pPr>
        <w:spacing w:line="578" w:lineRule="exact"/>
        <w:jc w:val="center"/>
        <w:rPr>
          <w:rFonts w:eastAsia="仿宋_GB2312"/>
          <w:color w:val="000000"/>
          <w:sz w:val="32"/>
          <w:szCs w:val="32"/>
        </w:rPr>
      </w:pPr>
      <w:r>
        <w:rPr>
          <w:rFonts w:eastAsia="仿宋_GB2312"/>
          <w:color w:val="000000"/>
          <w:sz w:val="32"/>
          <w:szCs w:val="32"/>
        </w:rPr>
        <w:t>（图2</w:t>
      </w:r>
      <w:bookmarkStart w:id="45" w:name="_Toc82085421"/>
      <w:bookmarkStart w:id="46" w:name="_Toc15377207"/>
      <w:bookmarkStart w:id="47" w:name="_Toc15396605"/>
      <w:bookmarkStart w:id="48" w:name="_Toc82085534"/>
      <w:r>
        <w:rPr>
          <w:rFonts w:eastAsia="仿宋_GB2312"/>
          <w:color w:val="000000"/>
          <w:sz w:val="32"/>
          <w:szCs w:val="32"/>
        </w:rPr>
        <w:t>：收入决算结构图）</w:t>
      </w:r>
    </w:p>
    <w:p>
      <w:pPr>
        <w:ind w:firstLineChars="200" w:firstLine="640"/>
        <w:outlineLvl w:val="1"/>
        <w:rPr>
          <w:rFonts w:eastAsia="黑体"/>
          <w:color w:val="000000"/>
          <w:sz w:val="32"/>
          <w:szCs w:val="32"/>
        </w:rPr>
      </w:pPr>
      <w:bookmarkStart w:id="49" w:name="_Toc145437063"/>
      <w:bookmarkStart w:id="50" w:name="_Toc113574859"/>
      <w:bookmarkStart w:id="51" w:name="_Toc144464237"/>
      <w:bookmarkStart w:id="52" w:name="_Toc145434816"/>
      <w:r>
        <w:rPr>
          <w:rFonts w:eastAsia="黑体"/>
          <w:color w:val="000000"/>
          <w:sz w:val="32"/>
          <w:szCs w:val="32"/>
        </w:rPr>
        <w:t>三、支出决算情况说明</w:t>
      </w:r>
      <w:bookmarkEnd w:id="45"/>
      <w:bookmarkEnd w:id="46"/>
      <w:bookmarkEnd w:id="47"/>
      <w:bookmarkEnd w:id="48"/>
      <w:bookmarkEnd w:id="49"/>
      <w:bookmarkEnd w:id="50"/>
      <w:bookmarkEnd w:id="51"/>
      <w:bookmarkEnd w:id="52"/>
    </w:p>
    <w:p>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3</w:t>
      </w:r>
      <w:r>
        <w:rPr>
          <w:rFonts w:eastAsia="仿宋_GB2312"/>
          <w:color w:val="000000"/>
          <w:sz w:val="32"/>
          <w:szCs w:val="32"/>
        </w:rPr>
        <w:t>年本年支出合计</w:t>
      </w:r>
      <w:r>
        <w:rPr>
          <w:rFonts w:eastAsia="仿宋_GB2312" w:hint="eastAsia"/>
          <w:color w:val="000000"/>
          <w:sz w:val="32"/>
          <w:szCs w:val="32"/>
        </w:rPr>
        <w:t>1027.22</w:t>
      </w:r>
      <w:r>
        <w:rPr>
          <w:rFonts w:eastAsia="仿宋_GB2312"/>
          <w:color w:val="000000"/>
          <w:sz w:val="32"/>
          <w:szCs w:val="32"/>
        </w:rPr>
        <w:t>万元，其中：基本支出</w:t>
      </w:r>
      <w:r>
        <w:rPr>
          <w:rFonts w:eastAsia="仿宋_GB2312" w:hint="eastAsia"/>
          <w:color w:val="000000"/>
          <w:sz w:val="32"/>
          <w:szCs w:val="32"/>
        </w:rPr>
        <w:t>522.39</w:t>
      </w:r>
      <w:r>
        <w:rPr>
          <w:rFonts w:eastAsia="仿宋_GB2312"/>
          <w:color w:val="000000"/>
          <w:sz w:val="32"/>
          <w:szCs w:val="32"/>
        </w:rPr>
        <w:t>万元，占</w:t>
      </w:r>
      <w:r>
        <w:rPr>
          <w:rFonts w:eastAsia="仿宋_GB2312" w:hint="eastAsia"/>
          <w:color w:val="000000"/>
          <w:sz w:val="32"/>
          <w:szCs w:val="32"/>
        </w:rPr>
        <w:t>50.85</w:t>
      </w:r>
      <w:r>
        <w:rPr>
          <w:rFonts w:eastAsia="仿宋_GB2312"/>
          <w:color w:val="000000"/>
          <w:sz w:val="32"/>
          <w:szCs w:val="32"/>
        </w:rPr>
        <w:t>%；项目支出</w:t>
      </w:r>
      <w:r>
        <w:rPr>
          <w:rFonts w:eastAsia="仿宋_GB2312" w:hint="eastAsia"/>
          <w:color w:val="000000"/>
          <w:sz w:val="32"/>
          <w:szCs w:val="32"/>
        </w:rPr>
        <w:t>504.84</w:t>
      </w:r>
      <w:r>
        <w:rPr>
          <w:rFonts w:eastAsia="仿宋_GB2312"/>
          <w:color w:val="000000"/>
          <w:sz w:val="32"/>
          <w:szCs w:val="32"/>
        </w:rPr>
        <w:t>万元，占</w:t>
      </w:r>
      <w:r>
        <w:rPr>
          <w:rFonts w:eastAsia="仿宋_GB2312" w:hint="eastAsia"/>
          <w:color w:val="000000"/>
          <w:sz w:val="32"/>
          <w:szCs w:val="32"/>
        </w:rPr>
        <w:t>49.15</w:t>
      </w:r>
      <w:r>
        <w:rPr>
          <w:rFonts w:eastAsia="仿宋_GB2312"/>
          <w:color w:val="000000"/>
          <w:sz w:val="32"/>
          <w:szCs w:val="32"/>
        </w:rPr>
        <w:t>%；上缴上级支出0万元，占0%；经营支出0万元，占0%；对附属单位补助支出0万元，占0%。</w:t>
      </w:r>
    </w:p>
    <w:p>
      <w:pPr>
        <w:jc w:val="left"/>
        <w:rPr>
          <w:rFonts w:eastAsia="仿宋_GB2312"/>
          <w:color w:val="000000"/>
          <w:sz w:val="32"/>
          <w:szCs w:val="32"/>
          <w:shd w:val="pct10" w:color="auto" w:fill="FFFFFF"/>
        </w:rPr>
      </w:pPr>
      <w:bookmarkStart w:id="53" w:name="_MON_1723881722"/>
      <w:bookmarkEnd w:id="53"/>
      <w:r>
        <w:rPr>
          <w:rFonts w:eastAsia="仿宋_GB2312"/>
          <w:color w:val="000000"/>
          <w:sz w:val="32"/>
          <w:szCs w:val="32"/>
        </w:rPr>
        <w:object>
          <v:shape id="_x0000_i3" type="#_x0000_t75" filled="f" stroked="f" style="position:absolute;margin-left:82.85pt;margin-top:0.45000002pt;width:262.05pt;height:181.2pt;z-index:30;mso-position-horizontal:absolute;mso-position-vertical:absolute;" o:ole="">
            <v:stroke color="#000000"/>
            <v:imagedata r:id="rId9" o:title="image3" cropbottom="-53f"/>
            <o:lock aspectratio="t"/>
            <w10:wrap type="square" side="right"/>
          </v:shape>
          <o:OLEObject Type="Embed" ProgID="Package" ShapeID="_x0000_i3" DrawAspect="Content" ObjectID="_1393063353" r:id="rId10"/>
        </w:object>
      </w:r>
      <w:r>
        <w:rPr>
          <w:rFonts w:eastAsia="仿宋_GB2312"/>
          <w:color w:val="000000"/>
          <w:sz w:val="32"/>
          <w:szCs w:val="32"/>
          <w:shd w:val="pct10" w:color="auto" w:fill="FFFFFF"/>
        </w:rPr>
        <w:br w:type="textWrapping" w:clear="all"/>
      </w:r>
    </w:p>
    <w:p>
      <w:pPr>
        <w:spacing w:line="578" w:lineRule="exact"/>
        <w:jc w:val="center"/>
        <w:rPr>
          <w:rFonts w:eastAsia="仿宋_GB2312"/>
          <w:color w:val="000000"/>
          <w:sz w:val="32"/>
          <w:szCs w:val="32"/>
        </w:rPr>
      </w:pPr>
      <w:r>
        <w:rPr>
          <w:rFonts w:eastAsia="仿宋_GB2312"/>
          <w:color w:val="000000"/>
          <w:sz w:val="32"/>
          <w:szCs w:val="32"/>
        </w:rPr>
        <w:t>（图3：支出决算结构图）</w:t>
      </w:r>
    </w:p>
    <w:p>
      <w:pPr>
        <w:ind w:firstLineChars="200" w:firstLine="640"/>
        <w:outlineLvl w:val="1"/>
        <w:rPr>
          <w:rFonts w:eastAsia="黑体"/>
          <w:color w:val="000000"/>
          <w:sz w:val="32"/>
          <w:szCs w:val="32"/>
        </w:rPr>
      </w:pPr>
      <w:bookmarkStart w:id="54" w:name="_Toc15396606"/>
      <w:bookmarkStart w:id="55" w:name="_Toc15377208"/>
      <w:bookmarkStart w:id="56" w:name="_Toc82085422"/>
      <w:bookmarkStart w:id="57" w:name="_Toc82085535"/>
      <w:bookmarkStart w:id="58" w:name="_Toc145437064"/>
      <w:bookmarkStart w:id="59" w:name="_Toc144464238"/>
      <w:bookmarkStart w:id="60" w:name="_Toc113574860"/>
      <w:bookmarkStart w:id="61" w:name="_Toc145434817"/>
      <w:r>
        <w:rPr>
          <w:rFonts w:eastAsia="黑体"/>
          <w:color w:val="000000"/>
          <w:sz w:val="32"/>
          <w:szCs w:val="32"/>
        </w:rPr>
        <w:t>四、财政拨款收入支出决算总体情况说明</w:t>
      </w:r>
      <w:bookmarkEnd w:id="54"/>
      <w:bookmarkEnd w:id="55"/>
      <w:bookmarkEnd w:id="56"/>
      <w:bookmarkEnd w:id="57"/>
      <w:bookmarkEnd w:id="58"/>
      <w:bookmarkEnd w:id="59"/>
      <w:bookmarkEnd w:id="60"/>
      <w:bookmarkEnd w:id="61"/>
    </w:p>
    <w:p>
      <w:pPr>
        <w:spacing w:line="360" w:lineRule="auto"/>
        <w:ind w:firstLineChars="196" w:firstLine="627"/>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3</w:t>
      </w:r>
      <w:r>
        <w:rPr>
          <w:rFonts w:eastAsia="仿宋_GB2312"/>
          <w:color w:val="000000"/>
          <w:sz w:val="32"/>
          <w:szCs w:val="32"/>
        </w:rPr>
        <w:t>年财政拨款收、支总计</w:t>
      </w:r>
      <w:r>
        <w:rPr>
          <w:rFonts w:eastAsia="仿宋_GB2312" w:hint="eastAsia"/>
          <w:color w:val="000000"/>
          <w:sz w:val="32"/>
          <w:szCs w:val="32"/>
        </w:rPr>
        <w:t>1027.22</w:t>
      </w:r>
      <w:r>
        <w:rPr>
          <w:rFonts w:eastAsia="仿宋_GB2312"/>
          <w:color w:val="000000"/>
          <w:sz w:val="32"/>
          <w:szCs w:val="32"/>
        </w:rPr>
        <w:t>万元。与202</w:t>
      </w:r>
      <w:r>
        <w:rPr>
          <w:rFonts w:eastAsia="仿宋_GB2312" w:hint="eastAsia"/>
          <w:color w:val="000000"/>
          <w:sz w:val="32"/>
          <w:szCs w:val="32"/>
        </w:rPr>
        <w:t>2</w:t>
      </w:r>
      <w:r>
        <w:rPr>
          <w:rFonts w:eastAsia="仿宋_GB2312"/>
          <w:color w:val="000000"/>
          <w:sz w:val="32"/>
          <w:szCs w:val="32"/>
        </w:rPr>
        <w:t>年相比，财政拨款收、支总计各增加</w:t>
      </w:r>
      <w:r>
        <w:rPr>
          <w:rFonts w:eastAsia="仿宋" w:hint="eastAsia"/>
          <w:sz w:val="32"/>
          <w:szCs w:val="32"/>
        </w:rPr>
        <w:t>251.73</w:t>
      </w:r>
      <w:r>
        <w:rPr>
          <w:rFonts w:eastAsia="仿宋"/>
          <w:sz w:val="32"/>
          <w:szCs w:val="32"/>
        </w:rPr>
        <w:t>万元，增长</w:t>
      </w:r>
      <w:r>
        <w:rPr>
          <w:rFonts w:eastAsia="仿宋" w:hint="eastAsia"/>
          <w:sz w:val="32"/>
          <w:szCs w:val="32"/>
        </w:rPr>
        <w:t>32.46</w:t>
      </w:r>
      <w:r>
        <w:rPr>
          <w:rFonts w:eastAsia="仿宋"/>
          <w:sz w:val="32"/>
          <w:szCs w:val="32"/>
        </w:rPr>
        <w:t>%。</w:t>
      </w:r>
      <w:r>
        <w:rPr>
          <w:rFonts w:eastAsia="仿宋_GB2312"/>
          <w:sz w:val="32"/>
        </w:rPr>
        <w:t>，原因</w:t>
      </w:r>
      <w:r>
        <w:rPr>
          <w:rFonts w:eastAsia="仿宋_GB2312" w:hint="eastAsia"/>
          <w:sz w:val="32"/>
        </w:rPr>
        <w:t>：</w:t>
      </w:r>
      <w:r>
        <w:rPr>
          <w:rFonts w:eastAsia="仿宋_GB2312"/>
          <w:sz w:val="32"/>
          <w:szCs w:val="32"/>
        </w:rPr>
        <w:t>一是</w:t>
      </w:r>
      <w:r>
        <w:rPr>
          <w:rFonts w:eastAsia="仿宋_GB2312" w:hint="eastAsia"/>
          <w:sz w:val="32"/>
          <w:szCs w:val="32"/>
        </w:rPr>
        <w:t>在职人员</w:t>
      </w:r>
      <w:r>
        <w:rPr>
          <w:rFonts w:eastAsia="仿宋_GB2312"/>
          <w:sz w:val="32"/>
          <w:szCs w:val="32"/>
        </w:rPr>
        <w:t>职务晋级晋档，</w:t>
      </w:r>
      <w:r>
        <w:rPr>
          <w:rFonts w:eastAsia="仿宋_GB2312"/>
          <w:color w:val="000000"/>
          <w:sz w:val="32"/>
          <w:szCs w:val="32"/>
        </w:rPr>
        <w:t>人员经费</w:t>
      </w:r>
      <w:r>
        <w:rPr>
          <w:rFonts w:eastAsia="仿宋_GB2312" w:hint="eastAsia"/>
          <w:color w:val="000000"/>
          <w:sz w:val="32"/>
          <w:szCs w:val="32"/>
        </w:rPr>
        <w:t>增加</w:t>
      </w:r>
      <w:r>
        <w:rPr>
          <w:rFonts w:eastAsia="仿宋_GB2312"/>
          <w:color w:val="000000"/>
          <w:sz w:val="32"/>
          <w:szCs w:val="32"/>
        </w:rPr>
        <w:t>79.68万元，二是新增行政退休人员经费18.18万元，三是医保信息化建设项目经费</w:t>
      </w:r>
      <w:r>
        <w:rPr>
          <w:rFonts w:eastAsia="仿宋_GB2312" w:hint="eastAsia"/>
          <w:color w:val="000000"/>
          <w:sz w:val="32"/>
          <w:szCs w:val="32"/>
        </w:rPr>
        <w:t>增加</w:t>
      </w:r>
      <w:r>
        <w:rPr>
          <w:rFonts w:eastAsia="仿宋_GB2312"/>
          <w:color w:val="000000"/>
          <w:sz w:val="32"/>
          <w:szCs w:val="32"/>
        </w:rPr>
        <w:t>172.67万元</w:t>
      </w:r>
      <w:r>
        <w:rPr>
          <w:rFonts w:eastAsia="仿宋_GB2312"/>
          <w:sz w:val="32"/>
        </w:rPr>
        <w:t>。</w:t>
      </w:r>
    </w:p>
    <w:p>
      <w:pPr>
        <w:spacing w:line="578" w:lineRule="exact"/>
        <w:ind w:firstLineChars="200" w:firstLine="640"/>
        <w:rPr>
          <w:rFonts w:eastAsia="仿宋_GB2312"/>
          <w:color w:val="000000"/>
          <w:sz w:val="32"/>
          <w:szCs w:val="32"/>
        </w:rPr>
      </w:pPr>
    </w:p>
    <w:p>
      <w:pPr>
        <w:jc w:val="center"/>
        <w:rPr>
          <w:rFonts w:eastAsia="仿宋_GB2312"/>
          <w:color w:val="000000"/>
          <w:sz w:val="32"/>
          <w:szCs w:val="32"/>
        </w:rPr>
      </w:pPr>
      <w:bookmarkStart w:id="62" w:name="_MON_1723882531"/>
      <w:bookmarkEnd w:id="62"/>
      <w:r>
        <w:rPr>
          <w:rFonts w:eastAsia="仿宋"/>
          <w:color w:val="000000"/>
          <w:sz w:val="32"/>
          <w:szCs w:val="32"/>
        </w:rPr>
        <w:object>
          <v:shape id="_x0000_i4" type="#_x0000_t75" filled="f" stroked="f" style="width:247.5pt;height:187.5pt;" o:ole="">
            <v:stroke color="#000000"/>
            <v:imagedata r:id="rId11" o:title="image4" cropbottom="-73f"/>
            <o:lock aspectratio="t"/>
            <w10:anchorLock/>
          </v:shape>
          <o:OLEObject Type="Embed" ProgID="Package" ShapeID="_x0000_i4" DrawAspect="Content" ObjectID="_1393063354" r:id="rId12"/>
        </w:object>
      </w:r>
    </w:p>
    <w:p>
      <w:pPr>
        <w:spacing w:line="578" w:lineRule="exact"/>
        <w:ind w:firstLineChars="200" w:firstLine="640"/>
        <w:rPr>
          <w:rFonts w:eastAsia="仿宋_GB2312"/>
          <w:color w:val="000000"/>
          <w:sz w:val="32"/>
          <w:szCs w:val="32"/>
        </w:rPr>
      </w:pPr>
      <w:r>
        <w:rPr>
          <w:rFonts w:eastAsia="仿宋_GB2312"/>
          <w:color w:val="000000"/>
          <w:sz w:val="32"/>
          <w:szCs w:val="32"/>
        </w:rPr>
        <w:t>（图4：财政拨款收、支决算总计变动情况）</w:t>
      </w:r>
    </w:p>
    <w:p>
      <w:pPr>
        <w:spacing w:line="578" w:lineRule="exact"/>
        <w:ind w:firstLineChars="200" w:firstLine="640"/>
        <w:rPr>
          <w:rFonts w:eastAsia="仿宋_GB2312"/>
          <w:color w:val="000000"/>
          <w:sz w:val="32"/>
          <w:szCs w:val="32"/>
        </w:rPr>
      </w:pPr>
    </w:p>
    <w:p>
      <w:pPr>
        <w:ind w:firstLineChars="200" w:firstLine="640"/>
        <w:outlineLvl w:val="1"/>
        <w:rPr>
          <w:rFonts w:eastAsia="黑体"/>
          <w:color w:val="000000"/>
          <w:sz w:val="32"/>
          <w:szCs w:val="32"/>
        </w:rPr>
      </w:pPr>
      <w:bookmarkStart w:id="63" w:name="_Toc82085423"/>
      <w:bookmarkStart w:id="64" w:name="_Toc15396607"/>
      <w:bookmarkStart w:id="65" w:name="_Toc145437065"/>
      <w:bookmarkStart w:id="66" w:name="_Toc145434818"/>
      <w:bookmarkStart w:id="67" w:name="_Toc144464239"/>
      <w:bookmarkStart w:id="68" w:name="_Toc113574861"/>
      <w:bookmarkStart w:id="69" w:name="_Toc15377209"/>
      <w:bookmarkStart w:id="70" w:name="_Toc82085536"/>
      <w:r>
        <w:rPr>
          <w:rFonts w:eastAsia="黑体"/>
          <w:color w:val="000000"/>
          <w:sz w:val="32"/>
          <w:szCs w:val="32"/>
        </w:rPr>
        <w:t>五、一般公共预算财政拨款支出决算情况说明</w:t>
      </w:r>
      <w:bookmarkEnd w:id="63"/>
      <w:bookmarkEnd w:id="64"/>
      <w:bookmarkEnd w:id="65"/>
      <w:bookmarkEnd w:id="66"/>
      <w:bookmarkEnd w:id="67"/>
      <w:bookmarkEnd w:id="68"/>
      <w:bookmarkEnd w:id="69"/>
      <w:bookmarkEnd w:id="70"/>
    </w:p>
    <w:p>
      <w:pPr>
        <w:spacing w:line="578" w:lineRule="exact"/>
        <w:ind w:firstLineChars="200" w:firstLine="640"/>
        <w:rPr>
          <w:rFonts w:eastAsia="楷体_GB2312"/>
          <w:b/>
          <w:color w:val="000000"/>
          <w:sz w:val="32"/>
          <w:szCs w:val="32"/>
        </w:rPr>
      </w:pPr>
      <w:bookmarkStart w:id="71" w:name="_Toc15377210"/>
      <w:r>
        <w:rPr>
          <w:rFonts w:eastAsia="楷体_GB2312"/>
          <w:b/>
          <w:color w:val="000000"/>
          <w:sz w:val="32"/>
          <w:szCs w:val="32"/>
        </w:rPr>
        <w:t>（一）一般公共预算财政拨款支出决算总体情况</w:t>
      </w:r>
      <w:bookmarkEnd w:id="71"/>
    </w:p>
    <w:p>
      <w:pPr>
        <w:spacing w:line="360" w:lineRule="auto"/>
        <w:ind w:firstLineChars="196" w:firstLine="627"/>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3</w:t>
      </w:r>
      <w:r>
        <w:rPr>
          <w:rFonts w:eastAsia="仿宋_GB2312"/>
          <w:color w:val="000000"/>
          <w:sz w:val="32"/>
          <w:szCs w:val="32"/>
        </w:rPr>
        <w:t>年一般公共预算财政拨款支出</w:t>
      </w:r>
      <w:r>
        <w:rPr>
          <w:rFonts w:eastAsia="仿宋_GB2312" w:hint="eastAsia"/>
          <w:color w:val="000000"/>
          <w:sz w:val="32"/>
          <w:szCs w:val="32"/>
        </w:rPr>
        <w:t>1027.22</w:t>
      </w:r>
      <w:r>
        <w:rPr>
          <w:rFonts w:eastAsia="仿宋_GB2312"/>
          <w:color w:val="000000"/>
          <w:sz w:val="32"/>
          <w:szCs w:val="32"/>
        </w:rPr>
        <w:t>万元，占本年支出合计的100%。与202</w:t>
      </w:r>
      <w:r>
        <w:rPr>
          <w:rFonts w:eastAsia="仿宋_GB2312" w:hint="eastAsia"/>
          <w:color w:val="000000"/>
          <w:sz w:val="32"/>
          <w:szCs w:val="32"/>
        </w:rPr>
        <w:t>2</w:t>
      </w:r>
      <w:r>
        <w:rPr>
          <w:rFonts w:eastAsia="仿宋_GB2312"/>
          <w:color w:val="000000"/>
          <w:sz w:val="32"/>
          <w:szCs w:val="32"/>
        </w:rPr>
        <w:t>年相比，一般公共预算财政拨款增加</w:t>
      </w:r>
      <w:r>
        <w:rPr>
          <w:rFonts w:eastAsia="仿宋" w:hint="eastAsia"/>
          <w:sz w:val="32"/>
          <w:szCs w:val="32"/>
        </w:rPr>
        <w:t>251.73</w:t>
      </w:r>
      <w:r>
        <w:rPr>
          <w:rFonts w:eastAsia="仿宋"/>
          <w:sz w:val="32"/>
          <w:szCs w:val="32"/>
        </w:rPr>
        <w:t>万元，增长</w:t>
      </w:r>
      <w:r>
        <w:rPr>
          <w:rFonts w:eastAsia="仿宋" w:hint="eastAsia"/>
          <w:sz w:val="32"/>
          <w:szCs w:val="32"/>
        </w:rPr>
        <w:t>32.46</w:t>
      </w:r>
      <w:r>
        <w:rPr>
          <w:rFonts w:eastAsia="仿宋"/>
          <w:sz w:val="32"/>
          <w:szCs w:val="32"/>
        </w:rPr>
        <w:t>%。</w:t>
      </w:r>
      <w:r>
        <w:rPr>
          <w:rFonts w:eastAsia="仿宋_GB2312"/>
          <w:sz w:val="32"/>
        </w:rPr>
        <w:t>，原因</w:t>
      </w:r>
      <w:r>
        <w:rPr>
          <w:rFonts w:eastAsia="仿宋_GB2312" w:hint="eastAsia"/>
          <w:sz w:val="32"/>
        </w:rPr>
        <w:t>：</w:t>
      </w:r>
      <w:r>
        <w:rPr>
          <w:rFonts w:eastAsia="仿宋_GB2312"/>
          <w:sz w:val="32"/>
          <w:szCs w:val="32"/>
        </w:rPr>
        <w:t>一是</w:t>
      </w:r>
      <w:r>
        <w:rPr>
          <w:rFonts w:eastAsia="仿宋_GB2312" w:hint="eastAsia"/>
          <w:sz w:val="32"/>
          <w:szCs w:val="32"/>
        </w:rPr>
        <w:t>在职人员</w:t>
      </w:r>
      <w:r>
        <w:rPr>
          <w:rFonts w:eastAsia="仿宋_GB2312"/>
          <w:sz w:val="32"/>
          <w:szCs w:val="32"/>
        </w:rPr>
        <w:t>职务晋级晋档，</w:t>
      </w:r>
      <w:r>
        <w:rPr>
          <w:rFonts w:eastAsia="仿宋_GB2312"/>
          <w:color w:val="000000"/>
          <w:sz w:val="32"/>
          <w:szCs w:val="32"/>
        </w:rPr>
        <w:t>人员经费</w:t>
      </w:r>
      <w:r>
        <w:rPr>
          <w:rFonts w:eastAsia="仿宋_GB2312" w:hint="eastAsia"/>
          <w:color w:val="000000"/>
          <w:sz w:val="32"/>
          <w:szCs w:val="32"/>
        </w:rPr>
        <w:t>增加</w:t>
      </w:r>
      <w:r>
        <w:rPr>
          <w:rFonts w:eastAsia="仿宋_GB2312"/>
          <w:color w:val="000000"/>
          <w:sz w:val="32"/>
          <w:szCs w:val="32"/>
        </w:rPr>
        <w:t>79.68万元，二是新增行政退休人员经费18.18万元，三是医保信息化建设项目经费</w:t>
      </w:r>
      <w:r>
        <w:rPr>
          <w:rFonts w:eastAsia="仿宋_GB2312" w:hint="eastAsia"/>
          <w:color w:val="000000"/>
          <w:sz w:val="32"/>
          <w:szCs w:val="32"/>
        </w:rPr>
        <w:t>增加</w:t>
      </w:r>
      <w:r>
        <w:rPr>
          <w:rFonts w:eastAsia="仿宋_GB2312"/>
          <w:color w:val="000000"/>
          <w:sz w:val="32"/>
          <w:szCs w:val="32"/>
        </w:rPr>
        <w:t>172.67万元</w:t>
      </w:r>
      <w:r>
        <w:rPr>
          <w:rFonts w:eastAsia="仿宋_GB2312"/>
          <w:sz w:val="32"/>
        </w:rPr>
        <w:t>。</w:t>
      </w:r>
    </w:p>
    <w:p>
      <w:pPr>
        <w:jc w:val="center"/>
        <w:rPr>
          <w:rFonts w:eastAsia="仿宋_GB2312"/>
          <w:color w:val="000000"/>
          <w:sz w:val="32"/>
          <w:szCs w:val="32"/>
        </w:rPr>
      </w:pPr>
      <w:bookmarkStart w:id="72" w:name="_MON_1723882884"/>
      <w:bookmarkEnd w:id="72"/>
      <w:r>
        <w:rPr>
          <w:rFonts w:eastAsia="仿宋"/>
          <w:color w:val="000000"/>
          <w:sz w:val="32"/>
          <w:szCs w:val="32"/>
        </w:rPr>
        <w:object>
          <v:shape id="_x0000_i5" type="#_x0000_t75" filled="f" stroked="f" style="width:225.75pt;height:189.75pt;" o:ole="">
            <v:stroke color="#000000"/>
            <v:imagedata r:id="rId13" o:title="image5" cropbottom="-34f"/>
            <o:lock aspectratio="t"/>
            <w10:anchorLock/>
          </v:shape>
          <o:OLEObject Type="Embed" ProgID="Package" ShapeID="_x0000_i5" DrawAspect="Content" ObjectID="_1393063355" r:id="rId14"/>
        </w:object>
      </w:r>
    </w:p>
    <w:p>
      <w:pPr>
        <w:spacing w:line="578" w:lineRule="exact"/>
        <w:jc w:val="center"/>
        <w:rPr>
          <w:rFonts w:eastAsia="仿宋_GB2312"/>
          <w:color w:val="000000"/>
          <w:spacing w:val="-10"/>
          <w:sz w:val="32"/>
          <w:szCs w:val="32"/>
        </w:rPr>
      </w:pPr>
      <w:r>
        <w:rPr>
          <w:rFonts w:eastAsia="仿宋_GB2312"/>
          <w:color w:val="000000"/>
          <w:spacing w:val="-10"/>
          <w:sz w:val="32"/>
          <w:szCs w:val="32"/>
        </w:rPr>
        <w:t>（图5：一般公共预算财政拨款支出决算变动情况）</w:t>
      </w:r>
    </w:p>
    <w:p>
      <w:pPr>
        <w:spacing w:line="578" w:lineRule="exact"/>
        <w:ind w:firstLineChars="200" w:firstLine="640"/>
        <w:rPr>
          <w:rFonts w:eastAsia="楷体_GB2312"/>
          <w:b/>
          <w:color w:val="000000"/>
          <w:sz w:val="32"/>
          <w:szCs w:val="32"/>
        </w:rPr>
      </w:pPr>
      <w:bookmarkStart w:id="73" w:name="_Toc15377211"/>
    </w:p>
    <w:p>
      <w:pPr>
        <w:spacing w:line="578" w:lineRule="exact"/>
        <w:ind w:firstLineChars="200" w:firstLine="640"/>
        <w:rPr>
          <w:rFonts w:eastAsia="楷体_GB2312"/>
          <w:b/>
          <w:color w:val="000000"/>
          <w:sz w:val="32"/>
          <w:szCs w:val="32"/>
        </w:rPr>
      </w:pPr>
      <w:r>
        <w:rPr>
          <w:rFonts w:eastAsia="楷体_GB2312"/>
          <w:b/>
          <w:color w:val="000000"/>
          <w:sz w:val="32"/>
          <w:szCs w:val="32"/>
        </w:rPr>
        <w:t>（二）一般公共预算财政拨款支出决算结构情况</w:t>
      </w:r>
      <w:bookmarkEnd w:id="73"/>
    </w:p>
    <w:p>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3</w:t>
      </w:r>
      <w:r>
        <w:rPr>
          <w:rFonts w:eastAsia="仿宋_GB2312"/>
          <w:color w:val="000000"/>
          <w:sz w:val="32"/>
          <w:szCs w:val="32"/>
        </w:rPr>
        <w:t>年一般公共预算财政拨款支出</w:t>
      </w:r>
      <w:r>
        <w:rPr>
          <w:rFonts w:eastAsia="仿宋_GB2312" w:hint="eastAsia"/>
          <w:color w:val="000000"/>
          <w:sz w:val="32"/>
          <w:szCs w:val="32"/>
        </w:rPr>
        <w:t>1027.22</w:t>
      </w:r>
      <w:r>
        <w:rPr>
          <w:rFonts w:eastAsia="仿宋_GB2312"/>
          <w:color w:val="000000"/>
          <w:sz w:val="32"/>
          <w:szCs w:val="32"/>
        </w:rPr>
        <w:t>万元，主要用于以下方面:</w:t>
      </w:r>
      <w:r>
        <w:rPr>
          <w:rFonts w:eastAsia="仿宋_GB2312"/>
          <w:b/>
          <w:color w:val="000000"/>
          <w:sz w:val="32"/>
          <w:szCs w:val="32"/>
        </w:rPr>
        <w:t>一般公共服务支出</w:t>
      </w:r>
      <w:r>
        <w:rPr>
          <w:rFonts w:eastAsia="仿宋_GB2312"/>
          <w:color w:val="000000"/>
          <w:sz w:val="32"/>
          <w:szCs w:val="32"/>
        </w:rPr>
        <w:t>0万元，占0%；</w:t>
      </w:r>
      <w:r>
        <w:rPr>
          <w:rFonts w:eastAsia="仿宋_GB2312"/>
          <w:b/>
          <w:color w:val="000000"/>
          <w:sz w:val="32"/>
          <w:szCs w:val="32"/>
        </w:rPr>
        <w:t>教育支出</w:t>
      </w:r>
      <w:r>
        <w:rPr>
          <w:rFonts w:eastAsia="仿宋_GB2312"/>
          <w:color w:val="000000"/>
          <w:sz w:val="32"/>
          <w:szCs w:val="32"/>
        </w:rPr>
        <w:t>0万元，占0%；</w:t>
      </w:r>
      <w:r>
        <w:rPr>
          <w:rFonts w:eastAsia="仿宋_GB2312"/>
          <w:b/>
          <w:color w:val="000000"/>
          <w:sz w:val="32"/>
          <w:szCs w:val="32"/>
        </w:rPr>
        <w:t>科学技术支出</w:t>
      </w:r>
      <w:r>
        <w:rPr>
          <w:rFonts w:eastAsia="仿宋_GB2312"/>
          <w:color w:val="000000"/>
          <w:sz w:val="32"/>
          <w:szCs w:val="32"/>
        </w:rPr>
        <w:t>0万元，占0%；</w:t>
      </w:r>
      <w:r>
        <w:rPr>
          <w:rFonts w:eastAsia="仿宋_GB2312"/>
          <w:b/>
          <w:bCs/>
          <w:color w:val="000000"/>
          <w:sz w:val="32"/>
          <w:szCs w:val="32"/>
        </w:rPr>
        <w:t>文化旅游体育与传媒支出0万元，占0%</w:t>
      </w:r>
      <w:r>
        <w:rPr>
          <w:rFonts w:eastAsia="仿宋_GB2312"/>
          <w:color w:val="000000"/>
          <w:sz w:val="32"/>
          <w:szCs w:val="32"/>
        </w:rPr>
        <w:t>；</w:t>
      </w:r>
      <w:r>
        <w:rPr>
          <w:rFonts w:eastAsia="仿宋_GB2312"/>
          <w:b/>
          <w:color w:val="000000"/>
          <w:sz w:val="32"/>
          <w:szCs w:val="32"/>
        </w:rPr>
        <w:t>社会保障和就业支出</w:t>
      </w:r>
      <w:r>
        <w:rPr>
          <w:rFonts w:eastAsia="仿宋_GB2312" w:hint="eastAsia"/>
          <w:color w:val="000000"/>
          <w:sz w:val="32"/>
          <w:szCs w:val="32"/>
        </w:rPr>
        <w:t>73.49</w:t>
      </w:r>
      <w:r>
        <w:rPr>
          <w:rFonts w:eastAsia="仿宋_GB2312"/>
          <w:color w:val="000000"/>
          <w:sz w:val="32"/>
          <w:szCs w:val="32"/>
        </w:rPr>
        <w:t>万元，占</w:t>
      </w:r>
      <w:r>
        <w:rPr>
          <w:rFonts w:eastAsia="仿宋_GB2312" w:hint="eastAsia"/>
          <w:color w:val="000000"/>
          <w:sz w:val="32"/>
          <w:szCs w:val="32"/>
        </w:rPr>
        <w:t>7.15</w:t>
      </w:r>
      <w:r>
        <w:rPr>
          <w:rFonts w:eastAsia="仿宋_GB2312"/>
          <w:color w:val="000000"/>
          <w:sz w:val="32"/>
          <w:szCs w:val="32"/>
        </w:rPr>
        <w:t>%；</w:t>
      </w:r>
      <w:r>
        <w:rPr>
          <w:rFonts w:eastAsia="仿宋_GB2312"/>
          <w:b/>
          <w:bCs/>
          <w:color w:val="000000"/>
          <w:sz w:val="32"/>
          <w:szCs w:val="32"/>
        </w:rPr>
        <w:t>卫生健康支出</w:t>
      </w:r>
      <w:r>
        <w:rPr>
          <w:rFonts w:eastAsia="仿宋_GB2312" w:hint="eastAsia"/>
          <w:color w:val="000000"/>
          <w:sz w:val="32"/>
          <w:szCs w:val="32"/>
        </w:rPr>
        <w:t>918.80</w:t>
      </w:r>
      <w:r>
        <w:rPr>
          <w:rFonts w:eastAsia="仿宋_GB2312"/>
          <w:color w:val="000000"/>
          <w:sz w:val="32"/>
          <w:szCs w:val="32"/>
        </w:rPr>
        <w:t>万元，占</w:t>
      </w:r>
      <w:r>
        <w:rPr>
          <w:rFonts w:eastAsia="仿宋_GB2312" w:hint="eastAsia"/>
          <w:color w:val="000000"/>
          <w:sz w:val="32"/>
          <w:szCs w:val="32"/>
        </w:rPr>
        <w:t>89.45</w:t>
      </w:r>
      <w:r>
        <w:rPr>
          <w:rFonts w:eastAsia="仿宋_GB2312"/>
          <w:color w:val="000000"/>
          <w:sz w:val="32"/>
          <w:szCs w:val="32"/>
        </w:rPr>
        <w:t>%；</w:t>
      </w:r>
      <w:r>
        <w:rPr>
          <w:rFonts w:eastAsia="仿宋_GB2312"/>
          <w:b/>
          <w:bCs/>
          <w:color w:val="000000"/>
          <w:sz w:val="32"/>
          <w:szCs w:val="32"/>
        </w:rPr>
        <w:t>住房保障支出</w:t>
      </w:r>
      <w:r>
        <w:rPr>
          <w:rFonts w:eastAsia="仿宋_GB2312" w:hint="eastAsia"/>
          <w:color w:val="000000"/>
          <w:sz w:val="32"/>
          <w:szCs w:val="32"/>
        </w:rPr>
        <w:t>34.93</w:t>
      </w:r>
      <w:r>
        <w:rPr>
          <w:rFonts w:eastAsia="仿宋_GB2312"/>
          <w:color w:val="000000"/>
          <w:sz w:val="32"/>
          <w:szCs w:val="32"/>
        </w:rPr>
        <w:t>万元，占</w:t>
      </w:r>
      <w:r>
        <w:rPr>
          <w:rFonts w:eastAsia="仿宋_GB2312" w:hint="eastAsia"/>
          <w:color w:val="000000"/>
          <w:sz w:val="32"/>
          <w:szCs w:val="32"/>
        </w:rPr>
        <w:t>3.40</w:t>
      </w:r>
      <w:r>
        <w:rPr>
          <w:rFonts w:eastAsia="仿宋_GB2312"/>
          <w:color w:val="000000"/>
          <w:sz w:val="32"/>
          <w:szCs w:val="32"/>
        </w:rPr>
        <w:t>%。</w:t>
      </w:r>
    </w:p>
    <w:p>
      <w:pPr>
        <w:jc w:val="center"/>
        <w:rPr>
          <w:rFonts w:eastAsia="仿宋_GB2312"/>
          <w:color w:val="000000"/>
          <w:sz w:val="32"/>
          <w:szCs w:val="32"/>
        </w:rPr>
      </w:pPr>
      <w:bookmarkStart w:id="74" w:name="_MON_1723883329"/>
      <w:bookmarkEnd w:id="74"/>
      <w:r>
        <w:rPr>
          <w:rFonts w:eastAsia="仿宋"/>
          <w:color w:val="000000"/>
          <w:sz w:val="32"/>
          <w:szCs w:val="32"/>
        </w:rPr>
        <w:object>
          <v:shape id="_x0000_i6" type="#_x0000_t75" filled="f" stroked="f" style="width:271.5pt;height:186.0pt;" o:ole="">
            <v:stroke color="#000000"/>
            <v:imagedata r:id="rId15" o:title="image6" cropbottom="-13f"/>
            <o:lock aspectratio="t"/>
            <w10:anchorLock/>
          </v:shape>
          <o:OLEObject Type="Embed" ProgID="Package" ShapeID="_x0000_i6" DrawAspect="Content" ObjectID="_1393063356" r:id="rId16"/>
        </w:object>
      </w:r>
    </w:p>
    <w:p>
      <w:pPr>
        <w:spacing w:line="578" w:lineRule="exact"/>
        <w:ind w:firstLineChars="200" w:firstLine="640"/>
        <w:rPr>
          <w:rFonts w:eastAsia="仿宋_GB2312"/>
          <w:color w:val="000000"/>
          <w:sz w:val="32"/>
          <w:szCs w:val="32"/>
        </w:rPr>
      </w:pPr>
      <w:r>
        <w:rPr>
          <w:rFonts w:eastAsia="仿宋_GB2312"/>
          <w:color w:val="000000"/>
          <w:sz w:val="32"/>
          <w:szCs w:val="32"/>
        </w:rPr>
        <w:t>（图6：一般公共预算财政拨款支出决算结构）</w:t>
      </w:r>
    </w:p>
    <w:p>
      <w:pPr>
        <w:tabs>
          <w:tab w:val="right" w:pos="8844"/>
        </w:tabs>
        <w:spacing w:line="578" w:lineRule="exact"/>
        <w:ind w:firstLineChars="200" w:firstLine="640"/>
        <w:rPr>
          <w:rFonts w:eastAsia="楷体_GB2312"/>
          <w:bCs/>
          <w:color w:val="000000"/>
          <w:sz w:val="32"/>
          <w:szCs w:val="32"/>
        </w:rPr>
      </w:pPr>
      <w:bookmarkStart w:id="75" w:name="_Toc15377212"/>
      <w:r>
        <w:rPr>
          <w:rFonts w:eastAsia="楷体_GB2312"/>
          <w:bCs/>
          <w:color w:val="000000"/>
          <w:sz w:val="32"/>
          <w:szCs w:val="32"/>
        </w:rPr>
        <w:t>（三）一般公共预算财政拨款支出决算具体情况</w:t>
      </w:r>
      <w:bookmarkEnd w:id="75"/>
      <w:r>
        <w:rPr>
          <w:rFonts w:eastAsia="楷体_GB2312"/>
          <w:bCs/>
          <w:color w:val="000000"/>
          <w:sz w:val="32"/>
          <w:szCs w:val="32"/>
        </w:rPr>
        <w:tab/>
      </w:r>
    </w:p>
    <w:p>
      <w:pPr>
        <w:spacing w:line="578" w:lineRule="exact"/>
        <w:ind w:firstLineChars="200" w:firstLine="640"/>
        <w:rPr>
          <w:rFonts w:eastAsia="仿宋_GB2312"/>
          <w:bCs/>
          <w:color w:val="000000"/>
          <w:sz w:val="32"/>
          <w:szCs w:val="32"/>
        </w:rPr>
      </w:pPr>
      <w:bookmarkStart w:id="76" w:name="_Toc15378460"/>
      <w:bookmarkStart w:id="77" w:name="_Toc15377444"/>
      <w:bookmarkStart w:id="78" w:name="_Toc15377213"/>
      <w:r>
        <w:rPr>
          <w:rFonts w:eastAsia="仿宋_GB2312"/>
          <w:bCs/>
          <w:color w:val="000000"/>
          <w:sz w:val="32"/>
          <w:szCs w:val="32"/>
        </w:rPr>
        <w:t>202</w:t>
      </w:r>
      <w:r>
        <w:rPr>
          <w:rFonts w:eastAsia="仿宋_GB2312" w:hint="eastAsia"/>
          <w:bCs/>
          <w:color w:val="000000"/>
          <w:sz w:val="32"/>
          <w:szCs w:val="32"/>
        </w:rPr>
        <w:t>3</w:t>
      </w:r>
      <w:r>
        <w:rPr>
          <w:rFonts w:eastAsia="仿宋_GB2312"/>
          <w:bCs/>
          <w:color w:val="000000"/>
          <w:sz w:val="32"/>
          <w:szCs w:val="32"/>
        </w:rPr>
        <w:t>年一般公共预算支出决算数为</w:t>
      </w:r>
      <w:r>
        <w:rPr>
          <w:rFonts w:eastAsia="仿宋_GB2312" w:hint="eastAsia"/>
          <w:bCs/>
          <w:color w:val="000000"/>
          <w:sz w:val="32"/>
          <w:szCs w:val="32"/>
        </w:rPr>
        <w:t>1027.22</w:t>
      </w:r>
      <w:r>
        <w:rPr>
          <w:rFonts w:eastAsia="仿宋_GB2312"/>
          <w:bCs/>
          <w:color w:val="000000"/>
          <w:sz w:val="32"/>
          <w:szCs w:val="32"/>
        </w:rPr>
        <w:t>万元，</w:t>
      </w:r>
      <w:r>
        <w:rPr>
          <w:rStyle w:val="32"/>
          <w:rFonts w:eastAsia="仿宋_GB2312"/>
          <w:b w:val="0"/>
          <w:bCs/>
          <w:color w:val="000000"/>
          <w:sz w:val="32"/>
          <w:szCs w:val="32"/>
        </w:rPr>
        <w:t>完成预算</w:t>
      </w:r>
      <w:r>
        <w:rPr>
          <w:rStyle w:val="32"/>
          <w:rFonts w:eastAsia="仿宋_GB2312" w:hint="eastAsia"/>
          <w:b w:val="0"/>
          <w:bCs/>
          <w:color w:val="000000"/>
          <w:sz w:val="32"/>
          <w:szCs w:val="32"/>
        </w:rPr>
        <w:t>98.15</w:t>
      </w:r>
      <w:r>
        <w:rPr>
          <w:rStyle w:val="32"/>
          <w:rFonts w:eastAsia="仿宋_GB2312"/>
          <w:b w:val="0"/>
          <w:bCs/>
          <w:color w:val="000000"/>
          <w:sz w:val="32"/>
          <w:szCs w:val="32"/>
        </w:rPr>
        <w:t>%。其中：</w:t>
      </w:r>
      <w:bookmarkEnd w:id="76"/>
      <w:bookmarkEnd w:id="77"/>
      <w:bookmarkEnd w:id="78"/>
    </w:p>
    <w:p>
      <w:pPr>
        <w:spacing w:line="578" w:lineRule="exact"/>
        <w:ind w:firstLineChars="200" w:firstLine="640"/>
        <w:rPr>
          <w:rStyle w:val="32"/>
          <w:rFonts w:eastAsia="仿宋_GB2312"/>
          <w:b w:val="0"/>
          <w:bCs/>
          <w:color w:val="000000"/>
          <w:sz w:val="32"/>
          <w:szCs w:val="32"/>
        </w:rPr>
      </w:pPr>
      <w:r>
        <w:rPr>
          <w:rStyle w:val="32"/>
          <w:rFonts w:eastAsia="仿宋_GB2312"/>
          <w:b w:val="0"/>
          <w:bCs/>
          <w:color w:val="000000"/>
          <w:sz w:val="32"/>
          <w:szCs w:val="32"/>
        </w:rPr>
        <w:t>1.社会保障和就业</w:t>
      </w:r>
      <w:r>
        <w:rPr>
          <w:rStyle w:val="32"/>
          <w:rFonts w:eastAsia="仿宋_GB2312" w:hint="eastAsia"/>
          <w:b w:val="0"/>
          <w:bCs/>
          <w:color w:val="000000"/>
          <w:sz w:val="32"/>
          <w:szCs w:val="32"/>
        </w:rPr>
        <w:t>支出</w:t>
      </w:r>
      <w:r>
        <w:rPr>
          <w:rStyle w:val="32"/>
          <w:rFonts w:eastAsia="仿宋_GB2312"/>
          <w:b w:val="0"/>
          <w:bCs/>
          <w:color w:val="000000"/>
          <w:sz w:val="32"/>
          <w:szCs w:val="32"/>
        </w:rPr>
        <w:t>（类）行政事业单位养老（款）机关事业单位基本养老保险缴费支出（项）:支出决算为</w:t>
      </w:r>
      <w:r>
        <w:rPr>
          <w:rStyle w:val="32"/>
          <w:rFonts w:eastAsia="仿宋_GB2312" w:hint="eastAsia"/>
          <w:b w:val="0"/>
          <w:bCs/>
          <w:color w:val="000000"/>
          <w:sz w:val="32"/>
          <w:szCs w:val="32"/>
        </w:rPr>
        <w:t>50.58</w:t>
      </w:r>
      <w:r>
        <w:rPr>
          <w:rStyle w:val="32"/>
          <w:rFonts w:eastAsia="仿宋_GB2312"/>
          <w:b w:val="0"/>
          <w:bCs/>
          <w:color w:val="000000"/>
          <w:sz w:val="32"/>
          <w:szCs w:val="32"/>
        </w:rPr>
        <w:t>万元，完成预算100%。</w:t>
      </w:r>
    </w:p>
    <w:p>
      <w:pPr>
        <w:spacing w:line="578" w:lineRule="exact"/>
        <w:ind w:firstLineChars="200" w:firstLine="640"/>
        <w:rPr>
          <w:rStyle w:val="32"/>
          <w:rFonts w:eastAsia="仿宋_GB2312"/>
          <w:b w:val="0"/>
          <w:bCs/>
          <w:color w:val="000000"/>
          <w:sz w:val="32"/>
          <w:szCs w:val="32"/>
        </w:rPr>
      </w:pPr>
      <w:r>
        <w:rPr>
          <w:rStyle w:val="32"/>
          <w:rFonts w:eastAsia="仿宋_GB2312"/>
          <w:b w:val="0"/>
          <w:bCs/>
          <w:color w:val="000000"/>
          <w:sz w:val="32"/>
          <w:szCs w:val="32"/>
        </w:rPr>
        <w:t>2.社会保障和就业</w:t>
      </w:r>
      <w:r>
        <w:rPr>
          <w:rStyle w:val="32"/>
          <w:rFonts w:eastAsia="仿宋_GB2312" w:hint="eastAsia"/>
          <w:b w:val="0"/>
          <w:bCs/>
          <w:color w:val="000000"/>
          <w:sz w:val="32"/>
          <w:szCs w:val="32"/>
        </w:rPr>
        <w:t>支出</w:t>
      </w:r>
      <w:r>
        <w:rPr>
          <w:rStyle w:val="32"/>
          <w:rFonts w:eastAsia="仿宋_GB2312"/>
          <w:b w:val="0"/>
          <w:bCs/>
          <w:color w:val="000000"/>
          <w:sz w:val="32"/>
          <w:szCs w:val="32"/>
        </w:rPr>
        <w:t>（类）行政事业单位养老（款）行政单位离退休（项）:支出决算为</w:t>
      </w:r>
      <w:r>
        <w:rPr>
          <w:rStyle w:val="32"/>
          <w:rFonts w:eastAsia="仿宋_GB2312" w:hint="eastAsia"/>
          <w:b w:val="0"/>
          <w:bCs/>
          <w:color w:val="000000"/>
          <w:sz w:val="32"/>
          <w:szCs w:val="32"/>
        </w:rPr>
        <w:t>12.80</w:t>
      </w:r>
      <w:r>
        <w:rPr>
          <w:rStyle w:val="32"/>
          <w:rFonts w:eastAsia="仿宋_GB2312"/>
          <w:b w:val="0"/>
          <w:bCs/>
          <w:color w:val="000000"/>
          <w:sz w:val="32"/>
          <w:szCs w:val="32"/>
        </w:rPr>
        <w:t>万元，完成预算100%。</w:t>
      </w:r>
    </w:p>
    <w:p>
      <w:pPr>
        <w:spacing w:line="578" w:lineRule="exact"/>
        <w:ind w:firstLineChars="200" w:firstLine="640"/>
        <w:rPr>
          <w:rStyle w:val="32"/>
          <w:rFonts w:eastAsia="仿宋_GB2312"/>
          <w:b w:val="0"/>
          <w:bCs/>
          <w:color w:val="000000"/>
          <w:sz w:val="32"/>
          <w:szCs w:val="32"/>
        </w:rPr>
      </w:pPr>
      <w:r>
        <w:rPr>
          <w:rStyle w:val="32"/>
          <w:rFonts w:eastAsia="仿宋_GB2312" w:hint="eastAsia"/>
          <w:b w:val="0"/>
          <w:bCs/>
          <w:color w:val="000000"/>
          <w:sz w:val="32"/>
          <w:szCs w:val="32"/>
        </w:rPr>
        <w:t>3</w:t>
      </w:r>
      <w:r>
        <w:rPr>
          <w:rStyle w:val="32"/>
          <w:rFonts w:eastAsia="仿宋_GB2312"/>
          <w:b w:val="0"/>
          <w:bCs/>
          <w:color w:val="000000"/>
          <w:sz w:val="32"/>
          <w:szCs w:val="32"/>
        </w:rPr>
        <w:t>.社会保障和就业</w:t>
      </w:r>
      <w:r>
        <w:rPr>
          <w:rStyle w:val="32"/>
          <w:rFonts w:eastAsia="仿宋_GB2312" w:hint="eastAsia"/>
          <w:b w:val="0"/>
          <w:bCs/>
          <w:color w:val="000000"/>
          <w:sz w:val="32"/>
          <w:szCs w:val="32"/>
        </w:rPr>
        <w:t>支出</w:t>
      </w:r>
      <w:r>
        <w:rPr>
          <w:rStyle w:val="32"/>
          <w:rFonts w:eastAsia="仿宋_GB2312"/>
          <w:b w:val="0"/>
          <w:bCs/>
          <w:color w:val="000000"/>
          <w:sz w:val="32"/>
          <w:szCs w:val="32"/>
        </w:rPr>
        <w:t>（类）行政事业单位养老（款）机关事业单位</w:t>
      </w:r>
      <w:r>
        <w:rPr>
          <w:rStyle w:val="32"/>
          <w:rFonts w:eastAsia="仿宋_GB2312" w:hint="eastAsia"/>
          <w:b w:val="0"/>
          <w:bCs/>
          <w:color w:val="000000"/>
          <w:sz w:val="32"/>
          <w:szCs w:val="32"/>
        </w:rPr>
        <w:t>职业年金缴费支出</w:t>
      </w:r>
      <w:r>
        <w:rPr>
          <w:rStyle w:val="32"/>
          <w:rFonts w:eastAsia="仿宋_GB2312"/>
          <w:b w:val="0"/>
          <w:bCs/>
          <w:color w:val="000000"/>
          <w:sz w:val="32"/>
          <w:szCs w:val="32"/>
        </w:rPr>
        <w:t>（项）:支出决算为</w:t>
      </w:r>
      <w:r>
        <w:rPr>
          <w:rStyle w:val="32"/>
          <w:rFonts w:eastAsia="仿宋_GB2312" w:hint="eastAsia"/>
          <w:b w:val="0"/>
          <w:bCs/>
          <w:color w:val="000000"/>
          <w:sz w:val="32"/>
          <w:szCs w:val="32"/>
        </w:rPr>
        <w:t>9.53</w:t>
      </w:r>
      <w:r>
        <w:rPr>
          <w:rStyle w:val="32"/>
          <w:rFonts w:eastAsia="仿宋_GB2312"/>
          <w:b w:val="0"/>
          <w:bCs/>
          <w:color w:val="000000"/>
          <w:sz w:val="32"/>
          <w:szCs w:val="32"/>
        </w:rPr>
        <w:t>万元，完成预算100%。</w:t>
      </w:r>
    </w:p>
    <w:p>
      <w:pPr>
        <w:spacing w:line="578" w:lineRule="exact"/>
        <w:ind w:firstLineChars="200" w:firstLine="640"/>
        <w:rPr>
          <w:rStyle w:val="32"/>
          <w:rFonts w:eastAsia="仿宋_GB2312"/>
          <w:b w:val="0"/>
          <w:bCs/>
          <w:color w:val="000000"/>
          <w:sz w:val="32"/>
          <w:szCs w:val="32"/>
        </w:rPr>
      </w:pPr>
      <w:r>
        <w:rPr>
          <w:rStyle w:val="32"/>
          <w:rFonts w:eastAsia="仿宋_GB2312" w:hint="eastAsia"/>
          <w:b w:val="0"/>
          <w:bCs/>
          <w:color w:val="000000"/>
          <w:sz w:val="32"/>
          <w:szCs w:val="32"/>
        </w:rPr>
        <w:t>4</w:t>
      </w:r>
      <w:r>
        <w:rPr>
          <w:rStyle w:val="32"/>
          <w:rFonts w:eastAsia="仿宋_GB2312"/>
          <w:b w:val="0"/>
          <w:bCs/>
          <w:color w:val="000000"/>
          <w:sz w:val="32"/>
          <w:szCs w:val="32"/>
        </w:rPr>
        <w:t>.社会保障和就业</w:t>
      </w:r>
      <w:r>
        <w:rPr>
          <w:rStyle w:val="32"/>
          <w:rFonts w:eastAsia="仿宋_GB2312" w:hint="eastAsia"/>
          <w:b w:val="0"/>
          <w:bCs/>
          <w:color w:val="000000"/>
          <w:sz w:val="32"/>
          <w:szCs w:val="32"/>
        </w:rPr>
        <w:t>支出</w:t>
      </w:r>
      <w:r>
        <w:rPr>
          <w:rStyle w:val="32"/>
          <w:rFonts w:eastAsia="仿宋_GB2312"/>
          <w:b w:val="0"/>
          <w:bCs/>
          <w:color w:val="000000"/>
          <w:sz w:val="32"/>
          <w:szCs w:val="32"/>
        </w:rPr>
        <w:t>（类）社会福利（款）儿童福利（项）:支出决算为0.</w:t>
      </w:r>
      <w:r>
        <w:rPr>
          <w:rStyle w:val="32"/>
          <w:rFonts w:eastAsia="仿宋_GB2312" w:hint="eastAsia"/>
          <w:b w:val="0"/>
          <w:bCs/>
          <w:color w:val="000000"/>
          <w:sz w:val="32"/>
          <w:szCs w:val="32"/>
        </w:rPr>
        <w:t>58</w:t>
      </w:r>
      <w:r>
        <w:rPr>
          <w:rStyle w:val="32"/>
          <w:rFonts w:eastAsia="仿宋_GB2312"/>
          <w:b w:val="0"/>
          <w:bCs/>
          <w:color w:val="000000"/>
          <w:sz w:val="32"/>
          <w:szCs w:val="32"/>
        </w:rPr>
        <w:t>万元，完成预算100%。</w:t>
      </w:r>
    </w:p>
    <w:p>
      <w:pPr>
        <w:spacing w:line="578" w:lineRule="exact"/>
        <w:ind w:firstLineChars="200" w:firstLine="640"/>
        <w:rPr>
          <w:rStyle w:val="32"/>
          <w:rFonts w:eastAsia="仿宋_GB2312"/>
          <w:b w:val="0"/>
          <w:bCs/>
          <w:color w:val="000000"/>
          <w:sz w:val="32"/>
          <w:szCs w:val="32"/>
        </w:rPr>
      </w:pPr>
      <w:r>
        <w:rPr>
          <w:rStyle w:val="32"/>
          <w:rFonts w:eastAsia="仿宋_GB2312" w:hint="eastAsia"/>
          <w:b w:val="0"/>
          <w:bCs/>
          <w:color w:val="000000"/>
          <w:sz w:val="32"/>
          <w:szCs w:val="32"/>
        </w:rPr>
        <w:t>5</w:t>
      </w:r>
      <w:r>
        <w:rPr>
          <w:rStyle w:val="32"/>
          <w:rFonts w:eastAsia="仿宋_GB2312"/>
          <w:b w:val="0"/>
          <w:bCs/>
          <w:color w:val="000000"/>
          <w:sz w:val="32"/>
          <w:szCs w:val="32"/>
        </w:rPr>
        <w:t>.卫</w:t>
      </w:r>
      <w:r>
        <w:rPr>
          <w:rFonts w:eastAsia="仿宋_GB2312"/>
          <w:bCs/>
          <w:color w:val="000000"/>
          <w:sz w:val="32"/>
          <w:szCs w:val="32"/>
        </w:rPr>
        <w:t>生健康</w:t>
      </w:r>
      <w:r>
        <w:rPr>
          <w:rFonts w:eastAsia="仿宋_GB2312" w:hint="eastAsia"/>
          <w:bCs/>
          <w:color w:val="000000"/>
          <w:sz w:val="32"/>
          <w:szCs w:val="32"/>
        </w:rPr>
        <w:t>支出</w:t>
      </w:r>
      <w:r>
        <w:rPr>
          <w:rStyle w:val="32"/>
          <w:rFonts w:eastAsia="仿宋_GB2312"/>
          <w:b w:val="0"/>
          <w:bCs/>
          <w:color w:val="000000"/>
          <w:sz w:val="32"/>
          <w:szCs w:val="32"/>
        </w:rPr>
        <w:t>（类）医疗保障管理事务（款）行政运行（项）:支出决算为</w:t>
      </w:r>
      <w:r>
        <w:rPr>
          <w:rStyle w:val="32"/>
          <w:rFonts w:eastAsia="仿宋_GB2312" w:hint="eastAsia"/>
          <w:b w:val="0"/>
          <w:bCs/>
          <w:color w:val="000000"/>
          <w:sz w:val="32"/>
          <w:szCs w:val="32"/>
        </w:rPr>
        <w:t>268.14</w:t>
      </w:r>
      <w:r>
        <w:rPr>
          <w:rStyle w:val="32"/>
          <w:rFonts w:eastAsia="仿宋_GB2312"/>
          <w:b w:val="0"/>
          <w:bCs/>
          <w:color w:val="000000"/>
          <w:sz w:val="32"/>
          <w:szCs w:val="32"/>
        </w:rPr>
        <w:t>万元，完成预算100%。</w:t>
      </w:r>
    </w:p>
    <w:p>
      <w:pPr>
        <w:spacing w:line="578" w:lineRule="exact"/>
        <w:ind w:firstLineChars="200" w:firstLine="640"/>
        <w:rPr>
          <w:rStyle w:val="32"/>
          <w:rFonts w:eastAsia="仿宋_GB2312"/>
          <w:b w:val="0"/>
          <w:bCs/>
          <w:color w:val="000000"/>
          <w:sz w:val="32"/>
          <w:szCs w:val="32"/>
        </w:rPr>
      </w:pPr>
      <w:r>
        <w:rPr>
          <w:rStyle w:val="32"/>
          <w:rFonts w:eastAsia="仿宋_GB2312" w:hint="eastAsia"/>
          <w:b w:val="0"/>
          <w:bCs/>
          <w:color w:val="000000"/>
          <w:sz w:val="32"/>
          <w:szCs w:val="32"/>
        </w:rPr>
        <w:t>6</w:t>
      </w:r>
      <w:r>
        <w:rPr>
          <w:rStyle w:val="32"/>
          <w:rFonts w:eastAsia="仿宋_GB2312"/>
          <w:b w:val="0"/>
          <w:bCs/>
          <w:color w:val="000000"/>
          <w:sz w:val="32"/>
          <w:szCs w:val="32"/>
        </w:rPr>
        <w:t>.卫</w:t>
      </w:r>
      <w:r>
        <w:rPr>
          <w:rFonts w:eastAsia="仿宋_GB2312"/>
          <w:bCs/>
          <w:color w:val="000000"/>
          <w:sz w:val="32"/>
          <w:szCs w:val="32"/>
        </w:rPr>
        <w:t>生健康</w:t>
      </w:r>
      <w:r>
        <w:rPr>
          <w:rFonts w:eastAsia="仿宋_GB2312" w:hint="eastAsia"/>
          <w:bCs/>
          <w:color w:val="000000"/>
          <w:sz w:val="32"/>
          <w:szCs w:val="32"/>
        </w:rPr>
        <w:t>支出</w:t>
      </w:r>
      <w:r>
        <w:rPr>
          <w:rStyle w:val="32"/>
          <w:rFonts w:eastAsia="仿宋_GB2312"/>
          <w:b w:val="0"/>
          <w:bCs/>
          <w:color w:val="000000"/>
          <w:sz w:val="32"/>
          <w:szCs w:val="32"/>
        </w:rPr>
        <w:t>（类）医疗保障管理事务（款）事业运行（项）:支出决算为</w:t>
      </w:r>
      <w:r>
        <w:rPr>
          <w:rStyle w:val="32"/>
          <w:rFonts w:eastAsia="仿宋_GB2312" w:hint="eastAsia"/>
          <w:b w:val="0"/>
          <w:bCs/>
          <w:color w:val="000000"/>
          <w:sz w:val="32"/>
          <w:szCs w:val="32"/>
        </w:rPr>
        <w:t>117.74</w:t>
      </w:r>
      <w:r>
        <w:rPr>
          <w:rStyle w:val="32"/>
          <w:rFonts w:eastAsia="仿宋_GB2312"/>
          <w:b w:val="0"/>
          <w:bCs/>
          <w:color w:val="000000"/>
          <w:sz w:val="32"/>
          <w:szCs w:val="32"/>
        </w:rPr>
        <w:t>万元，完成预算100%。</w:t>
      </w:r>
    </w:p>
    <w:p>
      <w:pPr>
        <w:spacing w:line="578" w:lineRule="exact"/>
        <w:ind w:firstLineChars="200" w:firstLine="640"/>
        <w:rPr>
          <w:rStyle w:val="32"/>
          <w:rFonts w:ascii="仿宋" w:eastAsia="仿宋" w:hAnsi="仿宋"/>
          <w:b w:val="0"/>
          <w:bCs/>
          <w:sz w:val="32"/>
          <w:szCs w:val="32"/>
        </w:rPr>
      </w:pPr>
      <w:r>
        <w:rPr>
          <w:rStyle w:val="32"/>
          <w:rFonts w:eastAsia="仿宋_GB2312" w:hint="eastAsia"/>
          <w:b w:val="0"/>
          <w:bCs/>
          <w:color w:val="000000"/>
          <w:sz w:val="32"/>
          <w:szCs w:val="32"/>
        </w:rPr>
        <w:t>7</w:t>
      </w:r>
      <w:r>
        <w:rPr>
          <w:rStyle w:val="32"/>
          <w:rFonts w:eastAsia="仿宋_GB2312"/>
          <w:b w:val="0"/>
          <w:bCs/>
          <w:color w:val="000000"/>
          <w:sz w:val="32"/>
          <w:szCs w:val="32"/>
        </w:rPr>
        <w:t>.</w:t>
      </w:r>
      <w:r>
        <w:rPr>
          <w:rFonts w:eastAsia="仿宋_GB2312"/>
          <w:bCs/>
          <w:color w:val="000000"/>
          <w:sz w:val="32"/>
          <w:szCs w:val="32"/>
        </w:rPr>
        <w:t>卫生健康</w:t>
      </w:r>
      <w:r>
        <w:rPr>
          <w:rFonts w:eastAsia="仿宋_GB2312" w:hint="eastAsia"/>
          <w:bCs/>
          <w:color w:val="000000"/>
          <w:sz w:val="32"/>
          <w:szCs w:val="32"/>
        </w:rPr>
        <w:t>支出</w:t>
      </w:r>
      <w:r>
        <w:rPr>
          <w:rStyle w:val="32"/>
          <w:rFonts w:eastAsia="仿宋_GB2312"/>
          <w:b w:val="0"/>
          <w:bCs/>
          <w:color w:val="000000"/>
          <w:sz w:val="32"/>
          <w:szCs w:val="32"/>
        </w:rPr>
        <w:t>（类）医疗保障管理事务（款）其他医疗保障管理事务支出（项）:支出决算为</w:t>
      </w:r>
      <w:r>
        <w:rPr>
          <w:rStyle w:val="32"/>
          <w:rFonts w:eastAsia="仿宋_GB2312" w:hint="eastAsia"/>
          <w:b w:val="0"/>
          <w:bCs/>
          <w:color w:val="000000"/>
          <w:sz w:val="32"/>
          <w:szCs w:val="32"/>
        </w:rPr>
        <w:t>504.26</w:t>
      </w:r>
      <w:r>
        <w:rPr>
          <w:rStyle w:val="32"/>
          <w:rFonts w:eastAsia="仿宋_GB2312"/>
          <w:b w:val="0"/>
          <w:bCs/>
          <w:color w:val="000000"/>
          <w:sz w:val="32"/>
          <w:szCs w:val="32"/>
        </w:rPr>
        <w:t>万元，完成预算</w:t>
      </w:r>
      <w:r>
        <w:rPr>
          <w:rStyle w:val="32"/>
          <w:rFonts w:eastAsia="仿宋_GB2312" w:hint="eastAsia"/>
          <w:b w:val="0"/>
          <w:bCs/>
          <w:color w:val="000000"/>
          <w:sz w:val="32"/>
          <w:szCs w:val="32"/>
        </w:rPr>
        <w:t>96.63</w:t>
      </w:r>
      <w:r>
        <w:rPr>
          <w:rStyle w:val="32"/>
          <w:rFonts w:eastAsia="仿宋_GB2312"/>
          <w:b w:val="0"/>
          <w:bCs/>
          <w:color w:val="000000"/>
          <w:sz w:val="32"/>
          <w:szCs w:val="32"/>
        </w:rPr>
        <w:t>%。</w:t>
      </w:r>
      <w:r>
        <w:rPr>
          <w:rStyle w:val="32"/>
          <w:rFonts w:ascii="仿宋" w:eastAsia="仿宋" w:hAnsi="仿宋" w:hint="eastAsia"/>
          <w:b w:val="0"/>
          <w:bCs/>
          <w:sz w:val="32"/>
          <w:szCs w:val="32"/>
        </w:rPr>
        <w:t>决算数小于预算数的主要原因是:医疗服务与保障能力提升项目部分工作年末才开展，19.31万元未完成支付,结转下年支付。</w:t>
      </w:r>
    </w:p>
    <w:p>
      <w:pPr>
        <w:spacing w:line="578" w:lineRule="exact"/>
        <w:ind w:firstLineChars="200" w:firstLine="640"/>
        <w:rPr>
          <w:rStyle w:val="32"/>
          <w:rFonts w:eastAsia="仿宋_GB2312"/>
          <w:b w:val="0"/>
          <w:bCs/>
          <w:color w:val="000000"/>
          <w:sz w:val="32"/>
          <w:szCs w:val="32"/>
        </w:rPr>
      </w:pPr>
      <w:r>
        <w:rPr>
          <w:rStyle w:val="32"/>
          <w:rFonts w:eastAsia="仿宋_GB2312" w:hint="eastAsia"/>
          <w:b w:val="0"/>
          <w:bCs/>
          <w:color w:val="000000"/>
          <w:sz w:val="32"/>
          <w:szCs w:val="32"/>
        </w:rPr>
        <w:t>8.</w:t>
      </w:r>
      <w:r>
        <w:rPr>
          <w:rStyle w:val="32"/>
          <w:rFonts w:eastAsia="仿宋_GB2312"/>
          <w:b w:val="0"/>
          <w:bCs/>
          <w:color w:val="000000"/>
          <w:sz w:val="32"/>
          <w:szCs w:val="32"/>
        </w:rPr>
        <w:t>卫</w:t>
      </w:r>
      <w:r>
        <w:rPr>
          <w:rFonts w:eastAsia="仿宋_GB2312"/>
          <w:bCs/>
          <w:color w:val="000000"/>
          <w:sz w:val="32"/>
          <w:szCs w:val="32"/>
        </w:rPr>
        <w:t>生健康</w:t>
      </w:r>
      <w:r>
        <w:rPr>
          <w:rFonts w:eastAsia="仿宋_GB2312" w:hint="eastAsia"/>
          <w:bCs/>
          <w:color w:val="000000"/>
          <w:sz w:val="32"/>
          <w:szCs w:val="32"/>
        </w:rPr>
        <w:t>支出</w:t>
      </w:r>
      <w:r>
        <w:rPr>
          <w:rStyle w:val="32"/>
          <w:rFonts w:eastAsia="仿宋_GB2312"/>
          <w:b w:val="0"/>
          <w:bCs/>
          <w:color w:val="000000"/>
          <w:sz w:val="32"/>
          <w:szCs w:val="32"/>
        </w:rPr>
        <w:t>（类）</w:t>
      </w:r>
      <w:r>
        <w:rPr>
          <w:rStyle w:val="32"/>
          <w:rFonts w:eastAsia="仿宋_GB2312" w:hint="eastAsia"/>
          <w:b w:val="0"/>
          <w:bCs/>
          <w:color w:val="000000"/>
          <w:sz w:val="32"/>
          <w:szCs w:val="32"/>
        </w:rPr>
        <w:t>行政事业单位医疗</w:t>
      </w:r>
      <w:r>
        <w:rPr>
          <w:rStyle w:val="32"/>
          <w:rFonts w:eastAsia="仿宋_GB2312"/>
          <w:b w:val="0"/>
          <w:bCs/>
          <w:color w:val="000000"/>
          <w:sz w:val="32"/>
          <w:szCs w:val="32"/>
        </w:rPr>
        <w:t>（款）</w:t>
      </w:r>
      <w:r>
        <w:rPr>
          <w:rStyle w:val="32"/>
          <w:rFonts w:eastAsia="仿宋_GB2312" w:hint="eastAsia"/>
          <w:b w:val="0"/>
          <w:bCs/>
          <w:color w:val="000000"/>
          <w:sz w:val="32"/>
          <w:szCs w:val="32"/>
        </w:rPr>
        <w:t>行政单位医疗</w:t>
      </w:r>
      <w:r>
        <w:rPr>
          <w:rStyle w:val="32"/>
          <w:rFonts w:eastAsia="仿宋_GB2312"/>
          <w:b w:val="0"/>
          <w:bCs/>
          <w:color w:val="000000"/>
          <w:sz w:val="32"/>
          <w:szCs w:val="32"/>
        </w:rPr>
        <w:t>（项）:支出决算为</w:t>
      </w:r>
      <w:r>
        <w:rPr>
          <w:rStyle w:val="32"/>
          <w:rFonts w:eastAsia="仿宋_GB2312" w:hint="eastAsia"/>
          <w:b w:val="0"/>
          <w:bCs/>
          <w:color w:val="000000"/>
          <w:sz w:val="32"/>
          <w:szCs w:val="32"/>
        </w:rPr>
        <w:t>19.16</w:t>
      </w:r>
      <w:r>
        <w:rPr>
          <w:rStyle w:val="32"/>
          <w:rFonts w:eastAsia="仿宋_GB2312"/>
          <w:b w:val="0"/>
          <w:bCs/>
          <w:color w:val="000000"/>
          <w:sz w:val="32"/>
          <w:szCs w:val="32"/>
        </w:rPr>
        <w:t>万元，完成预算100%。</w:t>
      </w:r>
    </w:p>
    <w:p>
      <w:pPr>
        <w:spacing w:line="578" w:lineRule="exact"/>
        <w:ind w:firstLineChars="200" w:firstLine="640"/>
        <w:rPr>
          <w:rStyle w:val="32"/>
          <w:rFonts w:eastAsia="仿宋_GB2312"/>
          <w:b w:val="0"/>
          <w:bCs/>
          <w:color w:val="000000"/>
          <w:sz w:val="32"/>
          <w:szCs w:val="32"/>
        </w:rPr>
      </w:pPr>
      <w:r>
        <w:rPr>
          <w:rStyle w:val="32"/>
          <w:rFonts w:eastAsia="仿宋_GB2312" w:hint="eastAsia"/>
          <w:b w:val="0"/>
          <w:bCs/>
          <w:color w:val="000000"/>
          <w:sz w:val="32"/>
          <w:szCs w:val="32"/>
        </w:rPr>
        <w:t>9.</w:t>
      </w:r>
      <w:r>
        <w:rPr>
          <w:rStyle w:val="32"/>
          <w:rFonts w:eastAsia="仿宋_GB2312"/>
          <w:b w:val="0"/>
          <w:bCs/>
          <w:color w:val="000000"/>
          <w:sz w:val="32"/>
          <w:szCs w:val="32"/>
        </w:rPr>
        <w:t>卫</w:t>
      </w:r>
      <w:r>
        <w:rPr>
          <w:rFonts w:eastAsia="仿宋_GB2312"/>
          <w:bCs/>
          <w:color w:val="000000"/>
          <w:sz w:val="32"/>
          <w:szCs w:val="32"/>
        </w:rPr>
        <w:t>生健康</w:t>
      </w:r>
      <w:r>
        <w:rPr>
          <w:rFonts w:eastAsia="仿宋_GB2312" w:hint="eastAsia"/>
          <w:bCs/>
          <w:color w:val="000000"/>
          <w:sz w:val="32"/>
          <w:szCs w:val="32"/>
        </w:rPr>
        <w:t>支出</w:t>
      </w:r>
      <w:r>
        <w:rPr>
          <w:rStyle w:val="32"/>
          <w:rFonts w:eastAsia="仿宋_GB2312"/>
          <w:b w:val="0"/>
          <w:bCs/>
          <w:color w:val="000000"/>
          <w:sz w:val="32"/>
          <w:szCs w:val="32"/>
        </w:rPr>
        <w:t>（类）</w:t>
      </w:r>
      <w:r>
        <w:rPr>
          <w:rStyle w:val="32"/>
          <w:rFonts w:eastAsia="仿宋_GB2312" w:hint="eastAsia"/>
          <w:b w:val="0"/>
          <w:bCs/>
          <w:color w:val="000000"/>
          <w:sz w:val="32"/>
          <w:szCs w:val="32"/>
        </w:rPr>
        <w:t>行政事业单位医疗</w:t>
      </w:r>
      <w:r>
        <w:rPr>
          <w:rStyle w:val="32"/>
          <w:rFonts w:eastAsia="仿宋_GB2312"/>
          <w:b w:val="0"/>
          <w:bCs/>
          <w:color w:val="000000"/>
          <w:sz w:val="32"/>
          <w:szCs w:val="32"/>
        </w:rPr>
        <w:t>（款）</w:t>
      </w:r>
      <w:r>
        <w:rPr>
          <w:rStyle w:val="32"/>
          <w:rFonts w:eastAsia="仿宋_GB2312" w:hint="eastAsia"/>
          <w:b w:val="0"/>
          <w:bCs/>
          <w:color w:val="000000"/>
          <w:sz w:val="32"/>
          <w:szCs w:val="32"/>
        </w:rPr>
        <w:t>事业单位医疗</w:t>
      </w:r>
      <w:r>
        <w:rPr>
          <w:rStyle w:val="32"/>
          <w:rFonts w:eastAsia="仿宋_GB2312"/>
          <w:b w:val="0"/>
          <w:bCs/>
          <w:color w:val="000000"/>
          <w:sz w:val="32"/>
          <w:szCs w:val="32"/>
        </w:rPr>
        <w:t>（项）:支出决算为</w:t>
      </w:r>
      <w:r>
        <w:rPr>
          <w:rStyle w:val="32"/>
          <w:rFonts w:eastAsia="仿宋_GB2312" w:hint="eastAsia"/>
          <w:b w:val="0"/>
          <w:bCs/>
          <w:color w:val="000000"/>
          <w:sz w:val="32"/>
          <w:szCs w:val="32"/>
        </w:rPr>
        <w:t>5.83</w:t>
      </w:r>
      <w:r>
        <w:rPr>
          <w:rStyle w:val="32"/>
          <w:rFonts w:eastAsia="仿宋_GB2312"/>
          <w:b w:val="0"/>
          <w:bCs/>
          <w:color w:val="000000"/>
          <w:sz w:val="32"/>
          <w:szCs w:val="32"/>
        </w:rPr>
        <w:t>万元，完成预算100%。</w:t>
      </w:r>
    </w:p>
    <w:p>
      <w:pPr>
        <w:spacing w:line="578" w:lineRule="exact"/>
        <w:ind w:firstLineChars="200" w:firstLine="640"/>
        <w:rPr>
          <w:rStyle w:val="32"/>
          <w:rFonts w:eastAsia="仿宋_GB2312"/>
          <w:b w:val="0"/>
          <w:bCs/>
          <w:color w:val="000000"/>
          <w:sz w:val="32"/>
          <w:szCs w:val="32"/>
        </w:rPr>
      </w:pPr>
      <w:r>
        <w:rPr>
          <w:rStyle w:val="32"/>
          <w:rFonts w:eastAsia="仿宋_GB2312" w:hint="eastAsia"/>
          <w:b w:val="0"/>
          <w:bCs/>
          <w:color w:val="000000"/>
          <w:sz w:val="32"/>
          <w:szCs w:val="32"/>
        </w:rPr>
        <w:t>10.</w:t>
      </w:r>
      <w:r>
        <w:rPr>
          <w:rStyle w:val="32"/>
          <w:rFonts w:eastAsia="仿宋_GB2312"/>
          <w:b w:val="0"/>
          <w:bCs/>
          <w:color w:val="000000"/>
          <w:sz w:val="32"/>
          <w:szCs w:val="32"/>
        </w:rPr>
        <w:t>卫</w:t>
      </w:r>
      <w:r>
        <w:rPr>
          <w:rFonts w:eastAsia="仿宋_GB2312"/>
          <w:bCs/>
          <w:color w:val="000000"/>
          <w:sz w:val="32"/>
          <w:szCs w:val="32"/>
        </w:rPr>
        <w:t>生健康</w:t>
      </w:r>
      <w:r>
        <w:rPr>
          <w:rFonts w:eastAsia="仿宋_GB2312" w:hint="eastAsia"/>
          <w:bCs/>
          <w:color w:val="000000"/>
          <w:sz w:val="32"/>
          <w:szCs w:val="32"/>
        </w:rPr>
        <w:t>支出</w:t>
      </w:r>
      <w:r>
        <w:rPr>
          <w:rStyle w:val="32"/>
          <w:rFonts w:eastAsia="仿宋_GB2312"/>
          <w:b w:val="0"/>
          <w:bCs/>
          <w:color w:val="000000"/>
          <w:sz w:val="32"/>
          <w:szCs w:val="32"/>
        </w:rPr>
        <w:t>（类）</w:t>
      </w:r>
      <w:r>
        <w:rPr>
          <w:rStyle w:val="32"/>
          <w:rFonts w:eastAsia="仿宋_GB2312" w:hint="eastAsia"/>
          <w:b w:val="0"/>
          <w:bCs/>
          <w:color w:val="000000"/>
          <w:sz w:val="32"/>
          <w:szCs w:val="32"/>
        </w:rPr>
        <w:t>行政事业单位医疗</w:t>
      </w:r>
      <w:r>
        <w:rPr>
          <w:rStyle w:val="32"/>
          <w:rFonts w:eastAsia="仿宋_GB2312"/>
          <w:b w:val="0"/>
          <w:bCs/>
          <w:color w:val="000000"/>
          <w:sz w:val="32"/>
          <w:szCs w:val="32"/>
        </w:rPr>
        <w:t>（款）</w:t>
      </w:r>
      <w:r>
        <w:rPr>
          <w:rStyle w:val="32"/>
          <w:rFonts w:eastAsia="仿宋_GB2312" w:hint="eastAsia"/>
          <w:b w:val="0"/>
          <w:bCs/>
          <w:color w:val="000000"/>
          <w:sz w:val="32"/>
          <w:szCs w:val="32"/>
        </w:rPr>
        <w:t>公务员医疗补助</w:t>
      </w:r>
      <w:r>
        <w:rPr>
          <w:rStyle w:val="32"/>
          <w:rFonts w:eastAsia="仿宋_GB2312"/>
          <w:b w:val="0"/>
          <w:bCs/>
          <w:color w:val="000000"/>
          <w:sz w:val="32"/>
          <w:szCs w:val="32"/>
        </w:rPr>
        <w:t>（项）:支出决算为</w:t>
      </w:r>
      <w:r>
        <w:rPr>
          <w:rStyle w:val="32"/>
          <w:rFonts w:eastAsia="仿宋_GB2312" w:hint="eastAsia"/>
          <w:b w:val="0"/>
          <w:bCs/>
          <w:color w:val="000000"/>
          <w:sz w:val="32"/>
          <w:szCs w:val="32"/>
        </w:rPr>
        <w:t>0.91</w:t>
      </w:r>
      <w:r>
        <w:rPr>
          <w:rStyle w:val="32"/>
          <w:rFonts w:eastAsia="仿宋_GB2312"/>
          <w:b w:val="0"/>
          <w:bCs/>
          <w:color w:val="000000"/>
          <w:sz w:val="32"/>
          <w:szCs w:val="32"/>
        </w:rPr>
        <w:t>万元，完成预算100%。</w:t>
      </w:r>
    </w:p>
    <w:p>
      <w:pPr>
        <w:spacing w:line="578" w:lineRule="exact"/>
        <w:ind w:firstLineChars="200" w:firstLine="640"/>
        <w:rPr>
          <w:rStyle w:val="32"/>
          <w:rFonts w:eastAsia="仿宋_GB2312"/>
          <w:b w:val="0"/>
          <w:bCs/>
          <w:color w:val="000000"/>
          <w:sz w:val="32"/>
          <w:szCs w:val="32"/>
        </w:rPr>
      </w:pPr>
      <w:r>
        <w:rPr>
          <w:rStyle w:val="32"/>
          <w:rFonts w:eastAsia="仿宋_GB2312" w:hint="eastAsia"/>
          <w:b w:val="0"/>
          <w:bCs/>
          <w:color w:val="000000"/>
          <w:sz w:val="32"/>
          <w:szCs w:val="32"/>
        </w:rPr>
        <w:t>11.</w:t>
      </w:r>
      <w:r>
        <w:rPr>
          <w:rStyle w:val="32"/>
          <w:rFonts w:eastAsia="仿宋_GB2312"/>
          <w:b w:val="0"/>
          <w:bCs/>
          <w:color w:val="000000"/>
          <w:sz w:val="32"/>
          <w:szCs w:val="32"/>
        </w:rPr>
        <w:t>卫</w:t>
      </w:r>
      <w:r>
        <w:rPr>
          <w:rFonts w:eastAsia="仿宋_GB2312"/>
          <w:bCs/>
          <w:color w:val="000000"/>
          <w:sz w:val="32"/>
          <w:szCs w:val="32"/>
        </w:rPr>
        <w:t>生健康</w:t>
      </w:r>
      <w:r>
        <w:rPr>
          <w:rFonts w:eastAsia="仿宋_GB2312" w:hint="eastAsia"/>
          <w:bCs/>
          <w:color w:val="000000"/>
          <w:sz w:val="32"/>
          <w:szCs w:val="32"/>
        </w:rPr>
        <w:t>支出</w:t>
      </w:r>
      <w:r>
        <w:rPr>
          <w:rStyle w:val="32"/>
          <w:rFonts w:eastAsia="仿宋_GB2312"/>
          <w:b w:val="0"/>
          <w:bCs/>
          <w:color w:val="000000"/>
          <w:sz w:val="32"/>
          <w:szCs w:val="32"/>
        </w:rPr>
        <w:t>（类）</w:t>
      </w:r>
      <w:r>
        <w:rPr>
          <w:rStyle w:val="32"/>
          <w:rFonts w:eastAsia="仿宋_GB2312" w:hint="eastAsia"/>
          <w:b w:val="0"/>
          <w:bCs/>
          <w:color w:val="000000"/>
          <w:sz w:val="32"/>
          <w:szCs w:val="32"/>
        </w:rPr>
        <w:t>行政事业单位医疗</w:t>
      </w:r>
      <w:r>
        <w:rPr>
          <w:rStyle w:val="32"/>
          <w:rFonts w:eastAsia="仿宋_GB2312"/>
          <w:b w:val="0"/>
          <w:bCs/>
          <w:color w:val="000000"/>
          <w:sz w:val="32"/>
          <w:szCs w:val="32"/>
        </w:rPr>
        <w:t>（款）</w:t>
      </w:r>
      <w:r>
        <w:rPr>
          <w:rStyle w:val="32"/>
          <w:rFonts w:eastAsia="仿宋_GB2312" w:hint="eastAsia"/>
          <w:b w:val="0"/>
          <w:bCs/>
          <w:color w:val="000000"/>
          <w:sz w:val="32"/>
          <w:szCs w:val="32"/>
        </w:rPr>
        <w:t>其他行政事业单位医疗</w:t>
      </w:r>
      <w:r>
        <w:rPr>
          <w:rStyle w:val="32"/>
          <w:rFonts w:eastAsia="仿宋_GB2312"/>
          <w:b w:val="0"/>
          <w:bCs/>
          <w:color w:val="000000"/>
          <w:sz w:val="32"/>
          <w:szCs w:val="32"/>
        </w:rPr>
        <w:t>（项）:支出决算为</w:t>
      </w:r>
      <w:r>
        <w:rPr>
          <w:rStyle w:val="32"/>
          <w:rFonts w:eastAsia="仿宋_GB2312" w:hint="eastAsia"/>
          <w:b w:val="0"/>
          <w:bCs/>
          <w:color w:val="000000"/>
          <w:sz w:val="32"/>
          <w:szCs w:val="32"/>
        </w:rPr>
        <w:t>2.76</w:t>
      </w:r>
      <w:r>
        <w:rPr>
          <w:rStyle w:val="32"/>
          <w:rFonts w:eastAsia="仿宋_GB2312"/>
          <w:b w:val="0"/>
          <w:bCs/>
          <w:color w:val="000000"/>
          <w:sz w:val="32"/>
          <w:szCs w:val="32"/>
        </w:rPr>
        <w:t>万元，完成预算100%。</w:t>
      </w:r>
    </w:p>
    <w:p>
      <w:pPr>
        <w:spacing w:line="578" w:lineRule="exact"/>
        <w:ind w:firstLineChars="200" w:firstLine="640"/>
        <w:rPr>
          <w:rFonts w:eastAsia="仿宋_GB2312"/>
          <w:bCs/>
          <w:color w:val="000000"/>
          <w:sz w:val="32"/>
          <w:szCs w:val="32"/>
        </w:rPr>
      </w:pPr>
      <w:r>
        <w:rPr>
          <w:rStyle w:val="32"/>
          <w:rFonts w:eastAsia="仿宋_GB2312" w:hint="eastAsia"/>
          <w:b w:val="0"/>
          <w:bCs/>
          <w:color w:val="000000"/>
          <w:sz w:val="32"/>
          <w:szCs w:val="32"/>
        </w:rPr>
        <w:t>12</w:t>
      </w:r>
      <w:r>
        <w:rPr>
          <w:rStyle w:val="32"/>
          <w:rFonts w:eastAsia="仿宋_GB2312"/>
          <w:b w:val="0"/>
          <w:bCs/>
          <w:color w:val="000000"/>
          <w:sz w:val="32"/>
          <w:szCs w:val="32"/>
        </w:rPr>
        <w:t>.</w:t>
      </w:r>
      <w:r>
        <w:rPr>
          <w:rFonts w:eastAsia="仿宋_GB2312"/>
          <w:bCs/>
          <w:color w:val="000000"/>
          <w:sz w:val="32"/>
          <w:szCs w:val="32"/>
        </w:rPr>
        <w:t>住房保障支出</w:t>
      </w:r>
      <w:r>
        <w:rPr>
          <w:rStyle w:val="32"/>
          <w:rFonts w:eastAsia="仿宋_GB2312"/>
          <w:b w:val="0"/>
          <w:bCs/>
          <w:color w:val="000000"/>
          <w:sz w:val="32"/>
          <w:szCs w:val="32"/>
        </w:rPr>
        <w:t>（类）住房改革支出（款）住房公积金（项）:支出决算为</w:t>
      </w:r>
      <w:r>
        <w:rPr>
          <w:rStyle w:val="32"/>
          <w:rFonts w:eastAsia="仿宋_GB2312" w:hint="eastAsia"/>
          <w:b w:val="0"/>
          <w:bCs/>
          <w:color w:val="000000"/>
          <w:sz w:val="32"/>
          <w:szCs w:val="32"/>
        </w:rPr>
        <w:t>34.93</w:t>
      </w:r>
      <w:r>
        <w:rPr>
          <w:rStyle w:val="32"/>
          <w:rFonts w:eastAsia="仿宋_GB2312"/>
          <w:b w:val="0"/>
          <w:bCs/>
          <w:color w:val="000000"/>
          <w:sz w:val="32"/>
          <w:szCs w:val="32"/>
        </w:rPr>
        <w:t>万元，完成预算100%。</w:t>
      </w:r>
    </w:p>
    <w:p>
      <w:pPr>
        <w:ind w:firstLineChars="200" w:firstLine="640"/>
        <w:outlineLvl w:val="1"/>
        <w:rPr>
          <w:rFonts w:eastAsia="黑体"/>
          <w:color w:val="000000"/>
          <w:sz w:val="32"/>
          <w:szCs w:val="32"/>
        </w:rPr>
      </w:pPr>
      <w:bookmarkStart w:id="79" w:name="_Toc15396608"/>
      <w:bookmarkStart w:id="80" w:name="_Toc144464240"/>
      <w:bookmarkStart w:id="81" w:name="_Toc145437066"/>
      <w:bookmarkStart w:id="82" w:name="_Toc145434819"/>
      <w:bookmarkStart w:id="83" w:name="_Toc82085537"/>
      <w:bookmarkStart w:id="84" w:name="_Toc82085424"/>
      <w:bookmarkStart w:id="85" w:name="_Toc113574862"/>
      <w:bookmarkStart w:id="86" w:name="_Toc15377214"/>
      <w:r>
        <w:rPr>
          <w:rFonts w:eastAsia="黑体"/>
          <w:color w:val="000000"/>
          <w:sz w:val="32"/>
          <w:szCs w:val="32"/>
        </w:rPr>
        <w:t>六、一般公共预算财政拨款基本支出决算情况说明</w:t>
      </w:r>
      <w:bookmarkEnd w:id="79"/>
      <w:bookmarkEnd w:id="80"/>
      <w:bookmarkEnd w:id="81"/>
      <w:bookmarkEnd w:id="82"/>
      <w:bookmarkEnd w:id="83"/>
      <w:bookmarkEnd w:id="84"/>
      <w:bookmarkEnd w:id="85"/>
      <w:bookmarkEnd w:id="86"/>
    </w:p>
    <w:p>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3</w:t>
      </w:r>
      <w:r>
        <w:rPr>
          <w:rFonts w:eastAsia="仿宋_GB2312"/>
          <w:color w:val="000000"/>
          <w:sz w:val="32"/>
          <w:szCs w:val="32"/>
        </w:rPr>
        <w:t>年一般公共预算财政拨款基本支出</w:t>
      </w:r>
      <w:r>
        <w:rPr>
          <w:rFonts w:eastAsia="仿宋_GB2312" w:hint="eastAsia"/>
          <w:color w:val="000000"/>
          <w:sz w:val="32"/>
          <w:szCs w:val="32"/>
        </w:rPr>
        <w:t>522.39</w:t>
      </w:r>
      <w:r>
        <w:rPr>
          <w:rFonts w:eastAsia="仿宋_GB2312"/>
          <w:color w:val="000000"/>
          <w:sz w:val="32"/>
          <w:szCs w:val="32"/>
        </w:rPr>
        <w:t>万元，其中：</w:t>
      </w:r>
    </w:p>
    <w:p>
      <w:pPr>
        <w:spacing w:line="578" w:lineRule="exact"/>
        <w:ind w:firstLineChars="200" w:firstLine="640"/>
        <w:rPr>
          <w:rFonts w:eastAsia="仿宋_GB2312"/>
          <w:color w:val="000000"/>
          <w:sz w:val="32"/>
          <w:szCs w:val="32"/>
        </w:rPr>
      </w:pPr>
      <w:r>
        <w:rPr>
          <w:rFonts w:eastAsia="仿宋_GB2312"/>
          <w:color w:val="000000"/>
          <w:sz w:val="32"/>
          <w:szCs w:val="32"/>
        </w:rPr>
        <w:t>人员经费</w:t>
      </w:r>
      <w:r>
        <w:rPr>
          <w:rFonts w:eastAsia="仿宋_GB2312" w:hint="eastAsia"/>
          <w:color w:val="000000"/>
          <w:sz w:val="32"/>
          <w:szCs w:val="32"/>
        </w:rPr>
        <w:t>支出459.73</w:t>
      </w:r>
      <w:r>
        <w:rPr>
          <w:rFonts w:eastAsia="仿宋_GB2312"/>
          <w:color w:val="000000"/>
          <w:sz w:val="32"/>
          <w:szCs w:val="32"/>
        </w:rPr>
        <w:t>万元，主要包括：基本工资</w:t>
      </w:r>
      <w:r>
        <w:rPr>
          <w:rFonts w:eastAsia="仿宋_GB2312" w:hint="eastAsia"/>
          <w:color w:val="000000"/>
          <w:sz w:val="32"/>
          <w:szCs w:val="32"/>
        </w:rPr>
        <w:t>103.21万元</w:t>
      </w:r>
      <w:r>
        <w:rPr>
          <w:rFonts w:eastAsia="仿宋_GB2312"/>
          <w:color w:val="000000"/>
          <w:sz w:val="32"/>
          <w:szCs w:val="32"/>
        </w:rPr>
        <w:t>、津贴补贴</w:t>
      </w:r>
      <w:r>
        <w:rPr>
          <w:rFonts w:eastAsia="仿宋_GB2312" w:hint="eastAsia"/>
          <w:color w:val="000000"/>
          <w:sz w:val="32"/>
          <w:szCs w:val="32"/>
        </w:rPr>
        <w:t>67.9</w:t>
      </w:r>
      <w:r>
        <w:rPr>
          <w:rFonts w:eastAsia="仿宋_GB2312" w:hint="eastAsia"/>
          <w:color w:val="000000"/>
          <w:sz w:val="32"/>
          <w:szCs w:val="32"/>
          <w:lang w:val="en-US" w:eastAsia="zh-CN"/>
        </w:rPr>
        <w:t>1</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奖金84.31万元、</w:t>
      </w:r>
      <w:r>
        <w:rPr>
          <w:rFonts w:eastAsia="仿宋_GB2312"/>
          <w:color w:val="000000"/>
          <w:sz w:val="32"/>
          <w:szCs w:val="32"/>
        </w:rPr>
        <w:t>绩效工资</w:t>
      </w:r>
      <w:r>
        <w:rPr>
          <w:rFonts w:eastAsia="仿宋_GB2312" w:hint="eastAsia"/>
          <w:color w:val="000000"/>
          <w:sz w:val="32"/>
          <w:szCs w:val="32"/>
        </w:rPr>
        <w:t>44.79万元</w:t>
      </w:r>
      <w:r>
        <w:rPr>
          <w:rFonts w:eastAsia="仿宋_GB2312"/>
          <w:color w:val="000000"/>
          <w:sz w:val="32"/>
          <w:szCs w:val="32"/>
        </w:rPr>
        <w:t>、机关事业单位基本养老保险缴费</w:t>
      </w:r>
      <w:r>
        <w:rPr>
          <w:rFonts w:eastAsia="仿宋_GB2312" w:hint="eastAsia"/>
          <w:color w:val="000000"/>
          <w:sz w:val="32"/>
          <w:szCs w:val="32"/>
        </w:rPr>
        <w:t>50.58万元</w:t>
      </w:r>
      <w:r>
        <w:rPr>
          <w:rFonts w:eastAsia="仿宋_GB2312"/>
          <w:color w:val="000000"/>
          <w:sz w:val="32"/>
          <w:szCs w:val="32"/>
        </w:rPr>
        <w:t>、</w:t>
      </w:r>
      <w:r>
        <w:rPr>
          <w:rFonts w:eastAsia="仿宋_GB2312" w:hint="eastAsia"/>
          <w:color w:val="000000"/>
          <w:sz w:val="32"/>
          <w:szCs w:val="32"/>
        </w:rPr>
        <w:t>职业年金缴费9.53万元、</w:t>
      </w:r>
      <w:r>
        <w:rPr>
          <w:rFonts w:eastAsia="仿宋_GB2312"/>
          <w:color w:val="000000"/>
          <w:sz w:val="32"/>
          <w:szCs w:val="32"/>
        </w:rPr>
        <w:t>职工基本医疗保险缴费</w:t>
      </w:r>
      <w:r>
        <w:rPr>
          <w:rFonts w:eastAsia="仿宋_GB2312" w:hint="eastAsia"/>
          <w:color w:val="000000"/>
          <w:sz w:val="32"/>
          <w:szCs w:val="32"/>
        </w:rPr>
        <w:t>23.32万元</w:t>
      </w:r>
      <w:r>
        <w:rPr>
          <w:rFonts w:eastAsia="仿宋_GB2312"/>
          <w:color w:val="000000"/>
          <w:sz w:val="32"/>
          <w:szCs w:val="32"/>
        </w:rPr>
        <w:t>、公务员医疗补助缴费</w:t>
      </w:r>
      <w:r>
        <w:rPr>
          <w:rFonts w:eastAsia="仿宋_GB2312" w:hint="eastAsia"/>
          <w:color w:val="000000"/>
          <w:sz w:val="32"/>
          <w:szCs w:val="32"/>
        </w:rPr>
        <w:t>5.35万元</w:t>
      </w:r>
      <w:r>
        <w:rPr>
          <w:rFonts w:eastAsia="仿宋_GB2312"/>
          <w:color w:val="000000"/>
          <w:sz w:val="32"/>
          <w:szCs w:val="32"/>
        </w:rPr>
        <w:t>、其他社会保障缴费</w:t>
      </w:r>
      <w:r>
        <w:rPr>
          <w:rFonts w:eastAsia="仿宋_GB2312" w:hint="eastAsia"/>
          <w:color w:val="000000"/>
          <w:sz w:val="32"/>
          <w:szCs w:val="32"/>
        </w:rPr>
        <w:t>1.19万元</w:t>
      </w:r>
      <w:r>
        <w:rPr>
          <w:rFonts w:eastAsia="仿宋_GB2312"/>
          <w:color w:val="000000"/>
          <w:sz w:val="32"/>
          <w:szCs w:val="32"/>
        </w:rPr>
        <w:t>、住房公积金</w:t>
      </w:r>
      <w:r>
        <w:rPr>
          <w:rFonts w:eastAsia="仿宋_GB2312" w:hint="eastAsia"/>
          <w:color w:val="000000"/>
          <w:sz w:val="32"/>
          <w:szCs w:val="32"/>
        </w:rPr>
        <w:t>34.93万元</w:t>
      </w:r>
      <w:r>
        <w:rPr>
          <w:rFonts w:eastAsia="仿宋_GB2312"/>
          <w:color w:val="000000"/>
          <w:sz w:val="32"/>
          <w:szCs w:val="32"/>
        </w:rPr>
        <w:t>、其他工资福利支出</w:t>
      </w:r>
      <w:r>
        <w:rPr>
          <w:rFonts w:eastAsia="仿宋_GB2312" w:hint="eastAsia"/>
          <w:color w:val="000000"/>
          <w:sz w:val="32"/>
          <w:szCs w:val="32"/>
        </w:rPr>
        <w:t>21.87万元</w:t>
      </w:r>
      <w:r>
        <w:rPr>
          <w:rFonts w:eastAsia="仿宋_GB2312"/>
          <w:color w:val="000000"/>
          <w:sz w:val="32"/>
          <w:szCs w:val="32"/>
        </w:rPr>
        <w:t>、</w:t>
      </w:r>
      <w:r>
        <w:rPr>
          <w:rFonts w:eastAsia="仿宋"/>
          <w:sz w:val="32"/>
          <w:szCs w:val="32"/>
        </w:rPr>
        <w:t>生活补助</w:t>
      </w:r>
      <w:r>
        <w:rPr>
          <w:rFonts w:eastAsia="仿宋" w:hint="eastAsia"/>
          <w:sz w:val="32"/>
          <w:szCs w:val="32"/>
        </w:rPr>
        <w:t>11.98万元、医疗费补助0.76万元</w:t>
      </w:r>
      <w:r>
        <w:rPr>
          <w:rFonts w:eastAsia="仿宋_GB2312"/>
          <w:color w:val="000000"/>
          <w:sz w:val="32"/>
          <w:szCs w:val="32"/>
        </w:rPr>
        <w:t>。</w:t>
      </w:r>
    </w:p>
    <w:p>
      <w:pPr>
        <w:spacing w:line="578" w:lineRule="exact"/>
        <w:ind w:firstLineChars="200" w:firstLine="640"/>
        <w:rPr>
          <w:rFonts w:eastAsia="仿宋_GB2312"/>
          <w:color w:val="000000"/>
          <w:sz w:val="32"/>
          <w:szCs w:val="32"/>
        </w:rPr>
      </w:pPr>
      <w:r>
        <w:rPr>
          <w:rFonts w:eastAsia="仿宋_GB2312" w:hint="eastAsia"/>
          <w:color w:val="000000"/>
          <w:sz w:val="32"/>
          <w:szCs w:val="32"/>
        </w:rPr>
        <w:t xml:space="preserve">    </w:t>
      </w:r>
      <w:r>
        <w:rPr>
          <w:rFonts w:eastAsia="仿宋_GB2312"/>
          <w:color w:val="000000"/>
          <w:sz w:val="32"/>
          <w:szCs w:val="32"/>
        </w:rPr>
        <w:t>公用经费</w:t>
      </w:r>
      <w:r>
        <w:rPr>
          <w:rFonts w:eastAsia="仿宋_GB2312" w:hint="eastAsia"/>
          <w:color w:val="000000"/>
          <w:sz w:val="32"/>
          <w:szCs w:val="32"/>
        </w:rPr>
        <w:t>支出62.66</w:t>
      </w:r>
      <w:r>
        <w:rPr>
          <w:rFonts w:eastAsia="仿宋_GB2312"/>
          <w:color w:val="000000"/>
          <w:sz w:val="32"/>
          <w:szCs w:val="32"/>
        </w:rPr>
        <w:t>万元，主要包括：办公费</w:t>
      </w:r>
      <w:r>
        <w:rPr>
          <w:rFonts w:eastAsia="仿宋_GB2312" w:hint="eastAsia"/>
          <w:color w:val="000000"/>
          <w:sz w:val="32"/>
          <w:szCs w:val="32"/>
        </w:rPr>
        <w:t>6.7</w:t>
      </w:r>
      <w:r>
        <w:rPr>
          <w:rFonts w:eastAsia="仿宋_GB2312" w:hint="eastAsia"/>
          <w:color w:val="000000"/>
          <w:sz w:val="32"/>
          <w:szCs w:val="32"/>
          <w:lang w:val="en-US" w:eastAsia="zh-CN"/>
        </w:rPr>
        <w:t>3</w:t>
      </w:r>
      <w:r>
        <w:rPr>
          <w:rFonts w:eastAsia="仿宋_GB2312" w:hint="eastAsia"/>
          <w:color w:val="000000"/>
          <w:sz w:val="32"/>
          <w:szCs w:val="32"/>
        </w:rPr>
        <w:t>万元</w:t>
      </w:r>
      <w:r>
        <w:rPr>
          <w:rFonts w:eastAsia="仿宋_GB2312"/>
          <w:color w:val="000000"/>
          <w:sz w:val="32"/>
          <w:szCs w:val="32"/>
        </w:rPr>
        <w:t>、水费</w:t>
      </w:r>
      <w:r>
        <w:rPr>
          <w:rFonts w:eastAsia="仿宋_GB2312" w:hint="eastAsia"/>
          <w:color w:val="000000"/>
          <w:sz w:val="32"/>
          <w:szCs w:val="32"/>
        </w:rPr>
        <w:t>0.17万元</w:t>
      </w:r>
      <w:r>
        <w:rPr>
          <w:rFonts w:eastAsia="仿宋_GB2312"/>
          <w:color w:val="000000"/>
          <w:sz w:val="32"/>
          <w:szCs w:val="32"/>
        </w:rPr>
        <w:t>、电费</w:t>
      </w:r>
      <w:r>
        <w:rPr>
          <w:rFonts w:eastAsia="仿宋_GB2312" w:hint="eastAsia"/>
          <w:color w:val="000000"/>
          <w:sz w:val="32"/>
          <w:szCs w:val="32"/>
        </w:rPr>
        <w:t>5.0</w:t>
      </w:r>
      <w:r>
        <w:rPr>
          <w:rFonts w:eastAsia="仿宋_GB2312" w:hint="eastAsia"/>
          <w:color w:val="000000"/>
          <w:sz w:val="32"/>
          <w:szCs w:val="32"/>
          <w:lang w:val="en-US" w:eastAsia="zh-CN"/>
        </w:rPr>
        <w:t>4</w:t>
      </w:r>
      <w:r>
        <w:rPr>
          <w:rFonts w:eastAsia="仿宋_GB2312" w:hint="eastAsia"/>
          <w:color w:val="000000"/>
          <w:sz w:val="32"/>
          <w:szCs w:val="32"/>
        </w:rPr>
        <w:t>万元</w:t>
      </w:r>
      <w:r>
        <w:rPr>
          <w:rFonts w:eastAsia="仿宋_GB2312"/>
          <w:color w:val="000000"/>
          <w:sz w:val="32"/>
          <w:szCs w:val="32"/>
        </w:rPr>
        <w:t>、邮电费</w:t>
      </w:r>
      <w:r>
        <w:rPr>
          <w:rFonts w:eastAsia="仿宋_GB2312" w:hint="eastAsia"/>
          <w:color w:val="000000"/>
          <w:sz w:val="32"/>
          <w:szCs w:val="32"/>
        </w:rPr>
        <w:t>2.78万元</w:t>
      </w:r>
      <w:r>
        <w:rPr>
          <w:rFonts w:eastAsia="仿宋_GB2312"/>
          <w:color w:val="000000"/>
          <w:sz w:val="32"/>
          <w:szCs w:val="32"/>
        </w:rPr>
        <w:t>、物业管理费</w:t>
      </w:r>
      <w:r>
        <w:rPr>
          <w:rFonts w:eastAsia="仿宋_GB2312" w:hint="eastAsia"/>
          <w:color w:val="000000"/>
          <w:sz w:val="32"/>
          <w:szCs w:val="32"/>
        </w:rPr>
        <w:t>2.04万元</w:t>
      </w:r>
      <w:r>
        <w:rPr>
          <w:rFonts w:eastAsia="仿宋_GB2312"/>
          <w:color w:val="000000"/>
          <w:sz w:val="32"/>
          <w:szCs w:val="32"/>
        </w:rPr>
        <w:t>、差旅费</w:t>
      </w:r>
      <w:r>
        <w:rPr>
          <w:rFonts w:eastAsia="仿宋_GB2312" w:hint="eastAsia"/>
          <w:color w:val="000000"/>
          <w:sz w:val="32"/>
          <w:szCs w:val="32"/>
        </w:rPr>
        <w:t>5.85万元</w:t>
      </w:r>
      <w:r>
        <w:rPr>
          <w:rFonts w:eastAsia="仿宋_GB2312"/>
          <w:color w:val="000000"/>
          <w:sz w:val="32"/>
          <w:szCs w:val="32"/>
        </w:rPr>
        <w:t>、公务接待费</w:t>
      </w:r>
      <w:r>
        <w:rPr>
          <w:rFonts w:eastAsia="仿宋_GB2312" w:hint="eastAsia"/>
          <w:color w:val="000000"/>
          <w:sz w:val="32"/>
          <w:szCs w:val="32"/>
        </w:rPr>
        <w:t>0.68万元</w:t>
      </w:r>
      <w:r>
        <w:rPr>
          <w:rFonts w:eastAsia="仿宋_GB2312"/>
          <w:color w:val="000000"/>
          <w:sz w:val="32"/>
          <w:szCs w:val="32"/>
        </w:rPr>
        <w:t>、劳务费</w:t>
      </w:r>
      <w:r>
        <w:rPr>
          <w:rFonts w:eastAsia="仿宋_GB2312" w:hint="eastAsia"/>
          <w:color w:val="000000"/>
          <w:sz w:val="32"/>
          <w:szCs w:val="32"/>
        </w:rPr>
        <w:t>10.15万元</w:t>
      </w:r>
      <w:r>
        <w:rPr>
          <w:rFonts w:eastAsia="仿宋_GB2312"/>
          <w:color w:val="000000"/>
          <w:sz w:val="32"/>
          <w:szCs w:val="32"/>
        </w:rPr>
        <w:t>、工会经费</w:t>
      </w:r>
      <w:r>
        <w:rPr>
          <w:rFonts w:eastAsia="仿宋_GB2312" w:hint="eastAsia"/>
          <w:color w:val="000000"/>
          <w:sz w:val="32"/>
          <w:szCs w:val="32"/>
        </w:rPr>
        <w:t>5.97万元</w:t>
      </w:r>
      <w:r>
        <w:rPr>
          <w:rFonts w:eastAsia="仿宋_GB2312"/>
          <w:color w:val="000000"/>
          <w:sz w:val="32"/>
          <w:szCs w:val="32"/>
        </w:rPr>
        <w:t>、</w:t>
      </w:r>
      <w:r>
        <w:rPr>
          <w:rFonts w:eastAsia="仿宋_GB2312" w:hint="eastAsia"/>
          <w:color w:val="000000"/>
          <w:sz w:val="32"/>
          <w:szCs w:val="32"/>
          <w:lang w:val="en-US" w:eastAsia="zh-CN"/>
        </w:rPr>
        <w:t>福利费2.39万元，</w:t>
      </w:r>
      <w:r>
        <w:rPr>
          <w:rFonts w:eastAsia="仿宋_GB2312"/>
          <w:color w:val="000000"/>
          <w:sz w:val="32"/>
          <w:szCs w:val="32"/>
        </w:rPr>
        <w:t>公务用车运行维护费</w:t>
      </w:r>
      <w:r>
        <w:rPr>
          <w:rFonts w:eastAsia="仿宋_GB2312" w:hint="eastAsia"/>
          <w:color w:val="000000"/>
          <w:sz w:val="32"/>
          <w:szCs w:val="32"/>
        </w:rPr>
        <w:t>2.69万元</w:t>
      </w:r>
      <w:r>
        <w:rPr>
          <w:rFonts w:eastAsia="仿宋_GB2312"/>
          <w:color w:val="000000"/>
          <w:sz w:val="32"/>
          <w:szCs w:val="32"/>
        </w:rPr>
        <w:t>、其他交通费用</w:t>
      </w:r>
      <w:r>
        <w:rPr>
          <w:rFonts w:eastAsia="仿宋_GB2312" w:hint="eastAsia"/>
          <w:color w:val="000000"/>
          <w:sz w:val="32"/>
          <w:szCs w:val="32"/>
        </w:rPr>
        <w:t>15.86万元</w:t>
      </w:r>
      <w:r>
        <w:rPr>
          <w:rFonts w:eastAsia="仿宋_GB2312"/>
          <w:color w:val="000000"/>
          <w:sz w:val="32"/>
          <w:szCs w:val="32"/>
        </w:rPr>
        <w:t>、其他商品和服务支出</w:t>
      </w:r>
      <w:r>
        <w:rPr>
          <w:rFonts w:eastAsia="仿宋_GB2312" w:hint="eastAsia"/>
          <w:color w:val="000000"/>
          <w:sz w:val="32"/>
          <w:szCs w:val="32"/>
        </w:rPr>
        <w:t>2.31万元</w:t>
      </w:r>
      <w:r>
        <w:rPr>
          <w:rFonts w:eastAsia="仿宋_GB2312"/>
          <w:color w:val="000000"/>
          <w:sz w:val="32"/>
          <w:szCs w:val="32"/>
        </w:rPr>
        <w:t>。</w:t>
      </w:r>
    </w:p>
    <w:p>
      <w:pPr>
        <w:ind w:firstLineChars="200" w:firstLine="640"/>
        <w:outlineLvl w:val="1"/>
        <w:rPr>
          <w:rFonts w:eastAsia="黑体"/>
          <w:color w:val="000000"/>
          <w:sz w:val="32"/>
          <w:szCs w:val="32"/>
        </w:rPr>
      </w:pPr>
      <w:bookmarkStart w:id="87" w:name="_Toc82085425"/>
      <w:bookmarkStart w:id="88" w:name="_Toc15377215"/>
      <w:bookmarkStart w:id="89" w:name="_Toc144464241"/>
      <w:bookmarkStart w:id="90" w:name="_Toc82085538"/>
      <w:bookmarkStart w:id="91" w:name="_Toc113574863"/>
      <w:bookmarkStart w:id="92" w:name="_Toc145437067"/>
      <w:bookmarkStart w:id="93" w:name="_Toc15396609"/>
      <w:bookmarkStart w:id="94" w:name="_Toc145434820"/>
      <w:r>
        <w:rPr>
          <w:rFonts w:eastAsia="黑体"/>
          <w:color w:val="000000"/>
          <w:sz w:val="32"/>
          <w:szCs w:val="32"/>
        </w:rPr>
        <w:t>七、“三公”经费财政拨款支出决算情况说明</w:t>
      </w:r>
      <w:bookmarkEnd w:id="87"/>
      <w:bookmarkEnd w:id="88"/>
      <w:bookmarkEnd w:id="89"/>
      <w:bookmarkEnd w:id="90"/>
      <w:bookmarkEnd w:id="91"/>
      <w:bookmarkEnd w:id="92"/>
      <w:bookmarkEnd w:id="93"/>
      <w:bookmarkEnd w:id="94"/>
    </w:p>
    <w:p>
      <w:pPr>
        <w:spacing w:line="578" w:lineRule="exact"/>
        <w:ind w:firstLineChars="200" w:firstLine="640"/>
        <w:rPr>
          <w:rFonts w:eastAsia="仿宋_GB2312"/>
          <w:b/>
          <w:color w:val="000000"/>
          <w:sz w:val="32"/>
          <w:szCs w:val="32"/>
        </w:rPr>
      </w:pPr>
      <w:bookmarkStart w:id="95" w:name="_Toc15377216"/>
      <w:r>
        <w:rPr>
          <w:rFonts w:eastAsia="仿宋_GB2312"/>
          <w:b/>
          <w:color w:val="000000"/>
          <w:sz w:val="32"/>
          <w:szCs w:val="32"/>
        </w:rPr>
        <w:t>（一）“三公”经费财政拨款支出决算总体情况说明</w:t>
      </w:r>
      <w:bookmarkEnd w:id="95"/>
    </w:p>
    <w:p>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3</w:t>
      </w:r>
      <w:r>
        <w:rPr>
          <w:rFonts w:eastAsia="仿宋_GB2312"/>
          <w:color w:val="000000"/>
          <w:sz w:val="32"/>
          <w:szCs w:val="32"/>
        </w:rPr>
        <w:t>年“三公”经费财政拨款支出决算为</w:t>
      </w:r>
      <w:r>
        <w:rPr>
          <w:rFonts w:eastAsia="仿宋_GB2312" w:hint="eastAsia"/>
          <w:color w:val="000000"/>
          <w:sz w:val="32"/>
          <w:szCs w:val="32"/>
        </w:rPr>
        <w:t>3.38</w:t>
      </w:r>
      <w:r>
        <w:rPr>
          <w:rFonts w:eastAsia="仿宋_GB2312"/>
          <w:color w:val="000000"/>
          <w:sz w:val="32"/>
          <w:szCs w:val="32"/>
        </w:rPr>
        <w:t>万元，完成预算</w:t>
      </w:r>
      <w:r>
        <w:rPr>
          <w:rFonts w:eastAsia="仿宋_GB2312" w:hint="eastAsia"/>
          <w:color w:val="000000"/>
          <w:sz w:val="32"/>
          <w:szCs w:val="32"/>
        </w:rPr>
        <w:t>92.60</w:t>
      </w:r>
      <w:r>
        <w:rPr>
          <w:rFonts w:eastAsia="仿宋_GB2312"/>
          <w:color w:val="000000"/>
          <w:sz w:val="32"/>
          <w:szCs w:val="32"/>
        </w:rPr>
        <w:t>%，</w:t>
      </w:r>
      <w:r>
        <w:rPr>
          <w:rFonts w:eastAsia="仿宋"/>
          <w:sz w:val="32"/>
          <w:szCs w:val="32"/>
        </w:rPr>
        <w:t>较上年</w:t>
      </w:r>
      <w:r>
        <w:rPr>
          <w:rFonts w:eastAsia="仿宋" w:hint="eastAsia"/>
          <w:sz w:val="32"/>
          <w:szCs w:val="32"/>
        </w:rPr>
        <w:t>增加1.70</w:t>
      </w:r>
      <w:r>
        <w:rPr>
          <w:rFonts w:eastAsia="仿宋"/>
          <w:sz w:val="32"/>
          <w:szCs w:val="32"/>
        </w:rPr>
        <w:t>万元，</w:t>
      </w:r>
      <w:r>
        <w:rPr>
          <w:rFonts w:eastAsia="仿宋" w:hint="eastAsia"/>
          <w:sz w:val="32"/>
          <w:szCs w:val="32"/>
        </w:rPr>
        <w:t>增长101.19</w:t>
      </w:r>
      <w:r>
        <w:rPr>
          <w:rFonts w:eastAsia="仿宋"/>
          <w:sz w:val="32"/>
          <w:szCs w:val="32"/>
        </w:rPr>
        <w:t>%。</w:t>
      </w:r>
      <w:r>
        <w:rPr>
          <w:rFonts w:eastAsia="仿宋_GB2312"/>
          <w:color w:val="000000"/>
          <w:sz w:val="32"/>
          <w:szCs w:val="32"/>
        </w:rPr>
        <w:t>决算数小于预算数的主要原因：一是严格执行中央八项规定，按照能减就减的原则控制公务接待和公务用车费用支出。</w:t>
      </w:r>
      <w:r>
        <w:rPr>
          <w:rFonts w:eastAsia="仿宋_GB2312" w:hint="eastAsia"/>
          <w:color w:val="000000"/>
          <w:sz w:val="32"/>
          <w:szCs w:val="32"/>
        </w:rPr>
        <w:t>2023年支出同比大幅增长原因是：2022年底</w:t>
      </w:r>
      <w:r>
        <w:rPr>
          <w:rFonts w:eastAsia="仿宋_GB2312"/>
          <w:color w:val="000000"/>
          <w:sz w:val="32"/>
          <w:szCs w:val="32"/>
        </w:rPr>
        <w:t>部分</w:t>
      </w:r>
      <w:r>
        <w:rPr>
          <w:rFonts w:eastAsia="仿宋_GB2312" w:hint="eastAsia"/>
          <w:color w:val="000000"/>
          <w:sz w:val="32"/>
          <w:szCs w:val="32"/>
        </w:rPr>
        <w:t>公务用车</w:t>
      </w:r>
      <w:r>
        <w:rPr>
          <w:rFonts w:eastAsia="仿宋_GB2312"/>
          <w:color w:val="000000"/>
          <w:sz w:val="32"/>
          <w:szCs w:val="32"/>
        </w:rPr>
        <w:t>费用未成功支付</w:t>
      </w:r>
      <w:r>
        <w:rPr>
          <w:rFonts w:eastAsia="仿宋_GB2312" w:hint="eastAsia"/>
          <w:color w:val="000000"/>
          <w:sz w:val="32"/>
          <w:szCs w:val="32"/>
        </w:rPr>
        <w:t>，转移到了2023年支付</w:t>
      </w:r>
      <w:r>
        <w:rPr>
          <w:rFonts w:eastAsia="仿宋_GB2312"/>
          <w:color w:val="000000"/>
          <w:sz w:val="32"/>
          <w:szCs w:val="32"/>
        </w:rPr>
        <w:t>。</w:t>
      </w:r>
    </w:p>
    <w:p>
      <w:pPr>
        <w:spacing w:line="578" w:lineRule="exact"/>
        <w:ind w:firstLineChars="200" w:firstLine="640"/>
        <w:rPr>
          <w:rFonts w:eastAsia="仿宋_GB2312"/>
          <w:b/>
          <w:color w:val="000000"/>
          <w:sz w:val="32"/>
          <w:szCs w:val="32"/>
        </w:rPr>
      </w:pPr>
      <w:bookmarkStart w:id="96" w:name="_Toc15377217"/>
      <w:r>
        <w:rPr>
          <w:rFonts w:eastAsia="仿宋_GB2312"/>
          <w:b/>
          <w:color w:val="000000"/>
          <w:sz w:val="32"/>
          <w:szCs w:val="32"/>
        </w:rPr>
        <w:t>（二）“三公”经费财政拨款支出决算具体情况说明</w:t>
      </w:r>
      <w:bookmarkEnd w:id="96"/>
    </w:p>
    <w:p>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3</w:t>
      </w:r>
      <w:r>
        <w:rPr>
          <w:rFonts w:eastAsia="仿宋_GB2312"/>
          <w:color w:val="000000"/>
          <w:sz w:val="32"/>
          <w:szCs w:val="32"/>
        </w:rPr>
        <w:t>年“三公”经费财政拨款支出决算中，因公出国（境）费支出决算0万元，占0%；公务用车购置及运行维护费支出决算</w:t>
      </w:r>
      <w:r>
        <w:rPr>
          <w:rFonts w:eastAsia="仿宋_GB2312" w:hint="eastAsia"/>
          <w:color w:val="000000"/>
          <w:sz w:val="32"/>
          <w:szCs w:val="32"/>
        </w:rPr>
        <w:t>2.69</w:t>
      </w:r>
      <w:r>
        <w:rPr>
          <w:rFonts w:eastAsia="仿宋_GB2312"/>
          <w:color w:val="000000"/>
          <w:sz w:val="32"/>
          <w:szCs w:val="32"/>
        </w:rPr>
        <w:t>万元，占</w:t>
      </w:r>
      <w:r>
        <w:rPr>
          <w:rFonts w:eastAsia="仿宋_GB2312" w:hint="eastAsia"/>
          <w:color w:val="000000"/>
          <w:sz w:val="32"/>
          <w:szCs w:val="32"/>
        </w:rPr>
        <w:t>79.88</w:t>
      </w:r>
      <w:r>
        <w:rPr>
          <w:rFonts w:eastAsia="仿宋_GB2312"/>
          <w:color w:val="000000"/>
          <w:sz w:val="32"/>
          <w:szCs w:val="32"/>
        </w:rPr>
        <w:t>%；公务接待费支出决算0.6</w:t>
      </w:r>
      <w:r>
        <w:rPr>
          <w:rFonts w:eastAsia="仿宋_GB2312" w:hint="eastAsia"/>
          <w:color w:val="000000"/>
          <w:sz w:val="32"/>
          <w:szCs w:val="32"/>
        </w:rPr>
        <w:t>8</w:t>
      </w:r>
      <w:r>
        <w:rPr>
          <w:rFonts w:eastAsia="仿宋_GB2312"/>
          <w:color w:val="000000"/>
          <w:sz w:val="32"/>
          <w:szCs w:val="32"/>
        </w:rPr>
        <w:t>万元，占</w:t>
      </w:r>
      <w:r>
        <w:rPr>
          <w:rFonts w:eastAsia="仿宋_GB2312" w:hint="eastAsia"/>
          <w:color w:val="000000"/>
          <w:sz w:val="32"/>
          <w:szCs w:val="32"/>
        </w:rPr>
        <w:t>20.12</w:t>
      </w:r>
      <w:r>
        <w:rPr>
          <w:rFonts w:eastAsia="仿宋_GB2312"/>
          <w:color w:val="000000"/>
          <w:sz w:val="32"/>
          <w:szCs w:val="32"/>
        </w:rPr>
        <w:t>%。具体情况如下：</w:t>
      </w:r>
    </w:p>
    <w:p>
      <w:pPr>
        <w:jc w:val="center"/>
        <w:rPr>
          <w:rFonts w:eastAsia="仿宋_GB2312"/>
          <w:color w:val="000000"/>
          <w:sz w:val="32"/>
          <w:szCs w:val="32"/>
        </w:rPr>
      </w:pPr>
      <w:bookmarkStart w:id="97" w:name="_MON_1723894279"/>
      <w:bookmarkEnd w:id="97"/>
      <w:r>
        <w:rPr>
          <w:rFonts w:eastAsia="仿宋"/>
          <w:color w:val="000000"/>
          <w:sz w:val="32"/>
          <w:szCs w:val="32"/>
        </w:rPr>
        <w:object>
          <v:shape id="_x0000_i7" type="#_x0000_t75" filled="f" stroked="f" style="width:244.5pt;height:183.75pt;" o:ole="">
            <v:stroke color="#000000"/>
            <v:imagedata r:id="rId17" o:title="image7"/>
            <o:lock aspectratio="t"/>
            <w10:anchorLock/>
          </v:shape>
          <o:OLEObject Type="Embed" ProgID="Package" ShapeID="_x0000_i7" DrawAspect="Content" ObjectID="_1393063357" r:id="rId18"/>
        </w:object>
      </w:r>
    </w:p>
    <w:p>
      <w:pPr>
        <w:spacing w:line="578" w:lineRule="exact"/>
        <w:ind w:firstLineChars="200" w:firstLine="640"/>
        <w:rPr>
          <w:rFonts w:eastAsia="仿宋_GB2312"/>
          <w:color w:val="000000"/>
          <w:sz w:val="32"/>
          <w:szCs w:val="32"/>
        </w:rPr>
      </w:pPr>
      <w:r>
        <w:rPr>
          <w:rFonts w:eastAsia="仿宋_GB2312"/>
          <w:color w:val="000000"/>
          <w:sz w:val="32"/>
          <w:szCs w:val="32"/>
        </w:rPr>
        <w:t>（图7：“三公”经费财政拨款支出结构）</w:t>
      </w:r>
    </w:p>
    <w:p>
      <w:pPr>
        <w:spacing w:line="578" w:lineRule="exact"/>
        <w:ind w:firstLineChars="200" w:firstLine="640"/>
        <w:rPr>
          <w:rFonts w:eastAsia="仿宋_GB2312"/>
          <w:color w:val="000000"/>
          <w:sz w:val="32"/>
          <w:szCs w:val="32"/>
        </w:rPr>
      </w:pPr>
    </w:p>
    <w:p>
      <w:pPr>
        <w:spacing w:line="578" w:lineRule="exact"/>
        <w:ind w:firstLineChars="200" w:firstLine="640"/>
        <w:rPr>
          <w:rFonts w:eastAsia="仿宋_GB2312"/>
          <w:b/>
          <w:color w:val="000000"/>
          <w:sz w:val="32"/>
          <w:szCs w:val="32"/>
        </w:rPr>
      </w:pPr>
      <w:r>
        <w:rPr>
          <w:rFonts w:eastAsia="仿宋_GB2312"/>
          <w:b/>
          <w:color w:val="000000"/>
          <w:sz w:val="32"/>
          <w:szCs w:val="32"/>
        </w:rPr>
        <w:t>1.因公出国（境）经费支出</w:t>
      </w:r>
      <w:r>
        <w:rPr>
          <w:rFonts w:eastAsia="仿宋_GB2312"/>
          <w:color w:val="000000"/>
          <w:sz w:val="32"/>
          <w:szCs w:val="32"/>
        </w:rPr>
        <w:t>0万元，</w:t>
      </w:r>
      <w:r>
        <w:rPr>
          <w:rStyle w:val="32"/>
          <w:rFonts w:eastAsia="仿宋_GB2312"/>
          <w:b w:val="0"/>
          <w:bCs/>
          <w:color w:val="000000"/>
          <w:sz w:val="32"/>
          <w:szCs w:val="32"/>
        </w:rPr>
        <w:t>完成预算0%。</w:t>
      </w:r>
      <w:r>
        <w:rPr>
          <w:rFonts w:eastAsia="仿宋_GB2312"/>
          <w:color w:val="000000"/>
          <w:sz w:val="32"/>
          <w:szCs w:val="32"/>
        </w:rPr>
        <w:t>全年安排因公出国（境）团组0次，出国（境）0人。因公出国（境）支出决算比202</w:t>
      </w:r>
      <w:r>
        <w:rPr>
          <w:rFonts w:eastAsia="仿宋_GB2312" w:hint="eastAsia"/>
          <w:color w:val="000000"/>
          <w:sz w:val="32"/>
          <w:szCs w:val="32"/>
        </w:rPr>
        <w:t>2</w:t>
      </w:r>
      <w:r>
        <w:rPr>
          <w:rFonts w:eastAsia="仿宋_GB2312"/>
          <w:color w:val="000000"/>
          <w:sz w:val="32"/>
          <w:szCs w:val="32"/>
        </w:rPr>
        <w:t>年</w:t>
      </w:r>
      <w:r>
        <w:rPr>
          <w:rFonts w:eastAsia="仿宋_GB2312" w:hint="eastAsia"/>
          <w:color w:val="000000"/>
          <w:sz w:val="32"/>
          <w:szCs w:val="32"/>
        </w:rPr>
        <w:t>持平</w:t>
      </w:r>
      <w:r>
        <w:rPr>
          <w:rFonts w:eastAsia="仿宋_GB2312"/>
          <w:color w:val="000000"/>
          <w:sz w:val="32"/>
          <w:szCs w:val="32"/>
        </w:rPr>
        <w:t>。</w:t>
      </w:r>
    </w:p>
    <w:p>
      <w:pPr>
        <w:spacing w:line="578" w:lineRule="exact"/>
        <w:ind w:firstLineChars="200" w:firstLine="640"/>
        <w:rPr>
          <w:rFonts w:eastAsia="仿宋_GB2312"/>
          <w:color w:val="000000"/>
          <w:sz w:val="32"/>
          <w:szCs w:val="32"/>
        </w:rPr>
      </w:pPr>
      <w:r>
        <w:rPr>
          <w:rFonts w:eastAsia="仿宋_GB2312"/>
          <w:color w:val="000000"/>
          <w:sz w:val="32"/>
          <w:szCs w:val="32"/>
        </w:rPr>
        <w:t>开支内容：无</w:t>
      </w:r>
    </w:p>
    <w:p>
      <w:pPr>
        <w:spacing w:line="578" w:lineRule="exact"/>
        <w:ind w:firstLineChars="200" w:firstLine="640"/>
        <w:rPr>
          <w:rFonts w:eastAsia="仿宋_GB2312"/>
          <w:b/>
          <w:color w:val="000000"/>
          <w:sz w:val="32"/>
          <w:szCs w:val="32"/>
        </w:rPr>
      </w:pPr>
      <w:r>
        <w:rPr>
          <w:rFonts w:eastAsia="仿宋_GB2312"/>
          <w:b/>
          <w:color w:val="000000"/>
          <w:sz w:val="32"/>
          <w:szCs w:val="32"/>
        </w:rPr>
        <w:t>2.公务用车购置及运行维护费支出</w:t>
      </w:r>
      <w:r>
        <w:rPr>
          <w:rFonts w:eastAsia="仿宋_GB2312" w:hint="eastAsia"/>
          <w:color w:val="000000"/>
          <w:sz w:val="32"/>
          <w:szCs w:val="32"/>
        </w:rPr>
        <w:t>2.69</w:t>
      </w:r>
      <w:r>
        <w:rPr>
          <w:rFonts w:eastAsia="仿宋_GB2312"/>
          <w:color w:val="000000"/>
          <w:sz w:val="32"/>
          <w:szCs w:val="32"/>
        </w:rPr>
        <w:t>万元,</w:t>
      </w:r>
      <w:r>
        <w:rPr>
          <w:rStyle w:val="32"/>
          <w:rFonts w:eastAsia="仿宋_GB2312"/>
          <w:b w:val="0"/>
          <w:bCs/>
          <w:color w:val="000000"/>
          <w:sz w:val="32"/>
          <w:szCs w:val="32"/>
        </w:rPr>
        <w:t>完成预算</w:t>
      </w:r>
      <w:r>
        <w:rPr>
          <w:rStyle w:val="32"/>
          <w:rFonts w:eastAsia="仿宋_GB2312" w:hint="eastAsia"/>
          <w:b w:val="0"/>
          <w:bCs/>
          <w:color w:val="000000"/>
          <w:sz w:val="32"/>
          <w:szCs w:val="32"/>
        </w:rPr>
        <w:t>92.12</w:t>
      </w:r>
      <w:r>
        <w:rPr>
          <w:rStyle w:val="32"/>
          <w:rFonts w:eastAsia="仿宋_GB2312"/>
          <w:b w:val="0"/>
          <w:bCs/>
          <w:color w:val="000000"/>
          <w:sz w:val="32"/>
          <w:szCs w:val="32"/>
        </w:rPr>
        <w:t>%。</w:t>
      </w:r>
      <w:r>
        <w:rPr>
          <w:rFonts w:eastAsia="仿宋_GB2312"/>
          <w:color w:val="000000"/>
          <w:sz w:val="32"/>
          <w:szCs w:val="32"/>
        </w:rPr>
        <w:t>公务用车购置及运行维护费支出决算比202</w:t>
      </w:r>
      <w:r>
        <w:rPr>
          <w:rFonts w:eastAsia="仿宋_GB2312" w:hint="eastAsia"/>
          <w:color w:val="000000"/>
          <w:sz w:val="32"/>
          <w:szCs w:val="32"/>
        </w:rPr>
        <w:t>2</w:t>
      </w:r>
      <w:r>
        <w:rPr>
          <w:rFonts w:eastAsia="仿宋_GB2312"/>
          <w:color w:val="000000"/>
          <w:sz w:val="32"/>
          <w:szCs w:val="32"/>
        </w:rPr>
        <w:t>年</w:t>
      </w:r>
      <w:r>
        <w:rPr>
          <w:rFonts w:eastAsia="仿宋_GB2312" w:hint="eastAsia"/>
          <w:color w:val="000000"/>
          <w:sz w:val="32"/>
          <w:szCs w:val="32"/>
        </w:rPr>
        <w:t>增加1.70</w:t>
      </w:r>
      <w:r>
        <w:rPr>
          <w:rFonts w:eastAsia="仿宋_GB2312"/>
          <w:color w:val="000000"/>
          <w:sz w:val="32"/>
          <w:szCs w:val="32"/>
        </w:rPr>
        <w:t>万元，</w:t>
      </w:r>
      <w:r>
        <w:rPr>
          <w:rFonts w:eastAsia="仿宋_GB2312" w:hint="eastAsia"/>
          <w:color w:val="000000"/>
          <w:sz w:val="32"/>
          <w:szCs w:val="32"/>
        </w:rPr>
        <w:t>增长</w:t>
      </w:r>
      <w:r>
        <w:rPr>
          <w:rFonts w:eastAsia="仿宋" w:hint="eastAsia"/>
          <w:sz w:val="32"/>
          <w:szCs w:val="32"/>
        </w:rPr>
        <w:t>101.19</w:t>
      </w:r>
      <w:r>
        <w:rPr>
          <w:rFonts w:eastAsia="仿宋"/>
          <w:sz w:val="32"/>
          <w:szCs w:val="32"/>
        </w:rPr>
        <w:t>%</w:t>
      </w:r>
      <w:r>
        <w:rPr>
          <w:rFonts w:eastAsia="仿宋_GB2312"/>
          <w:color w:val="000000"/>
          <w:sz w:val="32"/>
          <w:szCs w:val="32"/>
        </w:rPr>
        <w:t>，主要原因是</w:t>
      </w:r>
      <w:r>
        <w:rPr>
          <w:rFonts w:eastAsia="仿宋_GB2312" w:hint="eastAsia"/>
          <w:color w:val="000000"/>
          <w:sz w:val="32"/>
          <w:szCs w:val="32"/>
        </w:rPr>
        <w:t>2022年底</w:t>
      </w:r>
      <w:r>
        <w:rPr>
          <w:rFonts w:eastAsia="仿宋_GB2312"/>
          <w:color w:val="000000"/>
          <w:sz w:val="32"/>
          <w:szCs w:val="32"/>
        </w:rPr>
        <w:t>部分</w:t>
      </w:r>
      <w:r>
        <w:rPr>
          <w:rFonts w:eastAsia="仿宋_GB2312" w:hint="eastAsia"/>
          <w:color w:val="000000"/>
          <w:sz w:val="32"/>
          <w:szCs w:val="32"/>
        </w:rPr>
        <w:t>公务用车</w:t>
      </w:r>
      <w:r>
        <w:rPr>
          <w:rFonts w:eastAsia="仿宋_GB2312"/>
          <w:color w:val="000000"/>
          <w:sz w:val="32"/>
          <w:szCs w:val="32"/>
        </w:rPr>
        <w:t>费用未成功支付</w:t>
      </w:r>
      <w:r>
        <w:rPr>
          <w:rFonts w:eastAsia="仿宋_GB2312" w:hint="eastAsia"/>
          <w:color w:val="000000"/>
          <w:sz w:val="32"/>
          <w:szCs w:val="32"/>
        </w:rPr>
        <w:t>，转移到了2023年支付</w:t>
      </w:r>
      <w:r>
        <w:rPr>
          <w:rFonts w:eastAsia="仿宋_GB2312"/>
          <w:color w:val="000000"/>
          <w:sz w:val="32"/>
          <w:szCs w:val="32"/>
        </w:rPr>
        <w:t>。</w:t>
      </w:r>
    </w:p>
    <w:p>
      <w:pPr>
        <w:spacing w:line="578" w:lineRule="exact"/>
        <w:ind w:firstLineChars="200" w:firstLine="640"/>
        <w:rPr>
          <w:rFonts w:eastAsia="仿宋_GB2312"/>
          <w:b/>
          <w:color w:val="000000"/>
          <w:sz w:val="32"/>
          <w:szCs w:val="32"/>
        </w:rPr>
      </w:pPr>
      <w:r>
        <w:rPr>
          <w:rFonts w:eastAsia="仿宋_GB2312"/>
          <w:color w:val="000000"/>
          <w:sz w:val="32"/>
          <w:szCs w:val="32"/>
        </w:rPr>
        <w:t>其中：</w:t>
      </w:r>
      <w:r>
        <w:rPr>
          <w:rFonts w:eastAsia="仿宋_GB2312"/>
          <w:b/>
          <w:color w:val="000000"/>
          <w:sz w:val="32"/>
          <w:szCs w:val="32"/>
        </w:rPr>
        <w:t>公务用车购置支出</w:t>
      </w:r>
      <w:r>
        <w:rPr>
          <w:rFonts w:eastAsia="仿宋_GB2312"/>
          <w:color w:val="000000"/>
          <w:sz w:val="32"/>
          <w:szCs w:val="32"/>
        </w:rPr>
        <w:t>0万元。全年按规定更新购置公务用车0辆，其中：轿车0辆、金额0万元，越野车0辆、金额0万元，载客汽车0辆、金额0万元。截至202</w:t>
      </w:r>
      <w:r>
        <w:rPr>
          <w:rFonts w:eastAsia="仿宋_GB2312" w:hint="eastAsia"/>
          <w:color w:val="000000"/>
          <w:sz w:val="32"/>
          <w:szCs w:val="32"/>
        </w:rPr>
        <w:t>3</w:t>
      </w:r>
      <w:r>
        <w:rPr>
          <w:rFonts w:eastAsia="仿宋_GB2312"/>
          <w:color w:val="000000"/>
          <w:sz w:val="32"/>
          <w:szCs w:val="32"/>
        </w:rPr>
        <w:t>年12月底，单位共有公务用车1辆，其中：轿车0辆、越野车1辆、载客汽车0辆。</w:t>
      </w:r>
    </w:p>
    <w:p>
      <w:pPr>
        <w:spacing w:line="578" w:lineRule="exact"/>
        <w:ind w:firstLineChars="200" w:firstLine="640"/>
        <w:rPr>
          <w:rFonts w:eastAsia="仿宋_GB2312"/>
          <w:color w:val="000000"/>
          <w:sz w:val="32"/>
          <w:szCs w:val="32"/>
        </w:rPr>
      </w:pPr>
      <w:r>
        <w:rPr>
          <w:rFonts w:eastAsia="仿宋_GB2312"/>
          <w:b/>
          <w:color w:val="000000"/>
          <w:sz w:val="32"/>
          <w:szCs w:val="32"/>
        </w:rPr>
        <w:t>公务用车运行维护费支出</w:t>
      </w:r>
      <w:r>
        <w:rPr>
          <w:rFonts w:eastAsia="仿宋_GB2312" w:hint="eastAsia"/>
          <w:color w:val="000000"/>
          <w:sz w:val="32"/>
          <w:szCs w:val="32"/>
        </w:rPr>
        <w:t>2.69</w:t>
      </w:r>
      <w:r>
        <w:rPr>
          <w:rFonts w:eastAsia="仿宋_GB2312"/>
          <w:color w:val="000000"/>
          <w:sz w:val="32"/>
          <w:szCs w:val="32"/>
        </w:rPr>
        <w:t>万元。主要用于网络信息化建设和维护等所需的业务用车燃料费、维修费、过路过桥费、保险费等支出。</w:t>
      </w:r>
    </w:p>
    <w:p>
      <w:pPr>
        <w:spacing w:line="578" w:lineRule="exact"/>
        <w:ind w:firstLineChars="200" w:firstLine="640"/>
        <w:rPr>
          <w:rFonts w:eastAsia="仿宋_GB2312"/>
          <w:color w:val="000000"/>
          <w:sz w:val="32"/>
          <w:szCs w:val="32"/>
        </w:rPr>
      </w:pPr>
      <w:r>
        <w:rPr>
          <w:rFonts w:eastAsia="仿宋_GB2312"/>
          <w:b/>
          <w:color w:val="000000"/>
          <w:sz w:val="32"/>
          <w:szCs w:val="32"/>
        </w:rPr>
        <w:t>3.公务接待费支出</w:t>
      </w:r>
      <w:r>
        <w:rPr>
          <w:rFonts w:eastAsia="仿宋_GB2312"/>
          <w:color w:val="000000"/>
          <w:sz w:val="32"/>
          <w:szCs w:val="32"/>
        </w:rPr>
        <w:t>0.6</w:t>
      </w:r>
      <w:r>
        <w:rPr>
          <w:rFonts w:eastAsia="仿宋_GB2312" w:hint="eastAsia"/>
          <w:color w:val="000000"/>
          <w:sz w:val="32"/>
          <w:szCs w:val="32"/>
        </w:rPr>
        <w:t>8</w:t>
      </w:r>
      <w:r>
        <w:rPr>
          <w:rFonts w:eastAsia="仿宋_GB2312"/>
          <w:color w:val="000000"/>
          <w:sz w:val="32"/>
          <w:szCs w:val="32"/>
        </w:rPr>
        <w:t>万元，</w:t>
      </w:r>
      <w:r>
        <w:rPr>
          <w:rStyle w:val="32"/>
          <w:rFonts w:eastAsia="仿宋_GB2312"/>
          <w:b w:val="0"/>
          <w:bCs/>
          <w:color w:val="000000"/>
          <w:sz w:val="32"/>
          <w:szCs w:val="32"/>
        </w:rPr>
        <w:t>完成预算</w:t>
      </w:r>
      <w:r>
        <w:rPr>
          <w:rStyle w:val="32"/>
          <w:rFonts w:eastAsia="仿宋_GB2312" w:hint="eastAsia"/>
          <w:b w:val="0"/>
          <w:bCs/>
          <w:color w:val="000000"/>
          <w:sz w:val="32"/>
          <w:szCs w:val="32"/>
        </w:rPr>
        <w:t>91.89</w:t>
      </w:r>
      <w:r>
        <w:rPr>
          <w:rStyle w:val="32"/>
          <w:rFonts w:eastAsia="仿宋_GB2312"/>
          <w:b w:val="0"/>
          <w:bCs/>
          <w:color w:val="000000"/>
          <w:sz w:val="32"/>
          <w:szCs w:val="32"/>
        </w:rPr>
        <w:t>%。</w:t>
      </w:r>
      <w:r>
        <w:rPr>
          <w:rFonts w:eastAsia="仿宋_GB2312"/>
          <w:color w:val="000000"/>
          <w:sz w:val="32"/>
          <w:szCs w:val="32"/>
        </w:rPr>
        <w:t>公务接待费支出决算比202</w:t>
      </w:r>
      <w:r>
        <w:rPr>
          <w:rFonts w:eastAsia="仿宋_GB2312" w:hint="eastAsia"/>
          <w:color w:val="000000"/>
          <w:sz w:val="32"/>
          <w:szCs w:val="32"/>
        </w:rPr>
        <w:t>2</w:t>
      </w:r>
      <w:r>
        <w:rPr>
          <w:rFonts w:eastAsia="仿宋_GB2312"/>
          <w:color w:val="000000"/>
          <w:sz w:val="32"/>
          <w:szCs w:val="32"/>
        </w:rPr>
        <w:t>年</w:t>
      </w:r>
      <w:r>
        <w:rPr>
          <w:rFonts w:eastAsia="仿宋_GB2312" w:hint="eastAsia"/>
          <w:color w:val="000000"/>
          <w:sz w:val="32"/>
          <w:szCs w:val="32"/>
        </w:rPr>
        <w:t>增加</w:t>
      </w:r>
      <w:r>
        <w:rPr>
          <w:rFonts w:eastAsia="仿宋_GB2312"/>
          <w:color w:val="000000"/>
          <w:sz w:val="32"/>
          <w:szCs w:val="32"/>
        </w:rPr>
        <w:t>0.</w:t>
      </w:r>
      <w:r>
        <w:rPr>
          <w:rFonts w:eastAsia="仿宋_GB2312" w:hint="eastAsia"/>
          <w:color w:val="000000"/>
          <w:sz w:val="32"/>
          <w:szCs w:val="32"/>
        </w:rPr>
        <w:t>07</w:t>
      </w:r>
      <w:r>
        <w:rPr>
          <w:rFonts w:eastAsia="仿宋_GB2312"/>
          <w:color w:val="000000"/>
          <w:sz w:val="32"/>
          <w:szCs w:val="32"/>
        </w:rPr>
        <w:t>万元，</w:t>
      </w:r>
      <w:r>
        <w:rPr>
          <w:rFonts w:eastAsia="仿宋_GB2312" w:hint="eastAsia"/>
          <w:color w:val="000000"/>
          <w:sz w:val="32"/>
          <w:szCs w:val="32"/>
        </w:rPr>
        <w:t>增长11.48</w:t>
      </w:r>
      <w:r>
        <w:rPr>
          <w:rFonts w:eastAsia="仿宋_GB2312"/>
          <w:color w:val="000000"/>
          <w:sz w:val="32"/>
          <w:szCs w:val="32"/>
        </w:rPr>
        <w:t>%。主要原因</w:t>
      </w:r>
      <w:r>
        <w:rPr>
          <w:rFonts w:eastAsia="仿宋_GB2312" w:hint="eastAsia"/>
          <w:color w:val="000000"/>
          <w:sz w:val="32"/>
          <w:szCs w:val="32"/>
        </w:rPr>
        <w:t>2023年公务接待批次及人次同比有所增加</w:t>
      </w:r>
      <w:r>
        <w:rPr>
          <w:rFonts w:eastAsia="仿宋_GB2312"/>
          <w:color w:val="000000"/>
          <w:sz w:val="32"/>
          <w:szCs w:val="32"/>
        </w:rPr>
        <w:t>。其中：</w:t>
      </w:r>
    </w:p>
    <w:p>
      <w:pPr>
        <w:spacing w:line="600" w:lineRule="exact"/>
        <w:ind w:firstLine="640"/>
        <w:rPr>
          <w:rFonts w:eastAsia="仿宋_GB2312"/>
          <w:sz w:val="32"/>
          <w:szCs w:val="32"/>
        </w:rPr>
      </w:pPr>
      <w:r>
        <w:rPr>
          <w:rFonts w:eastAsia="仿宋_GB2312"/>
          <w:b/>
          <w:color w:val="000000"/>
          <w:sz w:val="32"/>
          <w:szCs w:val="32"/>
        </w:rPr>
        <w:t>国内公务接待支出</w:t>
      </w:r>
      <w:r>
        <w:rPr>
          <w:rFonts w:eastAsia="仿宋_GB2312"/>
          <w:color w:val="000000"/>
          <w:sz w:val="32"/>
          <w:szCs w:val="32"/>
        </w:rPr>
        <w:t>0.6</w:t>
      </w:r>
      <w:r>
        <w:rPr>
          <w:rFonts w:eastAsia="仿宋_GB2312" w:hint="eastAsia"/>
          <w:color w:val="000000"/>
          <w:sz w:val="32"/>
          <w:szCs w:val="32"/>
        </w:rPr>
        <w:t>8</w:t>
      </w:r>
      <w:r>
        <w:rPr>
          <w:rFonts w:eastAsia="仿宋_GB2312"/>
          <w:color w:val="000000"/>
          <w:sz w:val="32"/>
          <w:szCs w:val="32"/>
        </w:rPr>
        <w:t>万元，主要用于外地调研、来攀考察、业务督导等开展医保业务活动开支的用餐费。</w:t>
      </w:r>
      <w:r>
        <w:rPr>
          <w:rFonts w:eastAsia="仿宋_GB2312"/>
          <w:sz w:val="32"/>
          <w:szCs w:val="32"/>
        </w:rPr>
        <w:t>国内公务接待</w:t>
      </w:r>
      <w:r>
        <w:rPr>
          <w:rFonts w:eastAsia="仿宋_GB2312" w:hint="eastAsia"/>
          <w:sz w:val="32"/>
          <w:szCs w:val="32"/>
        </w:rPr>
        <w:t>6</w:t>
      </w:r>
      <w:r>
        <w:rPr>
          <w:rFonts w:eastAsia="仿宋_GB2312"/>
          <w:sz w:val="32"/>
          <w:szCs w:val="32"/>
        </w:rPr>
        <w:t>批次，</w:t>
      </w:r>
      <w:r>
        <w:rPr>
          <w:rFonts w:eastAsia="仿宋_GB2312" w:hint="eastAsia"/>
          <w:sz w:val="32"/>
          <w:szCs w:val="32"/>
        </w:rPr>
        <w:t>54</w:t>
      </w:r>
      <w:r>
        <w:rPr>
          <w:rFonts w:eastAsia="仿宋_GB2312"/>
          <w:sz w:val="32"/>
          <w:szCs w:val="32"/>
        </w:rPr>
        <w:t>人次（不包括陪同人员），共计支出0.6</w:t>
      </w:r>
      <w:r>
        <w:rPr>
          <w:rFonts w:eastAsia="仿宋_GB2312" w:hint="eastAsia"/>
          <w:sz w:val="32"/>
          <w:szCs w:val="32"/>
        </w:rPr>
        <w:t>8</w:t>
      </w:r>
      <w:r>
        <w:rPr>
          <w:rFonts w:eastAsia="仿宋_GB2312"/>
          <w:sz w:val="32"/>
          <w:szCs w:val="32"/>
        </w:rPr>
        <w:t>万元，具体内容包括：1.</w:t>
      </w:r>
      <w:r>
        <w:rPr>
          <w:rFonts w:eastAsia="仿宋_GB2312" w:hint="eastAsia"/>
          <w:sz w:val="32"/>
          <w:szCs w:val="32"/>
        </w:rPr>
        <w:t>阿坝州医保局赴攀开展按疾病诊断相关分组付费方式改革考察</w:t>
      </w:r>
      <w:r>
        <w:rPr>
          <w:rFonts w:eastAsia="仿宋_GB2312"/>
          <w:sz w:val="32"/>
          <w:szCs w:val="32"/>
        </w:rPr>
        <w:t>接待用餐费0.</w:t>
      </w:r>
      <w:r>
        <w:rPr>
          <w:rFonts w:eastAsia="仿宋_GB2312" w:hint="eastAsia"/>
          <w:sz w:val="32"/>
          <w:szCs w:val="32"/>
        </w:rPr>
        <w:t>24</w:t>
      </w:r>
      <w:r>
        <w:rPr>
          <w:rFonts w:eastAsia="仿宋_GB2312"/>
          <w:sz w:val="32"/>
          <w:szCs w:val="32"/>
        </w:rPr>
        <w:t>万元；2.</w:t>
      </w:r>
      <w:r>
        <w:rPr>
          <w:rFonts w:eastAsia="仿宋_GB2312" w:hint="eastAsia"/>
          <w:sz w:val="32"/>
          <w:szCs w:val="32"/>
        </w:rPr>
        <w:t>国家医保局来攀验收省医保信息平台相关工作</w:t>
      </w:r>
      <w:r>
        <w:rPr>
          <w:rFonts w:eastAsia="仿宋_GB2312"/>
          <w:sz w:val="32"/>
          <w:szCs w:val="32"/>
        </w:rPr>
        <w:t>接待用餐费0.08万元；3.</w:t>
      </w:r>
      <w:r>
        <w:rPr>
          <w:rFonts w:eastAsia="仿宋_GB2312" w:hint="eastAsia"/>
          <w:sz w:val="32"/>
          <w:szCs w:val="32"/>
        </w:rPr>
        <w:t>省药械招采服务中心赴攀开展药品价格监测相关工作调研</w:t>
      </w:r>
      <w:r>
        <w:rPr>
          <w:rFonts w:eastAsia="仿宋_GB2312"/>
          <w:sz w:val="32"/>
          <w:szCs w:val="32"/>
        </w:rPr>
        <w:t>接待用餐费0.</w:t>
      </w:r>
      <w:r>
        <w:rPr>
          <w:rFonts w:eastAsia="仿宋_GB2312" w:hint="eastAsia"/>
          <w:sz w:val="32"/>
          <w:szCs w:val="32"/>
        </w:rPr>
        <w:t>0</w:t>
      </w:r>
      <w:r>
        <w:rPr>
          <w:rFonts w:eastAsia="仿宋_GB2312"/>
          <w:sz w:val="32"/>
          <w:szCs w:val="32"/>
        </w:rPr>
        <w:t>5万元；4.</w:t>
      </w:r>
      <w:r>
        <w:rPr>
          <w:rFonts w:eastAsia="仿宋_GB2312" w:hint="eastAsia"/>
          <w:sz w:val="32"/>
          <w:szCs w:val="32"/>
        </w:rPr>
        <w:t>宣城市医保局赴攀开展区域总额预算下的门诊慢特病、安宁疗护、日间手术等支付方式考察学习</w:t>
      </w:r>
      <w:r>
        <w:rPr>
          <w:rFonts w:eastAsia="仿宋_GB2312"/>
          <w:sz w:val="32"/>
          <w:szCs w:val="32"/>
        </w:rPr>
        <w:t>接待用餐费0.1</w:t>
      </w:r>
      <w:r>
        <w:rPr>
          <w:rFonts w:eastAsia="仿宋_GB2312" w:hint="eastAsia"/>
          <w:sz w:val="32"/>
          <w:szCs w:val="32"/>
        </w:rPr>
        <w:t>7</w:t>
      </w:r>
      <w:r>
        <w:rPr>
          <w:rFonts w:eastAsia="仿宋_GB2312"/>
          <w:sz w:val="32"/>
          <w:szCs w:val="32"/>
        </w:rPr>
        <w:t>万元；5.</w:t>
      </w:r>
      <w:r>
        <w:rPr>
          <w:rFonts w:eastAsia="仿宋_GB2312" w:hint="eastAsia"/>
          <w:sz w:val="32"/>
          <w:szCs w:val="32"/>
        </w:rPr>
        <w:t>重庆市綦江区医保局赴我局合作交流</w:t>
      </w:r>
      <w:r>
        <w:rPr>
          <w:rFonts w:eastAsia="仿宋_GB2312"/>
          <w:sz w:val="32"/>
          <w:szCs w:val="32"/>
        </w:rPr>
        <w:t>接待用餐费0.</w:t>
      </w:r>
      <w:r>
        <w:rPr>
          <w:rFonts w:eastAsia="仿宋_GB2312" w:hint="eastAsia"/>
          <w:sz w:val="32"/>
          <w:szCs w:val="32"/>
        </w:rPr>
        <w:t>05</w:t>
      </w:r>
      <w:r>
        <w:rPr>
          <w:rFonts w:eastAsia="仿宋_GB2312"/>
          <w:sz w:val="32"/>
          <w:szCs w:val="32"/>
        </w:rPr>
        <w:t>万元</w:t>
      </w:r>
      <w:r>
        <w:rPr>
          <w:rFonts w:eastAsia="仿宋_GB2312" w:hint="eastAsia"/>
          <w:sz w:val="32"/>
          <w:szCs w:val="32"/>
        </w:rPr>
        <w:t>；6</w:t>
      </w:r>
      <w:r>
        <w:rPr>
          <w:rFonts w:eastAsia="仿宋_GB2312"/>
          <w:sz w:val="32"/>
          <w:szCs w:val="32"/>
        </w:rPr>
        <w:t>.</w:t>
      </w:r>
      <w:r>
        <w:rPr>
          <w:rFonts w:eastAsia="仿宋_GB2312" w:hint="eastAsia"/>
          <w:sz w:val="32"/>
          <w:szCs w:val="32"/>
        </w:rPr>
        <w:t>雅安市医保局关于开展医保信息化建设交叉检查</w:t>
      </w:r>
      <w:r>
        <w:rPr>
          <w:rFonts w:eastAsia="仿宋_GB2312"/>
          <w:sz w:val="32"/>
          <w:szCs w:val="32"/>
        </w:rPr>
        <w:t>接待用餐费0.</w:t>
      </w:r>
      <w:r>
        <w:rPr>
          <w:rFonts w:eastAsia="仿宋_GB2312" w:hint="eastAsia"/>
          <w:sz w:val="32"/>
          <w:szCs w:val="32"/>
        </w:rPr>
        <w:t>09</w:t>
      </w:r>
      <w:r>
        <w:rPr>
          <w:rFonts w:eastAsia="仿宋_GB2312"/>
          <w:sz w:val="32"/>
          <w:szCs w:val="32"/>
        </w:rPr>
        <w:t>万元</w:t>
      </w:r>
      <w:r>
        <w:rPr>
          <w:rFonts w:eastAsia="仿宋_GB2312" w:hint="eastAsia"/>
          <w:sz w:val="32"/>
          <w:szCs w:val="32"/>
        </w:rPr>
        <w:t>；</w:t>
      </w:r>
      <w:r>
        <w:rPr>
          <w:rFonts w:eastAsia="仿宋_GB2312"/>
          <w:sz w:val="32"/>
          <w:szCs w:val="32"/>
        </w:rPr>
        <w:t>。</w:t>
      </w:r>
    </w:p>
    <w:p>
      <w:pPr>
        <w:spacing w:line="578" w:lineRule="exact"/>
        <w:ind w:firstLineChars="200" w:firstLine="640"/>
        <w:rPr>
          <w:rFonts w:eastAsia="仿宋_GB2312"/>
          <w:color w:val="000000"/>
          <w:sz w:val="32"/>
          <w:szCs w:val="32"/>
        </w:rPr>
      </w:pPr>
      <w:r>
        <w:rPr>
          <w:rFonts w:eastAsia="仿宋_GB2312"/>
          <w:b/>
          <w:color w:val="000000"/>
          <w:sz w:val="32"/>
          <w:szCs w:val="32"/>
        </w:rPr>
        <w:t>外事接待支出</w:t>
      </w:r>
      <w:r>
        <w:rPr>
          <w:rFonts w:eastAsia="仿宋_GB2312"/>
          <w:color w:val="000000"/>
          <w:sz w:val="32"/>
          <w:szCs w:val="32"/>
        </w:rPr>
        <w:t>0万元，外事接待0批次，0人，共计支出0万元。</w:t>
      </w:r>
      <w:bookmarkStart w:id="98" w:name="_Toc15377218"/>
      <w:bookmarkStart w:id="99" w:name="_Toc15396610"/>
    </w:p>
    <w:p>
      <w:pPr>
        <w:ind w:firstLineChars="200" w:firstLine="640"/>
        <w:outlineLvl w:val="1"/>
        <w:rPr>
          <w:rFonts w:eastAsia="黑体"/>
          <w:color w:val="000000"/>
          <w:sz w:val="32"/>
          <w:szCs w:val="32"/>
        </w:rPr>
      </w:pPr>
      <w:bookmarkStart w:id="100" w:name="_Toc82085539"/>
      <w:bookmarkStart w:id="101" w:name="_Toc145437068"/>
      <w:bookmarkStart w:id="102" w:name="_Toc82085426"/>
      <w:bookmarkStart w:id="103" w:name="_Toc113574864"/>
      <w:bookmarkStart w:id="104" w:name="_Toc144464242"/>
      <w:bookmarkStart w:id="105" w:name="_Toc145434821"/>
      <w:r>
        <w:rPr>
          <w:rFonts w:eastAsia="黑体"/>
          <w:color w:val="000000"/>
          <w:sz w:val="32"/>
          <w:szCs w:val="32"/>
        </w:rPr>
        <w:t>八、政府性基金预算支出决算情况说明</w:t>
      </w:r>
      <w:bookmarkEnd w:id="98"/>
      <w:bookmarkEnd w:id="99"/>
      <w:bookmarkEnd w:id="100"/>
      <w:bookmarkEnd w:id="101"/>
      <w:bookmarkEnd w:id="102"/>
      <w:bookmarkEnd w:id="103"/>
      <w:bookmarkEnd w:id="104"/>
      <w:bookmarkEnd w:id="105"/>
    </w:p>
    <w:p>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3</w:t>
      </w:r>
      <w:r>
        <w:rPr>
          <w:rFonts w:eastAsia="仿宋_GB2312"/>
          <w:color w:val="000000"/>
          <w:sz w:val="32"/>
          <w:szCs w:val="32"/>
        </w:rPr>
        <w:t>年政府性基金预算拨款支出0万元。</w:t>
      </w:r>
    </w:p>
    <w:p>
      <w:pPr>
        <w:ind w:firstLineChars="200" w:firstLine="640"/>
        <w:outlineLvl w:val="1"/>
        <w:rPr>
          <w:rFonts w:eastAsia="黑体"/>
          <w:color w:val="000000"/>
          <w:sz w:val="32"/>
          <w:szCs w:val="32"/>
        </w:rPr>
      </w:pPr>
      <w:bookmarkStart w:id="106" w:name="_Toc144464243"/>
      <w:bookmarkStart w:id="107" w:name="_Toc145434822"/>
      <w:bookmarkStart w:id="108" w:name="_Toc82085427"/>
      <w:bookmarkStart w:id="109" w:name="_Toc15396611"/>
      <w:bookmarkStart w:id="110" w:name="_Toc82085540"/>
      <w:bookmarkStart w:id="111" w:name="_Toc113574865"/>
      <w:bookmarkStart w:id="112" w:name="_Toc15377219"/>
      <w:bookmarkStart w:id="113" w:name="_Toc145437069"/>
      <w:r>
        <w:rPr>
          <w:rFonts w:eastAsia="黑体"/>
          <w:color w:val="000000"/>
          <w:sz w:val="32"/>
          <w:szCs w:val="32"/>
        </w:rPr>
        <w:t>九、国有资本经营预算支出决算情况说明</w:t>
      </w:r>
      <w:bookmarkEnd w:id="106"/>
      <w:bookmarkEnd w:id="107"/>
      <w:bookmarkEnd w:id="108"/>
      <w:bookmarkEnd w:id="109"/>
      <w:bookmarkEnd w:id="110"/>
      <w:bookmarkEnd w:id="111"/>
      <w:bookmarkEnd w:id="112"/>
      <w:bookmarkEnd w:id="113"/>
    </w:p>
    <w:p>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3</w:t>
      </w:r>
      <w:r>
        <w:rPr>
          <w:rFonts w:eastAsia="仿宋_GB2312"/>
          <w:color w:val="000000"/>
          <w:sz w:val="32"/>
          <w:szCs w:val="32"/>
        </w:rPr>
        <w:t>年国有资本经营预算拨款支出0万元。</w:t>
      </w:r>
    </w:p>
    <w:p>
      <w:pPr>
        <w:ind w:firstLineChars="200" w:firstLine="640"/>
        <w:rPr>
          <w:rFonts w:eastAsia="黑体"/>
          <w:b/>
          <w:bCs/>
          <w:color w:val="000000"/>
          <w:sz w:val="32"/>
          <w:szCs w:val="32"/>
        </w:rPr>
      </w:pPr>
      <w:bookmarkStart w:id="114" w:name="_Toc15396612"/>
      <w:bookmarkStart w:id="115" w:name="_Toc15377221"/>
      <w:r>
        <w:rPr>
          <w:rFonts w:eastAsia="黑体"/>
          <w:color w:val="000000"/>
          <w:sz w:val="32"/>
          <w:szCs w:val="32"/>
        </w:rPr>
        <w:t>十</w:t>
      </w:r>
      <w:r>
        <w:rPr>
          <w:rFonts w:eastAsia="黑体"/>
          <w:b/>
          <w:bCs/>
          <w:color w:val="000000"/>
          <w:sz w:val="32"/>
          <w:szCs w:val="32"/>
        </w:rPr>
        <w:t>、</w:t>
      </w:r>
      <w:r>
        <w:rPr>
          <w:rFonts w:eastAsia="黑体"/>
          <w:bCs/>
          <w:color w:val="000000"/>
          <w:sz w:val="32"/>
          <w:szCs w:val="32"/>
        </w:rPr>
        <w:t>其他重要事项的情况说明</w:t>
      </w:r>
      <w:bookmarkEnd w:id="114"/>
      <w:bookmarkEnd w:id="115"/>
    </w:p>
    <w:p>
      <w:pPr>
        <w:spacing w:line="578" w:lineRule="exact"/>
        <w:ind w:firstLineChars="200" w:firstLine="640"/>
        <w:rPr>
          <w:rFonts w:eastAsia="楷体_GB2312"/>
          <w:color w:val="000000"/>
          <w:sz w:val="32"/>
          <w:szCs w:val="32"/>
        </w:rPr>
      </w:pPr>
      <w:bookmarkStart w:id="116" w:name="_Toc15377222"/>
      <w:r>
        <w:rPr>
          <w:rFonts w:eastAsia="楷体_GB2312"/>
          <w:b/>
          <w:color w:val="000000"/>
          <w:sz w:val="32"/>
          <w:szCs w:val="32"/>
        </w:rPr>
        <w:t>（一）机关运行经费支出情况</w:t>
      </w:r>
      <w:bookmarkEnd w:id="116"/>
    </w:p>
    <w:p>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3</w:t>
      </w:r>
      <w:r>
        <w:rPr>
          <w:rFonts w:eastAsia="仿宋_GB2312"/>
          <w:color w:val="000000"/>
          <w:sz w:val="32"/>
          <w:szCs w:val="32"/>
        </w:rPr>
        <w:t>年，市医保局（含市医保信息中心）机关运行经费支出</w:t>
      </w:r>
      <w:r>
        <w:rPr>
          <w:rFonts w:eastAsia="仿宋_GB2312" w:hint="eastAsia"/>
          <w:color w:val="000000"/>
          <w:sz w:val="32"/>
          <w:szCs w:val="32"/>
        </w:rPr>
        <w:t>62.66</w:t>
      </w:r>
      <w:r>
        <w:rPr>
          <w:rFonts w:eastAsia="仿宋_GB2312"/>
          <w:color w:val="000000"/>
          <w:sz w:val="32"/>
          <w:szCs w:val="32"/>
        </w:rPr>
        <w:t>万元，比202</w:t>
      </w:r>
      <w:r>
        <w:rPr>
          <w:rFonts w:eastAsia="仿宋_GB2312" w:hint="eastAsia"/>
          <w:color w:val="000000"/>
          <w:sz w:val="32"/>
          <w:szCs w:val="32"/>
        </w:rPr>
        <w:t>2</w:t>
      </w:r>
      <w:r>
        <w:rPr>
          <w:rFonts w:eastAsia="仿宋_GB2312"/>
          <w:color w:val="000000"/>
          <w:sz w:val="32"/>
          <w:szCs w:val="32"/>
        </w:rPr>
        <w:t>年</w:t>
      </w:r>
      <w:r>
        <w:rPr>
          <w:rFonts w:eastAsia="仿宋_GB2312" w:hint="eastAsia"/>
          <w:color w:val="000000"/>
          <w:sz w:val="32"/>
          <w:szCs w:val="32"/>
        </w:rPr>
        <w:t>减少2.47</w:t>
      </w:r>
      <w:r>
        <w:rPr>
          <w:rFonts w:eastAsia="仿宋_GB2312"/>
          <w:color w:val="000000"/>
          <w:sz w:val="32"/>
          <w:szCs w:val="32"/>
        </w:rPr>
        <w:t>万元，</w:t>
      </w:r>
      <w:r>
        <w:rPr>
          <w:rFonts w:eastAsia="仿宋_GB2312" w:hint="eastAsia"/>
          <w:color w:val="000000"/>
          <w:sz w:val="32"/>
          <w:szCs w:val="32"/>
        </w:rPr>
        <w:t>下降3.79</w:t>
      </w:r>
      <w:r>
        <w:rPr>
          <w:rFonts w:eastAsia="仿宋_GB2312"/>
          <w:color w:val="000000"/>
          <w:sz w:val="32"/>
          <w:szCs w:val="32"/>
        </w:rPr>
        <w:t>%。</w:t>
      </w:r>
      <w:r>
        <w:rPr>
          <w:rFonts w:eastAsia="仿宋_GB2312"/>
          <w:color w:val="000000"/>
          <w:sz w:val="32"/>
        </w:rPr>
        <w:t>主要原因是</w:t>
      </w:r>
      <w:r>
        <w:rPr>
          <w:rFonts w:eastAsia="仿宋_GB2312" w:hint="eastAsia"/>
          <w:color w:val="000000"/>
          <w:sz w:val="32"/>
        </w:rPr>
        <w:t>2</w:t>
      </w:r>
      <w:r>
        <w:rPr>
          <w:rFonts w:eastAsia="仿宋_GB2312"/>
          <w:color w:val="000000"/>
          <w:sz w:val="32"/>
        </w:rPr>
        <w:t>02</w:t>
      </w:r>
      <w:r>
        <w:rPr>
          <w:rFonts w:eastAsia="仿宋_GB2312" w:hint="eastAsia"/>
          <w:color w:val="000000"/>
          <w:sz w:val="32"/>
        </w:rPr>
        <w:t>3</w:t>
      </w:r>
      <w:r>
        <w:rPr>
          <w:rFonts w:eastAsia="仿宋_GB2312"/>
          <w:color w:val="000000"/>
          <w:sz w:val="32"/>
        </w:rPr>
        <w:t>年长聘人员</w:t>
      </w:r>
      <w:r>
        <w:rPr>
          <w:rFonts w:eastAsia="仿宋_GB2312" w:hint="eastAsia"/>
          <w:color w:val="000000"/>
          <w:sz w:val="32"/>
        </w:rPr>
        <w:t>部分</w:t>
      </w:r>
      <w:r>
        <w:rPr>
          <w:rFonts w:eastAsia="仿宋_GB2312"/>
          <w:color w:val="000000"/>
          <w:sz w:val="32"/>
        </w:rPr>
        <w:t>劳务费</w:t>
      </w:r>
      <w:r>
        <w:rPr>
          <w:rFonts w:eastAsia="仿宋_GB2312" w:hint="eastAsia"/>
          <w:color w:val="000000"/>
          <w:sz w:val="32"/>
        </w:rPr>
        <w:t>由公用支出调整到人员支出中，导致机关运行经费支出同比</w:t>
      </w:r>
      <w:r>
        <w:rPr>
          <w:rFonts w:eastAsia="仿宋_GB2312"/>
          <w:color w:val="000000"/>
          <w:sz w:val="32"/>
        </w:rPr>
        <w:t>减少。</w:t>
      </w:r>
    </w:p>
    <w:p>
      <w:pPr>
        <w:spacing w:line="578" w:lineRule="exact"/>
        <w:ind w:firstLineChars="200" w:firstLine="640"/>
        <w:rPr>
          <w:rFonts w:eastAsia="楷体_GB2312"/>
          <w:b/>
          <w:color w:val="000000"/>
          <w:sz w:val="32"/>
          <w:szCs w:val="32"/>
        </w:rPr>
      </w:pPr>
      <w:bookmarkStart w:id="117" w:name="_Toc15377223"/>
      <w:r>
        <w:rPr>
          <w:rFonts w:eastAsia="楷体_GB2312"/>
          <w:b/>
          <w:color w:val="000000"/>
          <w:sz w:val="32"/>
          <w:szCs w:val="32"/>
        </w:rPr>
        <w:t>（二）政府采购支出情况</w:t>
      </w:r>
      <w:bookmarkEnd w:id="117"/>
    </w:p>
    <w:p>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3</w:t>
      </w:r>
      <w:r>
        <w:rPr>
          <w:rFonts w:eastAsia="仿宋_GB2312"/>
          <w:color w:val="000000"/>
          <w:sz w:val="32"/>
          <w:szCs w:val="32"/>
        </w:rPr>
        <w:t>年，市医保局政府采购支出总额</w:t>
      </w:r>
      <w:r>
        <w:rPr>
          <w:rFonts w:eastAsia="仿宋_GB2312" w:hint="eastAsia"/>
          <w:color w:val="000000"/>
          <w:sz w:val="32"/>
          <w:szCs w:val="32"/>
        </w:rPr>
        <w:t>147.25</w:t>
      </w:r>
      <w:r>
        <w:rPr>
          <w:rFonts w:eastAsia="仿宋_GB2312"/>
          <w:color w:val="000000"/>
          <w:sz w:val="32"/>
          <w:szCs w:val="32"/>
        </w:rPr>
        <w:t>万元，其中：政府采购货物支出</w:t>
      </w:r>
      <w:r>
        <w:rPr>
          <w:rFonts w:eastAsia="仿宋_GB2312" w:hint="eastAsia"/>
          <w:color w:val="000000"/>
          <w:sz w:val="32"/>
          <w:szCs w:val="32"/>
        </w:rPr>
        <w:t>8.06</w:t>
      </w:r>
      <w:r>
        <w:rPr>
          <w:rFonts w:eastAsia="仿宋_GB2312"/>
          <w:color w:val="000000"/>
          <w:sz w:val="32"/>
          <w:szCs w:val="32"/>
        </w:rPr>
        <w:t>万元、政府采购工程支出0万元、政府采购服务支出</w:t>
      </w:r>
      <w:r>
        <w:rPr>
          <w:rFonts w:eastAsia="仿宋_GB2312" w:hint="eastAsia"/>
          <w:color w:val="000000"/>
          <w:sz w:val="32"/>
          <w:szCs w:val="32"/>
        </w:rPr>
        <w:t>139.19</w:t>
      </w:r>
      <w:r>
        <w:rPr>
          <w:rFonts w:eastAsia="仿宋_GB2312"/>
          <w:color w:val="000000"/>
          <w:sz w:val="32"/>
          <w:szCs w:val="32"/>
        </w:rPr>
        <w:t>万元。</w:t>
      </w:r>
      <w:r>
        <w:rPr>
          <w:rFonts w:eastAsia="仿宋_GB2312"/>
          <w:sz w:val="32"/>
          <w:szCs w:val="32"/>
        </w:rPr>
        <w:t>主要用于</w:t>
      </w:r>
      <w:r>
        <w:rPr>
          <w:rFonts w:eastAsia="仿宋_GB2312" w:hint="eastAsia"/>
          <w:sz w:val="32"/>
          <w:szCs w:val="32"/>
        </w:rPr>
        <w:t>医保结算系统与基卫平台对接改造硬件设备购置、医保“综合柜员制”系统政策性功能调整开发项目和全市医疗保障专网建设（虚拟化平台安全防护软件）</w:t>
      </w:r>
      <w:r>
        <w:rPr>
          <w:rFonts w:eastAsia="仿宋_GB2312"/>
          <w:sz w:val="32"/>
          <w:szCs w:val="32"/>
        </w:rPr>
        <w:t>。</w:t>
      </w:r>
      <w:r>
        <w:rPr>
          <w:rFonts w:eastAsia="仿宋_GB2312"/>
          <w:color w:val="000000"/>
          <w:sz w:val="32"/>
          <w:szCs w:val="32"/>
        </w:rPr>
        <w:t>授予中小企业合同金额0万元，占政府采购支出总额的0%，其中：授予小微企业合同金额0万元，占政府采购支出总额的0%。</w:t>
      </w:r>
    </w:p>
    <w:p>
      <w:pPr>
        <w:spacing w:line="578" w:lineRule="exact"/>
        <w:ind w:firstLineChars="200" w:firstLine="640"/>
        <w:rPr>
          <w:rFonts w:eastAsia="楷体_GB2312"/>
          <w:b/>
          <w:color w:val="000000"/>
          <w:sz w:val="32"/>
          <w:szCs w:val="32"/>
        </w:rPr>
      </w:pPr>
      <w:bookmarkStart w:id="118" w:name="_Toc15377224"/>
      <w:r>
        <w:rPr>
          <w:rFonts w:eastAsia="楷体_GB2312"/>
          <w:b/>
          <w:color w:val="000000"/>
          <w:sz w:val="32"/>
          <w:szCs w:val="32"/>
        </w:rPr>
        <w:t>（三）国有资产占有使用情况</w:t>
      </w:r>
      <w:bookmarkEnd w:id="118"/>
    </w:p>
    <w:p>
      <w:pPr>
        <w:autoSpaceDE w:val="0"/>
        <w:autoSpaceDN w:val="0"/>
        <w:adjustRightInd w:val="0"/>
        <w:spacing w:line="578" w:lineRule="exact"/>
        <w:ind w:firstLineChars="200" w:firstLine="640"/>
        <w:rPr>
          <w:rFonts w:eastAsia="仿宋_GB2312"/>
          <w:color w:val="000000"/>
          <w:sz w:val="32"/>
          <w:szCs w:val="32"/>
        </w:rPr>
      </w:pPr>
      <w:r>
        <w:rPr>
          <w:rFonts w:eastAsia="仿宋_GB2312"/>
          <w:color w:val="000000"/>
          <w:sz w:val="32"/>
          <w:szCs w:val="32"/>
        </w:rPr>
        <w:t>截至202</w:t>
      </w:r>
      <w:r>
        <w:rPr>
          <w:rFonts w:eastAsia="仿宋_GB2312" w:hint="eastAsia"/>
          <w:color w:val="000000"/>
          <w:sz w:val="32"/>
          <w:szCs w:val="32"/>
        </w:rPr>
        <w:t>3</w:t>
      </w:r>
      <w:r>
        <w:rPr>
          <w:rFonts w:eastAsia="仿宋_GB2312"/>
          <w:color w:val="000000"/>
          <w:sz w:val="32"/>
          <w:szCs w:val="32"/>
        </w:rPr>
        <w:t>年12月31日，市医保局共有车辆1辆，其中：主要领导干部用车0辆、机要通信用车0辆、应急保障用车0辆、其他用车1辆，</w:t>
      </w:r>
      <w:r>
        <w:rPr>
          <w:rFonts w:eastAsia="仿宋_GB2312"/>
          <w:sz w:val="32"/>
          <w:szCs w:val="32"/>
        </w:rPr>
        <w:t>其他用车主要是用于全市医疗保障信息化建设以及600余家定点医药机构医保网络的日常运行、管理和维护等工作。</w:t>
      </w:r>
      <w:r>
        <w:rPr>
          <w:rFonts w:eastAsia="仿宋_GB2312"/>
          <w:color w:val="000000"/>
          <w:sz w:val="32"/>
          <w:szCs w:val="32"/>
        </w:rPr>
        <w:t>单价50万元以上通用设备0台（套），单价100万元以上专用设备0台（套）。</w:t>
      </w:r>
    </w:p>
    <w:p>
      <w:pPr>
        <w:spacing w:line="578" w:lineRule="exact"/>
        <w:ind w:firstLineChars="200" w:firstLine="640"/>
        <w:rPr>
          <w:rFonts w:eastAsia="楷体_GB2312"/>
          <w:b/>
          <w:color w:val="000000"/>
          <w:sz w:val="32"/>
          <w:szCs w:val="32"/>
        </w:rPr>
      </w:pPr>
      <w:r>
        <w:rPr>
          <w:rFonts w:eastAsia="楷体_GB2312"/>
          <w:b/>
          <w:color w:val="000000"/>
          <w:sz w:val="32"/>
          <w:szCs w:val="32"/>
        </w:rPr>
        <w:t>（四）预算绩效管理情况。</w:t>
      </w:r>
    </w:p>
    <w:p>
      <w:pPr>
        <w:spacing w:line="580" w:lineRule="exact"/>
        <w:ind w:firstLineChars="200" w:firstLine="640"/>
        <w:rPr>
          <w:rFonts w:eastAsia="仿宋_GB2312"/>
          <w:sz w:val="32"/>
          <w:szCs w:val="32"/>
        </w:rPr>
      </w:pPr>
      <w:r>
        <w:rPr>
          <w:rFonts w:eastAsia="仿宋_GB2312"/>
          <w:color w:val="000000"/>
          <w:sz w:val="32"/>
          <w:szCs w:val="32"/>
        </w:rPr>
        <w:t>根据预算绩效管理要求，市医保局在</w:t>
      </w:r>
      <w:r>
        <w:rPr>
          <w:rFonts w:eastAsia="仿宋_GB2312"/>
          <w:sz w:val="32"/>
          <w:szCs w:val="32"/>
        </w:rPr>
        <w:t>202</w:t>
      </w:r>
      <w:r>
        <w:rPr>
          <w:rFonts w:eastAsia="仿宋_GB2312" w:hint="eastAsia"/>
          <w:sz w:val="32"/>
          <w:szCs w:val="32"/>
        </w:rPr>
        <w:t>3</w:t>
      </w:r>
      <w:r>
        <w:rPr>
          <w:rFonts w:eastAsia="仿宋_GB2312"/>
          <w:sz w:val="32"/>
          <w:szCs w:val="32"/>
        </w:rPr>
        <w:t>年度预算编制阶段</w:t>
      </w:r>
      <w:r>
        <w:rPr>
          <w:rFonts w:eastAsia="仿宋_GB2312"/>
          <w:color w:val="000000"/>
          <w:sz w:val="32"/>
          <w:szCs w:val="32"/>
        </w:rPr>
        <w:t>，组织对</w:t>
      </w:r>
      <w:r>
        <w:rPr>
          <w:rFonts w:eastAsia="仿宋_GB2312" w:hint="eastAsia"/>
          <w:color w:val="000000"/>
          <w:sz w:val="32"/>
          <w:szCs w:val="32"/>
        </w:rPr>
        <w:t>向上争取资金工作经费、医疗保障公共服务体系建设、全市医疗保障业务专网及安全体系建设、信息系统维护费、</w:t>
      </w:r>
      <w:r>
        <w:rPr>
          <w:rFonts w:eastAsia="仿宋_GB2312" w:hint="eastAsia"/>
          <w:sz w:val="32"/>
          <w:szCs w:val="32"/>
        </w:rPr>
        <w:t>医保结算系统与基卫平台对接改造、医保“综合柜员制”系统政策性功能调整</w:t>
      </w:r>
      <w:r>
        <w:rPr>
          <w:rFonts w:eastAsia="仿宋_GB2312" w:hint="eastAsia"/>
          <w:color w:val="000000"/>
          <w:sz w:val="32"/>
          <w:szCs w:val="32"/>
        </w:rPr>
        <w:t>、关工委工作经费、医保机房设备搬迁暨系统切换服务、</w:t>
      </w:r>
      <w:r>
        <w:rPr>
          <w:rFonts w:eastAsia="仿宋_GB2312"/>
          <w:bCs/>
          <w:color w:val="000000"/>
          <w:sz w:val="32"/>
          <w:szCs w:val="32"/>
        </w:rPr>
        <w:t>医疗服务与保障能力提升</w:t>
      </w:r>
      <w:r>
        <w:rPr>
          <w:rFonts w:eastAsia="仿宋_GB2312" w:hint="eastAsia"/>
          <w:bCs/>
          <w:color w:val="000000"/>
          <w:sz w:val="32"/>
          <w:szCs w:val="32"/>
        </w:rPr>
        <w:t>中央财政</w:t>
      </w:r>
      <w:r>
        <w:rPr>
          <w:rFonts w:eastAsia="仿宋_GB2312"/>
          <w:bCs/>
          <w:color w:val="000000"/>
          <w:sz w:val="32"/>
          <w:szCs w:val="32"/>
        </w:rPr>
        <w:t>补助资金</w:t>
      </w:r>
      <w:r>
        <w:rPr>
          <w:rFonts w:eastAsia="仿宋_GB2312" w:hint="eastAsia"/>
          <w:color w:val="000000"/>
          <w:sz w:val="32"/>
          <w:szCs w:val="32"/>
        </w:rPr>
        <w:t>等9</w:t>
      </w:r>
      <w:r>
        <w:rPr>
          <w:rFonts w:eastAsia="仿宋_GB2312"/>
          <w:color w:val="000000"/>
          <w:sz w:val="32"/>
          <w:szCs w:val="32"/>
        </w:rPr>
        <w:t>个项目开展了预算事前绩效评估，对</w:t>
      </w:r>
      <w:r>
        <w:rPr>
          <w:rFonts w:eastAsia="仿宋_GB2312" w:hint="eastAsia"/>
          <w:color w:val="000000"/>
          <w:sz w:val="32"/>
          <w:szCs w:val="32"/>
        </w:rPr>
        <w:t>9</w:t>
      </w:r>
      <w:r>
        <w:rPr>
          <w:rFonts w:eastAsia="仿宋_GB2312"/>
          <w:color w:val="000000"/>
          <w:sz w:val="32"/>
          <w:szCs w:val="32"/>
        </w:rPr>
        <w:t>个项目编制了绩效目标，预算执行过程中，选取</w:t>
      </w:r>
      <w:r>
        <w:rPr>
          <w:rFonts w:eastAsia="仿宋_GB2312" w:hint="eastAsia"/>
          <w:color w:val="000000"/>
          <w:sz w:val="32"/>
          <w:szCs w:val="32"/>
        </w:rPr>
        <w:t>4</w:t>
      </w:r>
      <w:r>
        <w:rPr>
          <w:rFonts w:eastAsia="仿宋_GB2312"/>
          <w:color w:val="000000"/>
          <w:sz w:val="32"/>
          <w:szCs w:val="32"/>
        </w:rPr>
        <w:t>个项目开展绩效监控。</w:t>
      </w:r>
    </w:p>
    <w:p>
      <w:pPr>
        <w:spacing w:line="580" w:lineRule="exact"/>
        <w:ind w:firstLineChars="200" w:firstLine="640"/>
        <w:rPr>
          <w:rFonts w:eastAsia="仿宋_GB2312"/>
          <w:sz w:val="32"/>
          <w:szCs w:val="32"/>
        </w:rPr>
      </w:pPr>
      <w:r>
        <w:rPr>
          <w:rFonts w:eastAsia="仿宋_GB2312"/>
          <w:sz w:val="32"/>
          <w:szCs w:val="32"/>
        </w:rPr>
        <w:t>组织对202</w:t>
      </w:r>
      <w:r>
        <w:rPr>
          <w:rFonts w:eastAsia="仿宋_GB2312" w:hint="eastAsia"/>
          <w:sz w:val="32"/>
          <w:szCs w:val="32"/>
        </w:rPr>
        <w:t>3</w:t>
      </w:r>
      <w:r>
        <w:rPr>
          <w:rFonts w:eastAsia="仿宋_GB2312"/>
          <w:sz w:val="32"/>
          <w:szCs w:val="32"/>
        </w:rPr>
        <w:t>年度一般公共预算资金、</w:t>
      </w:r>
      <w:r>
        <w:rPr>
          <w:rFonts w:eastAsia="仿宋_GB2312"/>
          <w:bCs/>
          <w:color w:val="000000"/>
          <w:sz w:val="32"/>
          <w:szCs w:val="32"/>
        </w:rPr>
        <w:t>医疗服务与保障能力提升</w:t>
      </w:r>
      <w:r>
        <w:rPr>
          <w:rFonts w:eastAsia="仿宋_GB2312" w:hint="eastAsia"/>
          <w:bCs/>
          <w:color w:val="000000"/>
          <w:sz w:val="32"/>
          <w:szCs w:val="32"/>
        </w:rPr>
        <w:t>中央财政</w:t>
      </w:r>
      <w:r>
        <w:rPr>
          <w:rFonts w:eastAsia="仿宋_GB2312"/>
          <w:bCs/>
          <w:color w:val="000000"/>
          <w:sz w:val="32"/>
          <w:szCs w:val="32"/>
        </w:rPr>
        <w:t>补助资金</w:t>
      </w:r>
      <w:r>
        <w:rPr>
          <w:rFonts w:eastAsia="仿宋_GB2312" w:hint="eastAsia"/>
          <w:color w:val="000000"/>
          <w:sz w:val="32"/>
          <w:szCs w:val="32"/>
        </w:rPr>
        <w:t>等9</w:t>
      </w:r>
      <w:r>
        <w:rPr>
          <w:rFonts w:eastAsia="仿宋_GB2312"/>
          <w:color w:val="000000"/>
          <w:sz w:val="32"/>
          <w:szCs w:val="32"/>
        </w:rPr>
        <w:t>个项目</w:t>
      </w:r>
      <w:r>
        <w:rPr>
          <w:rFonts w:eastAsia="仿宋_GB2312"/>
          <w:sz w:val="32"/>
          <w:szCs w:val="32"/>
        </w:rPr>
        <w:t>开展绩效自评，形成</w:t>
      </w:r>
      <w:r>
        <w:rPr>
          <w:rFonts w:eastAsia="仿宋_GB2312" w:hint="eastAsia"/>
          <w:sz w:val="32"/>
          <w:szCs w:val="32"/>
        </w:rPr>
        <w:t>攀枝花市医疗保障局</w:t>
      </w:r>
      <w:r>
        <w:rPr>
          <w:rFonts w:eastAsia="仿宋_GB2312"/>
          <w:sz w:val="32"/>
          <w:szCs w:val="32"/>
        </w:rPr>
        <w:t>部门整体（含部门预算项目）绩效自评报告、攀枝花市医疗保障局关于小型机存储及虚拟化服务器等设备维保项目</w:t>
      </w:r>
      <w:r>
        <w:rPr>
          <w:rFonts w:eastAsia="仿宋_GB2312" w:hint="eastAsia"/>
          <w:sz w:val="32"/>
          <w:szCs w:val="32"/>
        </w:rPr>
        <w:t>、</w:t>
      </w:r>
      <w:r>
        <w:rPr>
          <w:rFonts w:eastAsia="仿宋_GB2312"/>
          <w:sz w:val="32"/>
          <w:szCs w:val="32"/>
        </w:rPr>
        <w:t>攀枝花市医疗保障局关于“综合柜员制”系统政策性功能调整项目</w:t>
      </w:r>
      <w:r>
        <w:rPr>
          <w:rFonts w:eastAsia="仿宋_GB2312" w:hint="eastAsia"/>
          <w:sz w:val="32"/>
          <w:szCs w:val="32"/>
        </w:rPr>
        <w:t>、</w:t>
      </w:r>
      <w:r>
        <w:rPr>
          <w:rFonts w:eastAsia="仿宋_GB2312"/>
          <w:sz w:val="32"/>
          <w:szCs w:val="32"/>
        </w:rPr>
        <w:t>攀枝花市医疗保障局关于医疗保障公共服务体系建设项目</w:t>
      </w:r>
      <w:r>
        <w:rPr>
          <w:rFonts w:eastAsia="仿宋_GB2312" w:hint="eastAsia"/>
          <w:sz w:val="32"/>
          <w:szCs w:val="32"/>
        </w:rPr>
        <w:t>等3</w:t>
      </w:r>
      <w:r>
        <w:rPr>
          <w:rFonts w:eastAsia="仿宋_GB2312"/>
          <w:sz w:val="32"/>
          <w:szCs w:val="32"/>
        </w:rPr>
        <w:t>个专项预算项目绩效自评报告</w:t>
      </w:r>
      <w:r>
        <w:rPr>
          <w:rFonts w:eastAsia="仿宋_GB2312" w:hint="eastAsia"/>
          <w:sz w:val="32"/>
          <w:szCs w:val="32"/>
        </w:rPr>
        <w:t>。</w:t>
      </w:r>
      <w:r>
        <w:rPr>
          <w:rFonts w:eastAsia="仿宋_GB2312"/>
          <w:sz w:val="32"/>
          <w:szCs w:val="32"/>
        </w:rPr>
        <w:t>其中</w:t>
      </w:r>
      <w:r>
        <w:rPr>
          <w:rFonts w:eastAsia="仿宋_GB2312" w:hint="eastAsia"/>
          <w:sz w:val="32"/>
          <w:szCs w:val="32"/>
        </w:rPr>
        <w:t>：1.攀枝花市医疗保障局</w:t>
      </w:r>
      <w:r>
        <w:rPr>
          <w:rFonts w:eastAsia="仿宋_GB2312"/>
          <w:sz w:val="32"/>
          <w:szCs w:val="32"/>
        </w:rPr>
        <w:t>部门整体（含部门预算项目）绩效自评得分为9</w:t>
      </w:r>
      <w:r>
        <w:rPr>
          <w:rFonts w:eastAsia="仿宋_GB2312" w:hint="eastAsia"/>
          <w:sz w:val="32"/>
          <w:szCs w:val="32"/>
        </w:rPr>
        <w:t>8.68</w:t>
      </w:r>
      <w:r>
        <w:rPr>
          <w:rFonts w:eastAsia="仿宋_GB2312"/>
          <w:sz w:val="32"/>
          <w:szCs w:val="32"/>
        </w:rPr>
        <w:t>分，绩效自评综述：2023年，我局</w:t>
      </w:r>
      <w:r>
        <w:rPr>
          <w:rFonts w:eastAsia="仿宋_GB2312"/>
          <w:sz w:val="32"/>
          <w:szCs w:val="32"/>
          <w:shd w:val="clear" w:color="auto" w:fill="FFFFFF"/>
        </w:rPr>
        <w:t>以习近平新时代中国特色社会主义思想为指导，</w:t>
      </w:r>
      <w:r>
        <w:rPr>
          <w:rFonts w:eastAsia="仿宋_GB2312"/>
          <w:sz w:val="32"/>
          <w:szCs w:val="32"/>
        </w:rPr>
        <w:t>认真落实国家、省集采部署，积极开展医药服务价格调整工作</w:t>
      </w:r>
      <w:r>
        <w:rPr>
          <w:rFonts w:eastAsia="仿宋_GB2312"/>
          <w:bCs/>
          <w:sz w:val="32"/>
          <w:szCs w:val="32"/>
          <w:shd w:val="clear" w:color="auto" w:fill="FFFFFF"/>
        </w:rPr>
        <w:t>，深入推进按疾病诊断相关分组（DRG）付费国家示范点建设，着力打造便捷高效的医保经办管理服务体系</w:t>
      </w:r>
      <w:r>
        <w:rPr>
          <w:rFonts w:eastAsia="仿宋_GB2312"/>
          <w:bCs/>
          <w:sz w:val="32"/>
          <w:szCs w:val="32"/>
        </w:rPr>
        <w:t>，不断加大基金监管工作力度，严厉打击欺诈骗保行为，进一步完善医保信息平台建设，有效提升了医疗保障服务能力，</w:t>
      </w:r>
      <w:r>
        <w:rPr>
          <w:rFonts w:eastAsia="仿宋_GB2312"/>
          <w:sz w:val="32"/>
          <w:szCs w:val="32"/>
        </w:rPr>
        <w:t>按预期绩效目标圆满完成了各项医保工作任务，实现了保运转，惠民生、促发展、推改革的总体目标</w:t>
      </w:r>
      <w:r>
        <w:rPr>
          <w:rFonts w:eastAsia="仿宋_GB2312" w:hint="eastAsia"/>
          <w:sz w:val="32"/>
          <w:szCs w:val="32"/>
        </w:rPr>
        <w:t>，</w:t>
      </w:r>
      <w:r>
        <w:rPr>
          <w:rFonts w:eastAsia="仿宋_GB2312"/>
          <w:sz w:val="32"/>
          <w:szCs w:val="32"/>
        </w:rPr>
        <w:t>整体支出绩效评价为优秀。</w:t>
      </w:r>
      <w:r>
        <w:rPr>
          <w:rFonts w:eastAsia="仿宋_GB2312" w:hint="eastAsia"/>
          <w:sz w:val="32"/>
          <w:szCs w:val="32"/>
        </w:rPr>
        <w:t>2.</w:t>
      </w:r>
      <w:r>
        <w:rPr>
          <w:rFonts w:eastAsia="仿宋_GB2312" w:hint="eastAsia"/>
          <w:color w:val="000000"/>
          <w:sz w:val="32"/>
          <w:szCs w:val="32"/>
        </w:rPr>
        <w:t>信息系统维护费-IBM小型机和虚拟化服务器维保</w:t>
      </w:r>
      <w:r>
        <w:rPr>
          <w:rFonts w:eastAsia="仿宋_GB2312"/>
          <w:sz w:val="32"/>
          <w:szCs w:val="32"/>
        </w:rPr>
        <w:t>项目绩效自评得分为100分，绩效自评综述</w:t>
      </w:r>
      <w:r>
        <w:rPr>
          <w:rFonts w:eastAsia="仿宋_GB2312" w:hint="eastAsia"/>
          <w:color w:val="000000"/>
          <w:sz w:val="32"/>
          <w:szCs w:val="32"/>
        </w:rPr>
        <w:t>：</w:t>
      </w:r>
      <w:r>
        <w:rPr>
          <w:rFonts w:eastAsia="仿宋_GB2312" w:hint="eastAsia"/>
          <w:color w:val="000000"/>
          <w:sz w:val="32"/>
          <w:szCs w:val="32"/>
          <w:lang w:val="zh-CN"/>
        </w:rPr>
        <w:t>通过该项目的实施，使维保范围内相关软硬件稳定运行，保障信息系统安全、稳定和高效运行，增强系统的可用性和安全性，提高系统运行服务水平和管理水平，保障医保业务系统的正常运行、落实省、市各项医保政策新增和变化，保障医保线下、线上各项业务正常运转，继续支撑医保线上业务的开展，保障参保群众的权益</w:t>
      </w:r>
      <w:r>
        <w:rPr>
          <w:rFonts w:eastAsia="仿宋_GB2312" w:hint="eastAsia"/>
          <w:color w:val="000000"/>
          <w:sz w:val="32"/>
          <w:szCs w:val="32"/>
        </w:rPr>
        <w:t>。3.</w:t>
      </w:r>
      <w:r>
        <w:rPr>
          <w:rFonts w:eastAsia="仿宋_GB2312" w:hint="eastAsia"/>
          <w:sz w:val="32"/>
          <w:szCs w:val="32"/>
        </w:rPr>
        <w:t>“综合柜员制”系统政策性功能调整</w:t>
      </w:r>
      <w:r>
        <w:rPr>
          <w:rFonts w:eastAsia="仿宋_GB2312"/>
          <w:sz w:val="32"/>
          <w:szCs w:val="32"/>
        </w:rPr>
        <w:t>项目绩效自评得分为</w:t>
      </w:r>
      <w:r>
        <w:rPr>
          <w:rFonts w:eastAsia="仿宋_GB2312" w:hint="eastAsia"/>
          <w:sz w:val="32"/>
          <w:szCs w:val="32"/>
        </w:rPr>
        <w:t>100</w:t>
      </w:r>
      <w:r>
        <w:rPr>
          <w:rFonts w:eastAsia="仿宋_GB2312"/>
          <w:sz w:val="32"/>
          <w:szCs w:val="32"/>
        </w:rPr>
        <w:t>分，绩效自评综述：</w:t>
      </w:r>
      <w:r>
        <w:rPr>
          <w:rFonts w:eastAsia="仿宋_GB2312" w:hint="eastAsia"/>
          <w:sz w:val="32"/>
          <w:szCs w:val="32"/>
        </w:rPr>
        <w:t>“综合柜员制”系统政策性功能调整保障了国家、省、市各级的政策能够正常实施，为建设省级统一的医疗保障系统做好基础工作，为全市参保群众提供更加便捷、可靠的服务。4.医疗保障公共服务体系建设项目</w:t>
      </w:r>
      <w:r>
        <w:rPr>
          <w:rFonts w:eastAsia="仿宋_GB2312"/>
          <w:sz w:val="32"/>
          <w:szCs w:val="32"/>
        </w:rPr>
        <w:t>绩效自评得分为</w:t>
      </w:r>
      <w:r>
        <w:rPr>
          <w:rFonts w:eastAsia="仿宋_GB2312" w:hint="eastAsia"/>
          <w:sz w:val="32"/>
          <w:szCs w:val="32"/>
        </w:rPr>
        <w:t>100</w:t>
      </w:r>
      <w:r>
        <w:rPr>
          <w:rFonts w:eastAsia="仿宋_GB2312"/>
          <w:sz w:val="32"/>
          <w:szCs w:val="32"/>
        </w:rPr>
        <w:t>分，绩效自评综述：</w:t>
      </w:r>
      <w:r>
        <w:rPr>
          <w:rFonts w:eastAsia="仿宋_GB2312" w:hint="eastAsia"/>
          <w:sz w:val="32"/>
          <w:szCs w:val="32"/>
        </w:rPr>
        <w:t>医疗保障公共服务体系建设，有利于提高医保公共服务能力输出，为群众提供更好的医保线上服务体验，提高群众对医保公共服务能力的满意度。参保群众通过医保微信公众号、医保手机APP、网上服务大厅、全省政务服务一体化平台，实现医保政务服务事项业务办理。绩效自评报告详见附件。</w:t>
      </w:r>
    </w:p>
    <w:p>
      <w:pPr>
        <w:spacing w:line="580" w:lineRule="exact"/>
        <w:ind w:firstLineChars="200" w:firstLine="640"/>
        <w:rPr>
          <w:rFonts w:eastAsia="仿宋_GB2312"/>
          <w:sz w:val="32"/>
          <w:szCs w:val="32"/>
        </w:rPr>
      </w:pPr>
    </w:p>
    <w:p>
      <w:pPr>
        <w:spacing w:line="580" w:lineRule="exact"/>
        <w:ind w:firstLineChars="200" w:firstLine="640"/>
        <w:rPr>
          <w:rFonts w:eastAsia="仿宋_GB2312"/>
          <w:sz w:val="32"/>
          <w:szCs w:val="32"/>
        </w:rPr>
      </w:pPr>
    </w:p>
    <w:p>
      <w:pPr>
        <w:spacing w:line="580" w:lineRule="exact"/>
        <w:ind w:firstLineChars="200" w:firstLine="640"/>
        <w:rPr>
          <w:rFonts w:eastAsia="仿宋_GB2312"/>
          <w:sz w:val="32"/>
          <w:szCs w:val="32"/>
        </w:rPr>
      </w:pPr>
    </w:p>
    <w:p>
      <w:pPr>
        <w:spacing w:line="580" w:lineRule="exact"/>
        <w:ind w:firstLineChars="200" w:firstLine="640"/>
        <w:rPr>
          <w:rFonts w:eastAsia="仿宋_GB2312"/>
          <w:sz w:val="32"/>
          <w:szCs w:val="32"/>
        </w:rPr>
      </w:pPr>
    </w:p>
    <w:p>
      <w:pPr>
        <w:spacing w:line="580" w:lineRule="exact"/>
        <w:ind w:firstLineChars="200" w:firstLine="640"/>
        <w:rPr>
          <w:rFonts w:eastAsia="仿宋_GB2312"/>
          <w:sz w:val="32"/>
          <w:szCs w:val="32"/>
        </w:rPr>
      </w:pPr>
    </w:p>
    <w:p>
      <w:pPr>
        <w:spacing w:line="580" w:lineRule="exact"/>
        <w:ind w:firstLineChars="200" w:firstLine="640"/>
        <w:rPr>
          <w:rFonts w:eastAsia="仿宋_GB2312"/>
          <w:sz w:val="32"/>
          <w:szCs w:val="32"/>
        </w:rPr>
      </w:pPr>
    </w:p>
    <w:p>
      <w:pPr>
        <w:spacing w:line="580" w:lineRule="exact"/>
        <w:rPr>
          <w:rFonts w:eastAsia="仿宋_GB2312"/>
          <w:sz w:val="32"/>
          <w:szCs w:val="32"/>
        </w:rPr>
      </w:pPr>
    </w:p>
    <w:p>
      <w:pPr>
        <w:spacing w:line="580" w:lineRule="exact"/>
        <w:ind w:firstLineChars="200" w:firstLine="640"/>
        <w:rPr>
          <w:rFonts w:eastAsia="仿宋_GB2312"/>
          <w:sz w:val="32"/>
          <w:szCs w:val="32"/>
        </w:rPr>
      </w:pPr>
    </w:p>
    <w:p>
      <w:pPr>
        <w:widowControl/>
        <w:spacing w:line="578" w:lineRule="exact"/>
        <w:rPr>
          <w:rFonts w:eastAsia="仿宋_GB2312"/>
          <w:b/>
          <w:color w:val="000000"/>
          <w:sz w:val="32"/>
          <w:szCs w:val="32"/>
        </w:rPr>
      </w:pPr>
    </w:p>
    <w:p>
      <w:pPr>
        <w:widowControl/>
        <w:spacing w:line="578" w:lineRule="exact"/>
        <w:rPr>
          <w:rFonts w:eastAsia="仿宋_GB2312"/>
          <w:b/>
          <w:color w:val="000000"/>
          <w:sz w:val="32"/>
          <w:szCs w:val="32"/>
        </w:rPr>
      </w:pPr>
    </w:p>
    <w:p>
      <w:pPr>
        <w:widowControl/>
        <w:spacing w:line="578" w:lineRule="exact"/>
        <w:rPr>
          <w:rFonts w:eastAsia="仿宋_GB2312"/>
          <w:b/>
          <w:color w:val="000000"/>
          <w:sz w:val="32"/>
          <w:szCs w:val="32"/>
        </w:rPr>
      </w:pPr>
    </w:p>
    <w:p>
      <w:pPr>
        <w:widowControl/>
        <w:spacing w:line="578" w:lineRule="exact"/>
        <w:rPr>
          <w:rFonts w:eastAsia="仿宋_GB2312"/>
          <w:b/>
          <w:color w:val="000000"/>
          <w:sz w:val="32"/>
          <w:szCs w:val="32"/>
        </w:rPr>
      </w:pPr>
    </w:p>
    <w:p>
      <w:pPr>
        <w:widowControl/>
        <w:spacing w:line="578" w:lineRule="exact"/>
        <w:rPr>
          <w:rFonts w:eastAsia="仿宋_GB2312"/>
          <w:b/>
          <w:color w:val="000000"/>
          <w:sz w:val="32"/>
          <w:szCs w:val="32"/>
        </w:rPr>
      </w:pPr>
    </w:p>
    <w:p>
      <w:pPr>
        <w:widowControl/>
        <w:spacing w:line="578" w:lineRule="exact"/>
        <w:rPr>
          <w:rFonts w:eastAsia="仿宋_GB2312"/>
          <w:b/>
          <w:color w:val="000000"/>
          <w:sz w:val="32"/>
          <w:szCs w:val="32"/>
        </w:rPr>
      </w:pPr>
    </w:p>
    <w:p>
      <w:pPr>
        <w:widowControl/>
        <w:spacing w:line="578" w:lineRule="exact"/>
        <w:rPr>
          <w:rFonts w:eastAsia="仿宋_GB2312"/>
          <w:b/>
          <w:color w:val="000000"/>
          <w:sz w:val="32"/>
          <w:szCs w:val="32"/>
        </w:rPr>
      </w:pPr>
    </w:p>
    <w:p>
      <w:pPr>
        <w:widowControl/>
        <w:spacing w:line="578" w:lineRule="exact"/>
        <w:rPr>
          <w:rFonts w:eastAsia="仿宋_GB2312"/>
          <w:b/>
          <w:color w:val="000000"/>
          <w:sz w:val="32"/>
          <w:szCs w:val="32"/>
        </w:rPr>
      </w:pPr>
    </w:p>
    <w:p>
      <w:pPr>
        <w:widowControl/>
        <w:spacing w:line="578" w:lineRule="exact"/>
        <w:rPr>
          <w:rFonts w:eastAsia="仿宋_GB2312"/>
          <w:b/>
          <w:color w:val="000000"/>
          <w:sz w:val="32"/>
          <w:szCs w:val="32"/>
        </w:rPr>
      </w:pPr>
    </w:p>
    <w:p>
      <w:pPr>
        <w:widowControl/>
        <w:spacing w:line="578" w:lineRule="exact"/>
        <w:rPr>
          <w:rFonts w:eastAsia="仿宋_GB2312"/>
          <w:b/>
          <w:color w:val="000000"/>
          <w:sz w:val="32"/>
          <w:szCs w:val="32"/>
        </w:rPr>
      </w:pPr>
    </w:p>
    <w:p>
      <w:pPr>
        <w:numPr>
          <w:ilvl w:val="0"/>
          <w:numId w:val="1"/>
        </w:numPr>
        <w:spacing w:line="578" w:lineRule="exact"/>
        <w:jc w:val="center"/>
        <w:outlineLvl w:val="0"/>
        <w:rPr>
          <w:rStyle w:val="1Char"/>
          <w:rFonts w:eastAsia="方正小标宋_GBK"/>
          <w:b w:val="0"/>
          <w:color w:val="000000"/>
        </w:rPr>
      </w:pPr>
      <w:bookmarkStart w:id="119" w:name="_Toc15377225"/>
      <w:bookmarkStart w:id="120" w:name="_Toc82085541"/>
      <w:bookmarkStart w:id="121" w:name="_Toc145434823"/>
      <w:bookmarkStart w:id="122" w:name="_Toc113574866"/>
      <w:bookmarkStart w:id="123" w:name="_Toc145437070"/>
      <w:bookmarkStart w:id="124" w:name="_Toc15396613"/>
      <w:bookmarkStart w:id="125" w:name="_Toc144464244"/>
      <w:bookmarkStart w:id="126" w:name="_Toc82085428"/>
      <w:r>
        <w:rPr>
          <w:rFonts w:eastAsia="方正小标宋_GBK"/>
          <w:color w:val="000000"/>
          <w:sz w:val="44"/>
          <w:szCs w:val="44"/>
        </w:rPr>
        <w:t>名</w:t>
      </w:r>
      <w:r>
        <w:rPr>
          <w:rStyle w:val="1Char"/>
          <w:rFonts w:eastAsia="方正小标宋_GBK"/>
          <w:b w:val="0"/>
          <w:color w:val="000000"/>
        </w:rPr>
        <w:t>词解释</w:t>
      </w:r>
      <w:bookmarkEnd w:id="119"/>
      <w:bookmarkEnd w:id="120"/>
      <w:bookmarkEnd w:id="121"/>
      <w:bookmarkEnd w:id="122"/>
      <w:bookmarkEnd w:id="123"/>
      <w:bookmarkEnd w:id="124"/>
      <w:bookmarkEnd w:id="125"/>
      <w:bookmarkEnd w:id="126"/>
    </w:p>
    <w:p>
      <w:pPr>
        <w:spacing w:line="578" w:lineRule="exact"/>
        <w:ind w:firstLineChars="200" w:firstLine="640"/>
        <w:rPr>
          <w:rFonts w:eastAsia="仿宋_GB2312"/>
          <w:b/>
          <w:color w:val="000000"/>
          <w:sz w:val="32"/>
          <w:szCs w:val="32"/>
        </w:rPr>
      </w:pPr>
    </w:p>
    <w:p>
      <w:pPr>
        <w:pStyle w:val="41"/>
        <w:spacing w:line="578" w:lineRule="exact"/>
        <w:ind w:firstLineChars="200" w:firstLine="640"/>
        <w:jc w:val="both"/>
        <w:rPr>
          <w:rFonts w:ascii="Times New Roman" w:eastAsia="仿宋_GB2312" w:cs="Times New Roman" w:hAnsi="Times New Roman"/>
          <w:sz w:val="32"/>
          <w:szCs w:val="32"/>
        </w:rPr>
      </w:pPr>
      <w:r>
        <w:rPr>
          <w:rFonts w:ascii="Times New Roman" w:eastAsia="仿宋_GB2312" w:cs="Times New Roman" w:hAnsi="Times New Roman"/>
          <w:sz w:val="32"/>
          <w:szCs w:val="32"/>
        </w:rPr>
        <w:t>1.财政拨款收入：指单位从同级财政部门取得的财政预算资金。</w:t>
      </w:r>
    </w:p>
    <w:p>
      <w:pPr>
        <w:pStyle w:val="41"/>
        <w:spacing w:line="578" w:lineRule="exact"/>
        <w:ind w:firstLineChars="200" w:firstLine="640"/>
        <w:jc w:val="both"/>
        <w:rPr>
          <w:rFonts w:ascii="Times New Roman" w:eastAsia="仿宋_GB2312" w:cs="Times New Roman" w:hAnsi="Times New Roman"/>
          <w:sz w:val="32"/>
          <w:szCs w:val="32"/>
        </w:rPr>
      </w:pPr>
      <w:r>
        <w:rPr>
          <w:rFonts w:ascii="Times New Roman" w:eastAsia="仿宋_GB2312" w:cs="Times New Roman" w:hAnsi="Times New Roman"/>
          <w:sz w:val="32"/>
          <w:szCs w:val="32"/>
        </w:rPr>
        <w:t>2.年初结转和结余：指以前年度尚未完成、结转到本年按有关规定继续使用的资金。</w:t>
      </w:r>
    </w:p>
    <w:p>
      <w:pPr>
        <w:pStyle w:val="41"/>
        <w:spacing w:line="578" w:lineRule="exact"/>
        <w:ind w:firstLineChars="200" w:firstLine="640"/>
        <w:jc w:val="both"/>
        <w:rPr>
          <w:rFonts w:ascii="Times New Roman" w:eastAsia="仿宋_GB2312" w:cs="Times New Roman" w:hAnsi="Times New Roman"/>
          <w:sz w:val="32"/>
          <w:szCs w:val="32"/>
        </w:rPr>
      </w:pPr>
      <w:r>
        <w:rPr>
          <w:rFonts w:ascii="Times New Roman" w:eastAsia="仿宋_GB2312" w:cs="Times New Roman" w:hAnsi="Times New Roman"/>
          <w:sz w:val="32"/>
          <w:szCs w:val="32"/>
        </w:rPr>
        <w:t>3.年末结转和结余：指单位按有关规定结转到下年或以后年度继续使用的资金。</w:t>
      </w:r>
    </w:p>
    <w:p>
      <w:pPr>
        <w:spacing w:line="578" w:lineRule="exact"/>
        <w:ind w:firstLineChars="200" w:firstLine="640"/>
        <w:rPr>
          <w:rFonts w:eastAsia="仿宋_GB2312"/>
          <w:color w:val="000000"/>
          <w:sz w:val="32"/>
          <w:szCs w:val="32"/>
        </w:rPr>
      </w:pPr>
      <w:r>
        <w:rPr>
          <w:rFonts w:eastAsia="仿宋_GB2312"/>
          <w:color w:val="000000"/>
          <w:sz w:val="32"/>
          <w:szCs w:val="32"/>
        </w:rPr>
        <w:t>4.社会保障和就业：2080505机关事业单位基本养老保险缴费支出，指反映机关事业单位实施养老保险制度由单位缴纳的基本养老保险费支出。</w:t>
      </w:r>
    </w:p>
    <w:p>
      <w:pPr>
        <w:spacing w:line="578" w:lineRule="exact"/>
        <w:ind w:firstLineChars="200" w:firstLine="640"/>
        <w:rPr>
          <w:rFonts w:eastAsia="仿宋_GB2312"/>
          <w:color w:val="000000"/>
          <w:sz w:val="32"/>
          <w:szCs w:val="32"/>
        </w:rPr>
      </w:pPr>
      <w:r>
        <w:rPr>
          <w:rFonts w:eastAsia="仿宋_GB2312"/>
          <w:color w:val="000000"/>
          <w:sz w:val="32"/>
          <w:szCs w:val="32"/>
        </w:rPr>
        <w:t>5.卫生健康：2101501行政运行，指反映行政单位（包括实行公务员管理的事业单位）的基本支出。2101550事业运行，指反映事业单位的基本支出。2101599其他医疗保障管理事务支出，指反映其他用于医疗保障管理事务方面的支出。</w:t>
      </w:r>
    </w:p>
    <w:p>
      <w:pPr>
        <w:spacing w:line="578" w:lineRule="exact"/>
        <w:ind w:firstLineChars="200" w:firstLine="640"/>
        <w:rPr>
          <w:rFonts w:eastAsia="仿宋_GB2312"/>
          <w:b/>
          <w:color w:val="000000"/>
          <w:sz w:val="32"/>
          <w:szCs w:val="32"/>
        </w:rPr>
      </w:pPr>
      <w:r>
        <w:rPr>
          <w:rFonts w:eastAsia="仿宋_GB2312"/>
          <w:color w:val="000000"/>
          <w:sz w:val="32"/>
          <w:szCs w:val="32"/>
        </w:rPr>
        <w:t>6.住房保障：2210201住房公积金，指反映行政事业单位按人力资源和社会保障部、财政部规定的基本工资和津贴补贴以及规定比例为职工缴纳的住房公积金。</w:t>
      </w:r>
    </w:p>
    <w:p>
      <w:pPr>
        <w:spacing w:line="578" w:lineRule="exact"/>
        <w:ind w:firstLineChars="200" w:firstLine="640"/>
        <w:rPr>
          <w:rFonts w:eastAsia="仿宋_GB2312"/>
          <w:color w:val="000000"/>
          <w:sz w:val="32"/>
          <w:szCs w:val="32"/>
        </w:rPr>
      </w:pPr>
      <w:r>
        <w:rPr>
          <w:rFonts w:eastAsia="仿宋_GB2312"/>
          <w:color w:val="000000"/>
          <w:sz w:val="32"/>
          <w:szCs w:val="32"/>
        </w:rPr>
        <w:t>7.基本支出：指为保障机构正常运转、完成日常工作任务而发生的人员支出和公用支出。</w:t>
      </w:r>
    </w:p>
    <w:p>
      <w:pPr>
        <w:spacing w:line="578" w:lineRule="exact"/>
        <w:ind w:firstLineChars="200" w:firstLine="640"/>
        <w:rPr>
          <w:rFonts w:eastAsia="仿宋_GB2312"/>
          <w:color w:val="000000"/>
          <w:sz w:val="32"/>
          <w:szCs w:val="32"/>
        </w:rPr>
      </w:pPr>
      <w:r>
        <w:rPr>
          <w:rFonts w:eastAsia="仿宋_GB2312"/>
          <w:color w:val="000000"/>
          <w:sz w:val="32"/>
          <w:szCs w:val="32"/>
        </w:rPr>
        <w:t>8.项目支出：指在基本支出之外为完成特定行政任务和事业发展目标所发生的支出。</w:t>
      </w:r>
    </w:p>
    <w:p>
      <w:pPr>
        <w:pStyle w:val="41"/>
        <w:spacing w:line="578" w:lineRule="exact"/>
        <w:ind w:firstLineChars="200" w:firstLine="640"/>
        <w:jc w:val="both"/>
        <w:rPr>
          <w:rFonts w:ascii="Times New Roman" w:eastAsia="仿宋_GB2312" w:cs="Times New Roman" w:hAnsi="Times New Roman"/>
          <w:sz w:val="32"/>
          <w:szCs w:val="32"/>
        </w:rPr>
      </w:pPr>
      <w:r>
        <w:rPr>
          <w:rFonts w:ascii="Times New Roman" w:eastAsia="仿宋_GB2312" w:cs="Times New Roman" w:hAnsi="Times New Roman"/>
          <w:sz w:val="32"/>
          <w:szCs w:val="32"/>
        </w:rPr>
        <w:t>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41"/>
        <w:spacing w:line="578" w:lineRule="exact"/>
        <w:ind w:firstLineChars="200" w:firstLine="640"/>
        <w:jc w:val="both"/>
        <w:rPr>
          <w:rFonts w:ascii="Times New Roman" w:eastAsia="仿宋_GB2312" w:cs="Times New Roman" w:hAnsi="Times New Roman"/>
          <w:sz w:val="32"/>
          <w:szCs w:val="32"/>
        </w:rPr>
      </w:pPr>
      <w:r>
        <w:rPr>
          <w:rFonts w:ascii="Times New Roman" w:eastAsia="仿宋_GB2312" w:cs="Times New Roman" w:hAnsi="Times New Roman"/>
          <w:sz w:val="32"/>
          <w:szCs w:val="32"/>
        </w:rPr>
        <w:t>10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78" w:lineRule="exact"/>
        <w:ind w:firstLineChars="200" w:firstLine="640"/>
        <w:rPr>
          <w:rFonts w:eastAsia="仿宋_GB2312"/>
          <w:b/>
          <w:color w:val="000000"/>
          <w:sz w:val="32"/>
          <w:szCs w:val="32"/>
        </w:rPr>
      </w:pPr>
    </w:p>
    <w:p>
      <w:pPr>
        <w:spacing w:line="578" w:lineRule="exact"/>
        <w:ind w:firstLineChars="200" w:firstLine="640"/>
        <w:rPr>
          <w:rFonts w:eastAsia="仿宋_GB2312"/>
          <w:b/>
          <w:color w:val="000000"/>
          <w:sz w:val="32"/>
          <w:szCs w:val="32"/>
        </w:rPr>
      </w:pPr>
    </w:p>
    <w:p>
      <w:pPr>
        <w:spacing w:line="578" w:lineRule="exact"/>
        <w:jc w:val="center"/>
        <w:outlineLvl w:val="0"/>
        <w:rPr>
          <w:rFonts w:eastAsia="方正小标宋_GBK"/>
          <w:bCs/>
          <w:color w:val="000000"/>
          <w:kern w:val="44"/>
          <w:sz w:val="44"/>
          <w:szCs w:val="44"/>
        </w:rPr>
      </w:pPr>
      <w:bookmarkStart w:id="127" w:name="_Toc15377226"/>
      <w:r>
        <w:rPr>
          <w:rFonts w:eastAsia="仿宋_GB2312"/>
          <w:b/>
          <w:color w:val="000000"/>
          <w:sz w:val="32"/>
          <w:szCs w:val="32"/>
        </w:rPr>
        <w:br w:type="page"/>
      </w:r>
      <w:bookmarkStart w:id="128" w:name="_Toc144464245"/>
      <w:bookmarkStart w:id="129" w:name="_Toc82085542"/>
      <w:bookmarkStart w:id="130" w:name="_Toc82085429"/>
      <w:bookmarkStart w:id="131" w:name="_Toc113574867"/>
      <w:bookmarkStart w:id="132" w:name="_Toc145434824"/>
      <w:bookmarkStart w:id="133" w:name="_Toc15396614"/>
      <w:bookmarkStart w:id="134" w:name="_Toc145437071"/>
      <w:r>
        <w:rPr>
          <w:rFonts w:eastAsia="方正小标宋_GBK"/>
          <w:color w:val="000000"/>
          <w:sz w:val="44"/>
          <w:szCs w:val="44"/>
        </w:rPr>
        <w:t>第</w:t>
      </w:r>
      <w:r>
        <w:rPr>
          <w:rStyle w:val="1Char"/>
          <w:rFonts w:eastAsia="方正小标宋_GBK"/>
          <w:b w:val="0"/>
          <w:color w:val="000000"/>
        </w:rPr>
        <w:t>四部分</w:t>
      </w:r>
      <w:r>
        <w:rPr>
          <w:rStyle w:val="1Char"/>
          <w:rFonts w:eastAsia="方正小标宋_GBK" w:hint="eastAsia"/>
          <w:b w:val="0"/>
          <w:color w:val="000000"/>
        </w:rPr>
        <w:t xml:space="preserve"> </w:t>
      </w:r>
      <w:r>
        <w:rPr>
          <w:rStyle w:val="1Char"/>
          <w:rFonts w:eastAsia="方正小标宋_GBK"/>
          <w:b w:val="0"/>
          <w:color w:val="000000"/>
        </w:rPr>
        <w:t>附件</w:t>
      </w:r>
      <w:bookmarkEnd w:id="128"/>
      <w:bookmarkEnd w:id="129"/>
      <w:bookmarkEnd w:id="130"/>
      <w:bookmarkEnd w:id="131"/>
      <w:bookmarkEnd w:id="132"/>
      <w:bookmarkEnd w:id="133"/>
      <w:bookmarkEnd w:id="134"/>
    </w:p>
    <w:p>
      <w:pPr>
        <w:spacing w:line="578" w:lineRule="exact"/>
        <w:outlineLvl w:val="1"/>
        <w:rPr>
          <w:rFonts w:eastAsia="黑体"/>
          <w:color w:val="000000"/>
          <w:sz w:val="32"/>
          <w:szCs w:val="32"/>
        </w:rPr>
      </w:pPr>
      <w:bookmarkStart w:id="135" w:name="_Toc82085543"/>
      <w:bookmarkStart w:id="136" w:name="_Toc144464246"/>
      <w:bookmarkStart w:id="137" w:name="_Toc145434825"/>
      <w:bookmarkStart w:id="138" w:name="_Toc82085430"/>
      <w:bookmarkStart w:id="139" w:name="_Toc145437072"/>
      <w:bookmarkStart w:id="140" w:name="_Toc113574868"/>
      <w:r>
        <w:rPr>
          <w:rFonts w:eastAsia="黑体"/>
          <w:color w:val="000000"/>
          <w:sz w:val="32"/>
          <w:szCs w:val="32"/>
        </w:rPr>
        <w:t>附件1</w:t>
      </w:r>
      <w:bookmarkEnd w:id="135"/>
      <w:bookmarkEnd w:id="136"/>
      <w:bookmarkEnd w:id="137"/>
      <w:bookmarkEnd w:id="138"/>
      <w:bookmarkEnd w:id="139"/>
      <w:bookmarkEnd w:id="140"/>
    </w:p>
    <w:p>
      <w:pPr>
        <w:spacing w:line="578" w:lineRule="exact"/>
        <w:ind w:firstLineChars="200" w:firstLine="640"/>
        <w:rPr>
          <w:rFonts w:eastAsia="仿宋_GB2312"/>
          <w:color w:val="000000"/>
          <w:sz w:val="32"/>
          <w:szCs w:val="32"/>
        </w:rPr>
      </w:pPr>
    </w:p>
    <w:p>
      <w:pPr>
        <w:widowControl/>
        <w:spacing w:line="580" w:lineRule="exact"/>
        <w:jc w:val="center"/>
        <w:rPr>
          <w:rFonts w:eastAsia="方正小标宋_GBK"/>
          <w:sz w:val="44"/>
          <w:szCs w:val="44"/>
          <w:shd w:val="clear" w:color="auto" w:fill="FFFFFF"/>
        </w:rPr>
      </w:pPr>
      <w:bookmarkStart w:id="141" w:name="_Toc82085544"/>
      <w:bookmarkStart w:id="142" w:name="_Toc82085431"/>
      <w:r>
        <w:rPr>
          <w:rFonts w:eastAsia="方正小标宋_GBK" w:hint="eastAsia"/>
          <w:sz w:val="44"/>
          <w:szCs w:val="44"/>
          <w:shd w:val="clear" w:color="auto" w:fill="FFFFFF"/>
        </w:rPr>
        <w:t>攀枝花市医疗保障局</w:t>
      </w:r>
    </w:p>
    <w:p>
      <w:pPr>
        <w:widowControl/>
        <w:spacing w:line="580" w:lineRule="exact"/>
        <w:jc w:val="center"/>
        <w:rPr>
          <w:rFonts w:eastAsia="方正小标宋_GBK"/>
          <w:sz w:val="44"/>
          <w:szCs w:val="44"/>
          <w:shd w:val="clear" w:color="auto" w:fill="FFFFFF"/>
        </w:rPr>
      </w:pPr>
      <w:r>
        <w:rPr>
          <w:rFonts w:eastAsia="方正小标宋_GBK"/>
          <w:sz w:val="44"/>
          <w:szCs w:val="44"/>
          <w:shd w:val="clear" w:color="auto" w:fill="FFFFFF"/>
        </w:rPr>
        <w:t>2023</w:t>
      </w:r>
      <w:r>
        <w:rPr>
          <w:rFonts w:eastAsia="方正小标宋_GBK" w:hint="eastAsia"/>
          <w:sz w:val="44"/>
          <w:szCs w:val="44"/>
          <w:shd w:val="clear" w:color="auto" w:fill="FFFFFF"/>
        </w:rPr>
        <w:t>年整体支出绩效自评报告</w:t>
      </w:r>
    </w:p>
    <w:p>
      <w:pPr>
        <w:widowControl/>
        <w:spacing w:line="580" w:lineRule="exact"/>
        <w:jc w:val="center"/>
        <w:rPr>
          <w:rFonts w:eastAsia="黑体"/>
          <w:kern w:val="0"/>
          <w:sz w:val="24"/>
          <w:szCs w:val="32"/>
          <w:shd w:val="clear" w:color="auto" w:fill="FFFFFF"/>
        </w:rPr>
      </w:pPr>
    </w:p>
    <w:p>
      <w:pPr>
        <w:pStyle w:val="20"/>
        <w:spacing w:line="360" w:lineRule="auto"/>
        <w:ind w:firstLineChars="200" w:firstLine="640"/>
        <w:rPr>
          <w:rFonts w:ascii="Times New Roman" w:eastAsia="仿宋_GB2312" w:hAnsi="Times New Roman"/>
          <w:szCs w:val="32"/>
        </w:rPr>
      </w:pPr>
      <w:r>
        <w:rPr>
          <w:rFonts w:ascii="Times New Roman" w:eastAsia="仿宋_GB2312" w:hAnsi="Times New Roman" w:hint="eastAsia"/>
          <w:szCs w:val="32"/>
        </w:rPr>
        <w:t>按照《攀枝花市财政局关于开展2023年度市本级预算绩效自评工作的通知》（攀财绩〔2024〕3号）要求，我局认真组织开展了2023年部门预算整体支出绩效自评工作，内容报告如下。</w:t>
      </w:r>
    </w:p>
    <w:p>
      <w:pPr>
        <w:widowControl/>
        <w:adjustRightInd w:val="0"/>
        <w:snapToGrid w:val="0"/>
        <w:spacing w:line="360" w:lineRule="auto"/>
        <w:ind w:firstLineChars="200" w:firstLine="640"/>
        <w:jc w:val="left"/>
        <w:rPr>
          <w:rFonts w:eastAsia="黑体"/>
          <w:kern w:val="0"/>
          <w:sz w:val="32"/>
          <w:szCs w:val="32"/>
          <w:shd w:val="clear" w:color="auto" w:fill="FFFFFF"/>
          <w:lang w:val="zh-CN"/>
        </w:rPr>
      </w:pPr>
      <w:r>
        <w:rPr>
          <w:rFonts w:eastAsia="黑体" w:hint="eastAsia"/>
          <w:kern w:val="0"/>
          <w:sz w:val="32"/>
          <w:szCs w:val="32"/>
          <w:shd w:val="clear" w:color="auto" w:fill="FFFFFF"/>
        </w:rPr>
        <w:t>一、</w:t>
      </w:r>
      <w:r>
        <w:rPr>
          <w:rFonts w:eastAsia="黑体" w:hint="eastAsia"/>
          <w:kern w:val="0"/>
          <w:sz w:val="32"/>
          <w:szCs w:val="32"/>
          <w:shd w:val="clear" w:color="auto" w:fill="FFFFFF"/>
          <w:lang w:val="zh-CN"/>
        </w:rPr>
        <w:t>部门（单位）概况</w:t>
      </w:r>
    </w:p>
    <w:p>
      <w:pPr>
        <w:widowControl/>
        <w:adjustRightInd w:val="0"/>
        <w:snapToGrid w:val="0"/>
        <w:spacing w:line="360" w:lineRule="auto"/>
        <w:ind w:firstLineChars="200" w:firstLine="640"/>
        <w:jc w:val="left"/>
        <w:rPr>
          <w:rFonts w:eastAsia="楷体_GB2312"/>
          <w:kern w:val="0"/>
          <w:sz w:val="32"/>
          <w:szCs w:val="32"/>
          <w:shd w:val="clear" w:color="auto" w:fill="FFFFFF"/>
          <w:lang w:val="zh-CN"/>
        </w:rPr>
      </w:pPr>
      <w:r>
        <w:rPr>
          <w:rFonts w:eastAsia="楷体_GB2312" w:hint="eastAsia"/>
          <w:kern w:val="0"/>
          <w:sz w:val="32"/>
          <w:szCs w:val="32"/>
          <w:shd w:val="clear" w:color="auto" w:fill="FFFFFF"/>
          <w:lang w:val="zh-CN"/>
        </w:rPr>
        <w:t>（一）机构组成。</w:t>
      </w:r>
    </w:p>
    <w:p>
      <w:pPr>
        <w:snapToGrid w:val="0"/>
        <w:spacing w:line="360" w:lineRule="auto"/>
        <w:ind w:firstLineChars="200" w:firstLine="640"/>
        <w:rPr>
          <w:rFonts w:eastAsia="仿宋_GB2312"/>
          <w:sz w:val="32"/>
          <w:szCs w:val="32"/>
        </w:rPr>
      </w:pPr>
      <w:r>
        <w:rPr>
          <w:rFonts w:eastAsia="仿宋_GB2312" w:hint="eastAsia"/>
          <w:sz w:val="32"/>
          <w:szCs w:val="32"/>
        </w:rPr>
        <w:t>攀枝花市医疗保障局（以下简称“市医保局”）为攀枝花市人民政府正县级工作部门，下设四个科室，分别是：办公室、待遇保障与法规科、医药服务与价格管理科，基金监管科。攀枝花市医疗保障信息中心（以下简称“市医保信息中心”）为我局下属事业单位，财务未独立核算。</w:t>
      </w:r>
    </w:p>
    <w:p>
      <w:pPr>
        <w:widowControl/>
        <w:adjustRightInd w:val="0"/>
        <w:snapToGrid w:val="0"/>
        <w:spacing w:line="360" w:lineRule="auto"/>
        <w:ind w:firstLineChars="200" w:firstLine="640"/>
        <w:jc w:val="left"/>
        <w:rPr>
          <w:rFonts w:eastAsia="楷体_GB2312"/>
          <w:kern w:val="0"/>
          <w:sz w:val="32"/>
          <w:szCs w:val="32"/>
          <w:shd w:val="clear" w:color="auto" w:fill="FFFFFF"/>
          <w:lang w:val="zh-CN"/>
        </w:rPr>
      </w:pPr>
      <w:r>
        <w:rPr>
          <w:rFonts w:eastAsia="楷体_GB2312" w:hint="eastAsia"/>
          <w:kern w:val="0"/>
          <w:sz w:val="32"/>
          <w:szCs w:val="32"/>
          <w:shd w:val="clear" w:color="auto" w:fill="FFFFFF"/>
          <w:lang w:val="zh-CN"/>
        </w:rPr>
        <w:t>（二）机构职能。</w:t>
      </w:r>
    </w:p>
    <w:p>
      <w:pPr>
        <w:widowControl/>
        <w:adjustRightInd w:val="0"/>
        <w:snapToGrid w:val="0"/>
        <w:spacing w:line="360" w:lineRule="auto"/>
        <w:ind w:firstLineChars="200" w:firstLine="640"/>
        <w:jc w:val="left"/>
        <w:rPr>
          <w:rFonts w:eastAsia="仿宋_GB2312"/>
          <w:sz w:val="32"/>
          <w:szCs w:val="32"/>
        </w:rPr>
      </w:pPr>
      <w:r>
        <w:rPr>
          <w:rFonts w:hint="eastAsia"/>
          <w:sz w:val="32"/>
          <w:szCs w:val="32"/>
        </w:rPr>
        <w:t>（</w:t>
      </w:r>
      <w:r>
        <w:rPr>
          <w:rFonts w:eastAsia="仿宋_GB2312" w:hint="eastAsia"/>
          <w:sz w:val="32"/>
          <w:szCs w:val="32"/>
        </w:rPr>
        <w:t>1）贯彻执行医疗保险、生育保险、医疗救助等医疗保障法律、法规、规章。拟订全市医疗保障事业发展规划、政策和标准，并组织实施和监督检查。</w:t>
      </w:r>
    </w:p>
    <w:p>
      <w:pPr>
        <w:widowControl/>
        <w:adjustRightInd w:val="0"/>
        <w:snapToGrid w:val="0"/>
        <w:spacing w:line="360" w:lineRule="auto"/>
        <w:ind w:firstLineChars="200" w:firstLine="640"/>
        <w:jc w:val="left"/>
        <w:rPr>
          <w:rFonts w:eastAsia="仿宋_GB2312"/>
          <w:sz w:val="32"/>
          <w:szCs w:val="32"/>
        </w:rPr>
      </w:pPr>
      <w:r>
        <w:rPr>
          <w:rFonts w:eastAsia="仿宋_GB2312" w:hint="eastAsia"/>
          <w:sz w:val="32"/>
          <w:szCs w:val="32"/>
        </w:rPr>
        <w:t>（2）组织拟订并实施医疗保障基金监督管理制度，建立健全医疗保障基金安全防控机制，监督强化全市医疗保障基金运行管理。</w:t>
      </w:r>
    </w:p>
    <w:p>
      <w:pPr>
        <w:widowControl/>
        <w:adjustRightInd w:val="0"/>
        <w:snapToGrid w:val="0"/>
        <w:spacing w:line="360" w:lineRule="auto"/>
        <w:ind w:firstLineChars="200" w:firstLine="640"/>
        <w:jc w:val="left"/>
        <w:rPr>
          <w:rFonts w:eastAsia="仿宋_GB2312"/>
          <w:sz w:val="32"/>
          <w:szCs w:val="32"/>
        </w:rPr>
      </w:pPr>
      <w:r>
        <w:rPr>
          <w:rFonts w:eastAsia="仿宋_GB2312" w:hint="eastAsia"/>
          <w:sz w:val="32"/>
          <w:szCs w:val="32"/>
        </w:rPr>
        <w:t>（3）组织拟订并实施医疗保障筹资和待遇政策，完善全市医疗保障筹资标准动态调整机制，统筹城乡医疗保障待遇标准，建立健全与筹资水平相适应的待遇调整机制。组织拟订并实施长期护理保险制度改革方案。</w:t>
      </w:r>
    </w:p>
    <w:p>
      <w:pPr>
        <w:widowControl/>
        <w:adjustRightInd w:val="0"/>
        <w:snapToGrid w:val="0"/>
        <w:spacing w:line="360" w:lineRule="auto"/>
        <w:ind w:firstLineChars="200" w:firstLine="640"/>
        <w:jc w:val="left"/>
        <w:rPr>
          <w:rFonts w:eastAsia="仿宋_GB2312"/>
          <w:sz w:val="32"/>
          <w:szCs w:val="32"/>
        </w:rPr>
      </w:pPr>
      <w:r>
        <w:rPr>
          <w:rFonts w:eastAsia="仿宋_GB2312" w:hint="eastAsia"/>
          <w:sz w:val="32"/>
          <w:szCs w:val="32"/>
        </w:rPr>
        <w:t>（4）组织实施全省城乡统一的药品、医用耗材、医疗服务项目、医疗服务设施等医疗保障目录和支付标准，根据授权在医疗保障目录准入谈判规则下进行目录增补和支付标准的调整。</w:t>
      </w:r>
    </w:p>
    <w:p>
      <w:pPr>
        <w:widowControl/>
        <w:adjustRightInd w:val="0"/>
        <w:snapToGrid w:val="0"/>
        <w:spacing w:line="360" w:lineRule="auto"/>
        <w:ind w:firstLineChars="200" w:firstLine="640"/>
        <w:jc w:val="left"/>
        <w:rPr>
          <w:rFonts w:eastAsia="仿宋_GB2312"/>
          <w:sz w:val="32"/>
          <w:szCs w:val="32"/>
        </w:rPr>
      </w:pPr>
      <w:r>
        <w:rPr>
          <w:rFonts w:eastAsia="仿宋_GB2312" w:hint="eastAsia"/>
          <w:sz w:val="32"/>
          <w:szCs w:val="32"/>
        </w:rPr>
        <w:t>（5）组织拟订并实施全市统一的药品、医用耗材价格和医疗服务项目、医疗服务设施收费等政策，建立医保支付医药服务价格合理确定和动态调整机制，推动建立市场主导的社会医药服务价格形成机制，建立价格信息监测和信息发布制度。</w:t>
      </w:r>
    </w:p>
    <w:p>
      <w:pPr>
        <w:widowControl/>
        <w:adjustRightInd w:val="0"/>
        <w:snapToGrid w:val="0"/>
        <w:spacing w:line="360" w:lineRule="auto"/>
        <w:ind w:firstLineChars="200" w:firstLine="640"/>
        <w:jc w:val="left"/>
        <w:rPr>
          <w:rFonts w:eastAsia="仿宋_GB2312"/>
          <w:sz w:val="32"/>
          <w:szCs w:val="32"/>
        </w:rPr>
      </w:pPr>
      <w:r>
        <w:rPr>
          <w:rFonts w:eastAsia="仿宋_GB2312" w:hint="eastAsia"/>
          <w:sz w:val="32"/>
          <w:szCs w:val="32"/>
        </w:rPr>
        <w:t>（6）贯彻执行全省药品、医用耗材的招标采购政策并监督实施，根据省上统一安排部署，参与全省药品、医用耗材招标采购平台建设，承担相关工作任务。</w:t>
      </w:r>
    </w:p>
    <w:p>
      <w:pPr>
        <w:widowControl/>
        <w:adjustRightInd w:val="0"/>
        <w:snapToGrid w:val="0"/>
        <w:spacing w:line="360" w:lineRule="auto"/>
        <w:ind w:firstLineChars="200" w:firstLine="640"/>
        <w:jc w:val="left"/>
        <w:rPr>
          <w:rFonts w:eastAsia="仿宋_GB2312"/>
          <w:sz w:val="32"/>
          <w:szCs w:val="32"/>
        </w:rPr>
      </w:pPr>
      <w:r>
        <w:rPr>
          <w:rFonts w:eastAsia="仿宋_GB2312" w:hint="eastAsia"/>
          <w:sz w:val="32"/>
          <w:szCs w:val="32"/>
        </w:rPr>
        <w:t>（7）推进医疗保障基金支付方式改革，制定全市医疗保障定点医药机构服务协议和基金支付管理办法并组织实施，指导全市医疗保障定点医药机构管理。建立健全医疗保障信用评价体系和信息披露制度，监督管理纳入医疗保障范围内的医疗服务行为和医疗费用，依法查处医疗保障领域违法违规行为。</w:t>
      </w:r>
    </w:p>
    <w:p>
      <w:pPr>
        <w:widowControl/>
        <w:adjustRightInd w:val="0"/>
        <w:snapToGrid w:val="0"/>
        <w:spacing w:line="360" w:lineRule="auto"/>
        <w:ind w:firstLineChars="200" w:firstLine="640"/>
        <w:jc w:val="left"/>
        <w:rPr>
          <w:rFonts w:eastAsia="仿宋_GB2312"/>
          <w:sz w:val="32"/>
          <w:szCs w:val="32"/>
        </w:rPr>
      </w:pPr>
      <w:r>
        <w:rPr>
          <w:rFonts w:eastAsia="仿宋_GB2312" w:hint="eastAsia"/>
          <w:sz w:val="32"/>
          <w:szCs w:val="32"/>
        </w:rPr>
        <w:t>（8）负责全市医疗保障业务经办管理和公共服务体系建设。组织实施异地就医管理规定和费用结算政策。贯彻执行医疗保障关系转移接续政策。指导和监督管理全市医保经办服务工作。开展医疗保障领域对外合作交流。</w:t>
      </w:r>
    </w:p>
    <w:p>
      <w:pPr>
        <w:widowControl/>
        <w:adjustRightInd w:val="0"/>
        <w:snapToGrid w:val="0"/>
        <w:spacing w:line="360" w:lineRule="auto"/>
        <w:ind w:firstLineChars="200" w:firstLine="640"/>
        <w:jc w:val="left"/>
        <w:rPr>
          <w:rFonts w:eastAsia="仿宋_GB2312"/>
          <w:sz w:val="32"/>
          <w:szCs w:val="32"/>
        </w:rPr>
      </w:pPr>
      <w:r>
        <w:rPr>
          <w:rFonts w:eastAsia="仿宋_GB2312" w:hint="eastAsia"/>
          <w:sz w:val="32"/>
          <w:szCs w:val="32"/>
        </w:rPr>
        <w:t>（9）拟订全市医疗保障信息化建设规划并参与全省医疗保障信息化建设。组织开展医疗保障大数据管理和应用。</w:t>
      </w:r>
    </w:p>
    <w:p>
      <w:pPr>
        <w:widowControl/>
        <w:adjustRightInd w:val="0"/>
        <w:snapToGrid w:val="0"/>
        <w:spacing w:line="360" w:lineRule="auto"/>
        <w:ind w:firstLineChars="200" w:firstLine="640"/>
        <w:jc w:val="left"/>
        <w:rPr>
          <w:rFonts w:eastAsia="仿宋_GB2312"/>
          <w:sz w:val="32"/>
          <w:szCs w:val="32"/>
        </w:rPr>
      </w:pPr>
      <w:r>
        <w:rPr>
          <w:rFonts w:eastAsia="仿宋_GB2312" w:hint="eastAsia"/>
          <w:sz w:val="32"/>
          <w:szCs w:val="32"/>
        </w:rPr>
        <w:t>（10）组织拟订市本级离休干部、六级以上革命伤残军人的医疗保障政策和厅级干部、县级干部、高级知识分子的医疗照顾政策。</w:t>
      </w:r>
    </w:p>
    <w:p>
      <w:pPr>
        <w:widowControl/>
        <w:adjustRightInd w:val="0"/>
        <w:snapToGrid w:val="0"/>
        <w:spacing w:line="360" w:lineRule="auto"/>
        <w:ind w:firstLineChars="200" w:firstLine="640"/>
        <w:jc w:val="left"/>
        <w:rPr>
          <w:rFonts w:eastAsia="仿宋_GB2312"/>
          <w:sz w:val="32"/>
          <w:szCs w:val="32"/>
        </w:rPr>
      </w:pPr>
      <w:r>
        <w:rPr>
          <w:rFonts w:eastAsia="仿宋_GB2312" w:hint="eastAsia"/>
          <w:sz w:val="32"/>
          <w:szCs w:val="32"/>
        </w:rPr>
        <w:t>（11）负责职责范围内的安全生产和职业健康、生态环境保护、审批服务便民化等工作。</w:t>
      </w:r>
    </w:p>
    <w:p>
      <w:pPr>
        <w:widowControl/>
        <w:adjustRightInd w:val="0"/>
        <w:snapToGrid w:val="0"/>
        <w:spacing w:line="360" w:lineRule="auto"/>
        <w:ind w:firstLineChars="200" w:firstLine="640"/>
        <w:jc w:val="left"/>
        <w:rPr>
          <w:rFonts w:eastAsia="仿宋_GB2312"/>
          <w:sz w:val="32"/>
          <w:szCs w:val="32"/>
        </w:rPr>
      </w:pPr>
      <w:r>
        <w:rPr>
          <w:rFonts w:eastAsia="仿宋_GB2312" w:hint="eastAsia"/>
          <w:sz w:val="32"/>
          <w:szCs w:val="32"/>
        </w:rPr>
        <w:t>（12）完成市委、市政府交办的其他任务。</w:t>
      </w:r>
    </w:p>
    <w:p>
      <w:pPr>
        <w:widowControl/>
        <w:adjustRightInd w:val="0"/>
        <w:snapToGrid w:val="0"/>
        <w:spacing w:line="360" w:lineRule="auto"/>
        <w:ind w:firstLineChars="200" w:firstLine="640"/>
        <w:jc w:val="left"/>
        <w:rPr>
          <w:rFonts w:eastAsia="楷体_GB2312"/>
          <w:kern w:val="0"/>
          <w:sz w:val="32"/>
          <w:szCs w:val="32"/>
          <w:shd w:val="clear" w:color="auto" w:fill="FFFFFF"/>
          <w:lang w:val="zh-CN"/>
        </w:rPr>
      </w:pPr>
      <w:r>
        <w:rPr>
          <w:rFonts w:eastAsia="楷体_GB2312" w:hint="eastAsia"/>
          <w:kern w:val="0"/>
          <w:sz w:val="32"/>
          <w:szCs w:val="32"/>
          <w:shd w:val="clear" w:color="auto" w:fill="FFFFFF"/>
          <w:lang w:val="zh-CN"/>
        </w:rPr>
        <w:t>（三）人员概况。</w:t>
      </w:r>
    </w:p>
    <w:p>
      <w:pPr>
        <w:snapToGrid w:val="0"/>
        <w:spacing w:line="360" w:lineRule="auto"/>
        <w:ind w:firstLineChars="200" w:firstLine="640"/>
        <w:rPr>
          <w:sz w:val="32"/>
          <w:szCs w:val="32"/>
          <w:u w:val="none"/>
        </w:rPr>
      </w:pPr>
      <w:r>
        <w:rPr>
          <w:rFonts w:eastAsia="仿宋_GB2312" w:hint="eastAsia"/>
          <w:sz w:val="32"/>
          <w:szCs w:val="32"/>
          <w:u w:val="none"/>
        </w:rPr>
        <w:t>市医保局机关行政编制10名，机关后勤事业编制1名，单列编制1人（临时），编制内实有在职人数13名。与上年相比，实有人数到龄退休减少1人。市医保信息中心事业编制10名，实有在职人数7名，与上年相比，编制及实有人员均无变化。</w:t>
      </w:r>
    </w:p>
    <w:p>
      <w:pPr>
        <w:widowControl/>
        <w:adjustRightInd w:val="0"/>
        <w:snapToGrid w:val="0"/>
        <w:spacing w:line="360" w:lineRule="auto"/>
        <w:ind w:firstLineChars="200" w:firstLine="640"/>
        <w:jc w:val="left"/>
        <w:rPr>
          <w:rFonts w:eastAsia="黑体"/>
          <w:kern w:val="0"/>
          <w:sz w:val="32"/>
          <w:szCs w:val="32"/>
          <w:shd w:val="clear" w:color="auto" w:fill="FFFFFF"/>
        </w:rPr>
      </w:pPr>
      <w:r>
        <w:rPr>
          <w:rFonts w:eastAsia="黑体" w:hint="eastAsia"/>
          <w:kern w:val="0"/>
          <w:sz w:val="32"/>
          <w:szCs w:val="32"/>
          <w:shd w:val="clear" w:color="auto" w:fill="FFFFFF"/>
        </w:rPr>
        <w:t>二、部门财政资金收支情况</w:t>
      </w:r>
    </w:p>
    <w:p>
      <w:pPr>
        <w:widowControl/>
        <w:adjustRightInd w:val="0"/>
        <w:snapToGrid w:val="0"/>
        <w:spacing w:line="360" w:lineRule="auto"/>
        <w:ind w:firstLineChars="200" w:firstLine="640"/>
        <w:jc w:val="left"/>
        <w:rPr>
          <w:rFonts w:eastAsia="楷体_GB2312"/>
          <w:kern w:val="0"/>
          <w:sz w:val="32"/>
          <w:szCs w:val="32"/>
          <w:shd w:val="clear" w:color="auto" w:fill="FFFFFF"/>
          <w:lang w:val="zh-CN"/>
        </w:rPr>
      </w:pPr>
      <w:r>
        <w:rPr>
          <w:rFonts w:eastAsia="楷体_GB2312" w:hint="eastAsia"/>
          <w:kern w:val="0"/>
          <w:sz w:val="32"/>
          <w:szCs w:val="32"/>
          <w:shd w:val="clear" w:color="auto" w:fill="FFFFFF"/>
          <w:lang w:val="zh-CN"/>
        </w:rPr>
        <w:t>（一）部门财政资金收入情况。</w:t>
      </w:r>
    </w:p>
    <w:p>
      <w:pPr>
        <w:widowControl/>
        <w:adjustRightInd w:val="0"/>
        <w:snapToGrid w:val="0"/>
        <w:spacing w:line="360" w:lineRule="auto"/>
        <w:ind w:firstLineChars="200" w:firstLine="640"/>
        <w:jc w:val="left"/>
        <w:rPr>
          <w:rFonts w:eastAsia="仿宋_GB2312"/>
          <w:sz w:val="32"/>
          <w:szCs w:val="32"/>
        </w:rPr>
      </w:pPr>
      <w:r>
        <w:rPr>
          <w:rFonts w:eastAsia="仿宋_GB2312"/>
          <w:sz w:val="32"/>
          <w:szCs w:val="32"/>
        </w:rPr>
        <w:t>2023</w:t>
      </w:r>
      <w:r>
        <w:rPr>
          <w:rFonts w:eastAsia="仿宋_GB2312" w:hint="eastAsia"/>
          <w:sz w:val="32"/>
          <w:szCs w:val="32"/>
        </w:rPr>
        <w:t>年市医保局财政拨款收入总额1027.22万元，其中：一般公共预算财政拨款1027.22万元，政府性基金预算财政拨款0万元。</w:t>
      </w:r>
    </w:p>
    <w:p>
      <w:pPr>
        <w:widowControl/>
        <w:adjustRightInd w:val="0"/>
        <w:snapToGrid w:val="0"/>
        <w:spacing w:line="360" w:lineRule="auto"/>
        <w:ind w:firstLineChars="200" w:firstLine="640"/>
        <w:jc w:val="left"/>
        <w:rPr>
          <w:rFonts w:eastAsia="楷体_GB2312"/>
          <w:kern w:val="0"/>
          <w:sz w:val="32"/>
          <w:szCs w:val="32"/>
          <w:shd w:val="clear" w:color="auto" w:fill="FFFFFF"/>
          <w:lang w:val="zh-CN"/>
        </w:rPr>
      </w:pPr>
      <w:r>
        <w:rPr>
          <w:rFonts w:eastAsia="楷体_GB2312" w:hint="eastAsia"/>
          <w:kern w:val="0"/>
          <w:sz w:val="32"/>
          <w:szCs w:val="32"/>
          <w:shd w:val="clear" w:color="auto" w:fill="FFFFFF"/>
          <w:lang w:val="zh-CN"/>
        </w:rPr>
        <w:t>（二）部门财政资金支出情况。</w:t>
      </w:r>
    </w:p>
    <w:p>
      <w:pPr>
        <w:adjustRightInd w:val="0"/>
        <w:snapToGrid w:val="0"/>
        <w:spacing w:line="360" w:lineRule="auto"/>
        <w:ind w:firstLineChars="200" w:firstLine="640"/>
        <w:rPr>
          <w:kern w:val="0"/>
          <w:sz w:val="32"/>
          <w:szCs w:val="32"/>
          <w:shd w:val="clear" w:color="auto" w:fill="FFFFFF"/>
          <w:lang w:val="zh-CN"/>
        </w:rPr>
      </w:pPr>
      <w:r>
        <w:rPr>
          <w:rFonts w:eastAsia="仿宋_GB2312"/>
          <w:sz w:val="32"/>
          <w:szCs w:val="32"/>
        </w:rPr>
        <w:t>2023</w:t>
      </w:r>
      <w:r>
        <w:rPr>
          <w:rFonts w:eastAsia="仿宋_GB2312" w:hint="eastAsia"/>
          <w:sz w:val="32"/>
          <w:szCs w:val="32"/>
        </w:rPr>
        <w:t>年市医保局</w:t>
      </w:r>
      <w:r>
        <w:rPr>
          <w:rFonts w:eastAsia="仿宋_GB2312" w:hint="eastAsia"/>
          <w:sz w:val="32"/>
          <w:szCs w:val="32"/>
          <w:lang w:val="zh-CN"/>
        </w:rPr>
        <w:t>财政拨款支出总额1027.22</w:t>
      </w:r>
      <w:r>
        <w:rPr>
          <w:rFonts w:eastAsia="仿宋_GB2312" w:hint="eastAsia"/>
          <w:sz w:val="32"/>
          <w:szCs w:val="32"/>
        </w:rPr>
        <w:t>万元，其中</w:t>
      </w:r>
      <w:r>
        <w:rPr>
          <w:rFonts w:eastAsia="仿宋_GB2312" w:hint="eastAsia"/>
          <w:sz w:val="32"/>
          <w:szCs w:val="32"/>
          <w:lang w:val="zh-CN"/>
        </w:rPr>
        <w:t>：基本支出522.39万元（人员支出459.73万元，公用经费支出62.66万元），项目支出504.83万元。</w:t>
      </w:r>
    </w:p>
    <w:p>
      <w:pPr>
        <w:widowControl/>
        <w:adjustRightInd w:val="0"/>
        <w:snapToGrid w:val="0"/>
        <w:spacing w:line="360" w:lineRule="auto"/>
        <w:ind w:firstLineChars="200" w:firstLine="640"/>
        <w:jc w:val="left"/>
        <w:rPr>
          <w:rFonts w:eastAsia="黑体"/>
          <w:kern w:val="0"/>
          <w:sz w:val="32"/>
          <w:szCs w:val="32"/>
          <w:shd w:val="clear" w:color="auto" w:fill="FFFFFF"/>
        </w:rPr>
      </w:pPr>
      <w:r>
        <w:rPr>
          <w:rFonts w:eastAsia="黑体" w:hint="eastAsia"/>
          <w:kern w:val="0"/>
          <w:sz w:val="32"/>
          <w:szCs w:val="32"/>
          <w:shd w:val="clear" w:color="auto" w:fill="FFFFFF"/>
        </w:rPr>
        <w:t>三、部门整体预算绩效管理情况</w:t>
      </w:r>
    </w:p>
    <w:p>
      <w:pPr>
        <w:widowControl/>
        <w:adjustRightInd w:val="0"/>
        <w:snapToGrid w:val="0"/>
        <w:spacing w:line="360" w:lineRule="auto"/>
        <w:ind w:firstLineChars="200" w:firstLine="640"/>
        <w:jc w:val="left"/>
        <w:rPr>
          <w:rFonts w:eastAsia="楷体_GB2312"/>
          <w:kern w:val="0"/>
          <w:sz w:val="32"/>
          <w:szCs w:val="32"/>
          <w:shd w:val="clear" w:color="auto" w:fill="FFFFFF"/>
          <w:lang w:val="zh-CN"/>
        </w:rPr>
      </w:pPr>
      <w:r>
        <w:rPr>
          <w:rFonts w:eastAsia="楷体_GB2312" w:hint="eastAsia"/>
          <w:kern w:val="0"/>
          <w:sz w:val="32"/>
          <w:szCs w:val="32"/>
          <w:shd w:val="clear" w:color="auto" w:fill="FFFFFF"/>
          <w:lang w:val="zh-CN"/>
        </w:rPr>
        <w:t>（一）部门预算项目绩效管理。</w:t>
      </w:r>
    </w:p>
    <w:p>
      <w:pPr>
        <w:spacing w:line="360" w:lineRule="auto"/>
        <w:ind w:firstLineChars="200" w:firstLine="640"/>
        <w:rPr>
          <w:rFonts w:eastAsia="仿宋_GB2312"/>
          <w:sz w:val="32"/>
          <w:szCs w:val="32"/>
        </w:rPr>
      </w:pPr>
      <w:r>
        <w:rPr>
          <w:rFonts w:eastAsia="仿宋_GB2312"/>
          <w:sz w:val="32"/>
          <w:szCs w:val="32"/>
          <w:lang w:val="zh-CN"/>
        </w:rPr>
        <w:t>1.</w:t>
      </w:r>
      <w:r>
        <w:rPr>
          <w:rFonts w:eastAsia="仿宋_GB2312" w:hint="eastAsia"/>
          <w:sz w:val="32"/>
          <w:szCs w:val="32"/>
          <w:lang w:val="zh-CN"/>
        </w:rPr>
        <w:t>目标管理执行较好。（1）目标制定方面。</w:t>
      </w:r>
      <w:r>
        <w:rPr>
          <w:rFonts w:eastAsia="仿宋_GB2312"/>
          <w:sz w:val="32"/>
          <w:szCs w:val="32"/>
          <w:lang w:val="zh-CN"/>
        </w:rPr>
        <w:t>202</w:t>
      </w:r>
      <w:r>
        <w:rPr>
          <w:rFonts w:eastAsia="仿宋_GB2312"/>
          <w:sz w:val="32"/>
          <w:szCs w:val="32"/>
        </w:rPr>
        <w:t>3</w:t>
      </w:r>
      <w:r>
        <w:rPr>
          <w:rFonts w:eastAsia="仿宋_GB2312" w:hint="eastAsia"/>
          <w:sz w:val="32"/>
          <w:szCs w:val="32"/>
          <w:lang w:val="zh-CN"/>
        </w:rPr>
        <w:t>年紧紧围绕全局目标任务和重点项目工作，按照财政部门预算绩效管理相关规定，</w:t>
      </w:r>
      <w:r>
        <w:rPr>
          <w:rFonts w:eastAsia="仿宋_GB2312" w:hint="eastAsia"/>
          <w:sz w:val="32"/>
          <w:szCs w:val="32"/>
        </w:rPr>
        <w:t>结合实际</w:t>
      </w:r>
      <w:r>
        <w:rPr>
          <w:rFonts w:eastAsia="仿宋_GB2312" w:hint="eastAsia"/>
          <w:sz w:val="32"/>
          <w:szCs w:val="32"/>
          <w:lang w:val="zh-CN"/>
        </w:rPr>
        <w:t>从数量、质量、成本和时效等方面</w:t>
      </w:r>
      <w:r>
        <w:rPr>
          <w:rFonts w:eastAsia="仿宋_GB2312" w:hint="eastAsia"/>
          <w:sz w:val="32"/>
          <w:szCs w:val="32"/>
        </w:rPr>
        <w:t>细化绩效指标，</w:t>
      </w:r>
      <w:r>
        <w:rPr>
          <w:rFonts w:eastAsia="仿宋_GB2312" w:hint="eastAsia"/>
          <w:sz w:val="32"/>
          <w:szCs w:val="32"/>
          <w:lang w:val="zh-CN"/>
        </w:rPr>
        <w:t>注重绩效目标符合客观实际，</w:t>
      </w:r>
      <w:r>
        <w:rPr>
          <w:rFonts w:eastAsia="仿宋_GB2312" w:hint="eastAsia"/>
          <w:sz w:val="32"/>
          <w:szCs w:val="32"/>
        </w:rPr>
        <w:t>以定量方式表述，绩效目标设置科学</w:t>
      </w:r>
      <w:r>
        <w:rPr>
          <w:rFonts w:eastAsia="仿宋_GB2312" w:hint="eastAsia"/>
          <w:sz w:val="32"/>
          <w:szCs w:val="32"/>
          <w:lang w:val="zh-CN"/>
        </w:rPr>
        <w:t>。（2）目标实现方面。积极推进预算绩效运行管理，开展事中绩效监控，确保绩效目标实现。工资、五险一金等人员支出保障了职工正常福利待遇按月发放。办公费、水电费、差旅费</w:t>
      </w:r>
      <w:r>
        <w:rPr>
          <w:rFonts w:eastAsia="仿宋_GB2312" w:hint="eastAsia"/>
          <w:sz w:val="32"/>
          <w:szCs w:val="32"/>
        </w:rPr>
        <w:t>等日常开支</w:t>
      </w:r>
      <w:r>
        <w:rPr>
          <w:rFonts w:eastAsia="仿宋_GB2312" w:hint="eastAsia"/>
          <w:sz w:val="32"/>
          <w:szCs w:val="32"/>
          <w:lang w:val="zh-CN"/>
        </w:rPr>
        <w:t>，保障了局机关和市医保信息中心日常办公和人员运转支出。</w:t>
      </w:r>
      <w:r>
        <w:rPr>
          <w:rFonts w:eastAsia="仿宋_GB2312"/>
          <w:sz w:val="32"/>
          <w:szCs w:val="32"/>
        </w:rPr>
        <w:t>2023</w:t>
      </w:r>
      <w:r>
        <w:rPr>
          <w:rFonts w:eastAsia="仿宋_GB2312" w:hint="eastAsia"/>
          <w:sz w:val="32"/>
          <w:szCs w:val="32"/>
        </w:rPr>
        <w:t>年共</w:t>
      </w:r>
      <w:r>
        <w:rPr>
          <w:rFonts w:eastAsia="仿宋_GB2312"/>
          <w:sz w:val="32"/>
          <w:szCs w:val="32"/>
        </w:rPr>
        <w:t>9</w:t>
      </w:r>
      <w:r>
        <w:rPr>
          <w:rFonts w:eastAsia="仿宋_GB2312" w:hint="eastAsia"/>
          <w:sz w:val="32"/>
          <w:szCs w:val="32"/>
        </w:rPr>
        <w:t>个项目，其中</w:t>
      </w:r>
      <w:r>
        <w:rPr>
          <w:rFonts w:eastAsia="仿宋_GB2312"/>
          <w:sz w:val="32"/>
          <w:szCs w:val="32"/>
        </w:rPr>
        <w:t>8</w:t>
      </w:r>
      <w:r>
        <w:rPr>
          <w:rFonts w:eastAsia="仿宋_GB2312" w:hint="eastAsia"/>
          <w:sz w:val="32"/>
          <w:szCs w:val="32"/>
        </w:rPr>
        <w:t>个完成预期指标，</w:t>
      </w:r>
      <w:r>
        <w:rPr>
          <w:rFonts w:eastAsia="仿宋_GB2312"/>
          <w:sz w:val="32"/>
          <w:szCs w:val="32"/>
        </w:rPr>
        <w:t>1</w:t>
      </w:r>
      <w:r>
        <w:rPr>
          <w:rFonts w:eastAsia="仿宋_GB2312" w:hint="eastAsia"/>
          <w:sz w:val="32"/>
          <w:szCs w:val="32"/>
        </w:rPr>
        <w:t>个能力建设项目未完成预算</w:t>
      </w:r>
      <w:bookmarkStart w:id="143" w:name="_Hlk163551544"/>
      <w:r>
        <w:rPr>
          <w:rFonts w:eastAsia="仿宋_GB2312" w:hint="eastAsia"/>
          <w:sz w:val="32"/>
          <w:szCs w:val="32"/>
        </w:rPr>
        <w:t>。</w:t>
      </w:r>
      <w:bookmarkEnd w:id="143"/>
    </w:p>
    <w:p>
      <w:pPr>
        <w:spacing w:line="360" w:lineRule="auto"/>
        <w:ind w:firstLineChars="200" w:firstLine="640"/>
        <w:rPr>
          <w:rFonts w:eastAsia="仿宋_GB2312"/>
          <w:sz w:val="32"/>
          <w:szCs w:val="32"/>
          <w:lang w:val="zh-CN"/>
        </w:rPr>
      </w:pPr>
      <w:r>
        <w:rPr>
          <w:rFonts w:eastAsia="仿宋_GB2312"/>
          <w:sz w:val="32"/>
          <w:szCs w:val="32"/>
          <w:lang w:val="zh-CN"/>
        </w:rPr>
        <w:t>2.</w:t>
      </w:r>
      <w:r>
        <w:rPr>
          <w:rFonts w:eastAsia="仿宋_GB2312" w:hint="eastAsia"/>
          <w:sz w:val="32"/>
          <w:szCs w:val="32"/>
          <w:lang w:val="zh-CN"/>
        </w:rPr>
        <w:t>制度管理较好。我局制定了财务管理办法，完善了预算管理、收支管理以及财务内控管理等制度，制度合法、合规、完整。严格按照财务管理规定开展单位经费财务工作，相关管理制度得到有效执行。</w:t>
      </w:r>
    </w:p>
    <w:p>
      <w:pPr>
        <w:spacing w:line="360" w:lineRule="auto"/>
        <w:ind w:firstLineChars="200" w:firstLine="640"/>
        <w:rPr>
          <w:rFonts w:eastAsia="仿宋_GB2312"/>
          <w:sz w:val="32"/>
          <w:szCs w:val="32"/>
          <w:lang w:val="zh-CN"/>
        </w:rPr>
      </w:pPr>
      <w:r>
        <w:rPr>
          <w:rFonts w:eastAsia="仿宋_GB2312"/>
          <w:sz w:val="32"/>
          <w:szCs w:val="32"/>
          <w:lang w:val="zh-CN"/>
        </w:rPr>
        <w:t>3.</w:t>
      </w:r>
      <w:r>
        <w:rPr>
          <w:rFonts w:eastAsia="仿宋_GB2312" w:hint="eastAsia"/>
          <w:sz w:val="32"/>
          <w:szCs w:val="32"/>
          <w:lang w:val="zh-CN"/>
        </w:rPr>
        <w:t>支出控制较好。202</w:t>
      </w:r>
      <w:r>
        <w:rPr>
          <w:rFonts w:eastAsia="仿宋_GB2312"/>
          <w:sz w:val="32"/>
          <w:szCs w:val="32"/>
        </w:rPr>
        <w:t>3</w:t>
      </w:r>
      <w:r>
        <w:rPr>
          <w:rFonts w:eastAsia="仿宋_GB2312" w:hint="eastAsia"/>
          <w:sz w:val="32"/>
          <w:szCs w:val="32"/>
          <w:lang w:val="zh-CN"/>
        </w:rPr>
        <w:t>年市医保局各项经费支出均按照调整预算数执行，日常公用经费支出控制率为98.15%，偏差率为1.85%，偏差率在10%以内，支出控制良好；三公经费支出控制率为92.60%，小于100%，三公经费支出控制良好。</w:t>
      </w:r>
    </w:p>
    <w:p>
      <w:pPr>
        <w:spacing w:line="360" w:lineRule="auto"/>
        <w:ind w:firstLineChars="200" w:firstLine="640"/>
        <w:rPr>
          <w:sz w:val="32"/>
          <w:szCs w:val="32"/>
          <w:lang w:val="zh-CN"/>
        </w:rPr>
      </w:pPr>
      <w:r>
        <w:rPr>
          <w:rFonts w:eastAsia="仿宋_GB2312"/>
          <w:sz w:val="32"/>
          <w:szCs w:val="32"/>
          <w:lang w:val="zh-CN"/>
        </w:rPr>
        <w:t>4.</w:t>
      </w:r>
      <w:r>
        <w:rPr>
          <w:rFonts w:eastAsia="仿宋_GB2312" w:hint="eastAsia"/>
          <w:sz w:val="32"/>
          <w:szCs w:val="32"/>
          <w:lang w:val="zh-CN"/>
        </w:rPr>
        <w:t>动态调整执行较好。我局对预算资金执行情况开展了绩效监控，发现单位预算与绩效目标出现偏差时，按要求</w:t>
      </w:r>
      <w:r>
        <w:rPr>
          <w:rFonts w:eastAsia="仿宋_GB2312" w:hint="eastAsia"/>
          <w:sz w:val="32"/>
          <w:szCs w:val="32"/>
        </w:rPr>
        <w:t>及时</w:t>
      </w:r>
      <w:r>
        <w:rPr>
          <w:rFonts w:eastAsia="仿宋_GB2312" w:hint="eastAsia"/>
          <w:sz w:val="32"/>
          <w:szCs w:val="32"/>
          <w:lang w:val="zh-CN"/>
        </w:rPr>
        <w:t>向市级财政部门申请指标调剂和支付更正，动态调整执行指标，</w:t>
      </w:r>
      <w:r>
        <w:rPr>
          <w:rFonts w:eastAsia="仿宋_GB2312" w:hint="eastAsia"/>
          <w:sz w:val="32"/>
          <w:szCs w:val="32"/>
        </w:rPr>
        <w:t>纠正预算偏差</w:t>
      </w:r>
      <w:r>
        <w:rPr>
          <w:rFonts w:eastAsia="仿宋_GB2312" w:hint="eastAsia"/>
          <w:sz w:val="32"/>
          <w:szCs w:val="32"/>
          <w:lang w:val="zh-CN"/>
        </w:rPr>
        <w:t>。</w:t>
      </w:r>
      <w:bookmarkStart w:id="144" w:name="_Hlk163564232"/>
      <w:r>
        <w:rPr>
          <w:rFonts w:eastAsia="仿宋_GB2312" w:hint="eastAsia"/>
          <w:sz w:val="32"/>
          <w:szCs w:val="32"/>
        </w:rPr>
        <w:t>对预算执行进度缓慢的项目，加强与局机关各科室及市医保信息中心沟通协调，督促并加快资金执行进度。</w:t>
      </w:r>
      <w:r>
        <w:rPr>
          <w:rFonts w:eastAsia="仿宋_GB2312" w:hint="eastAsia"/>
          <w:sz w:val="32"/>
          <w:szCs w:val="32"/>
          <w:lang w:val="zh-CN"/>
        </w:rPr>
        <w:t>截</w:t>
      </w:r>
      <w:r>
        <w:rPr>
          <w:rFonts w:eastAsia="仿宋_GB2312"/>
          <w:sz w:val="32"/>
          <w:szCs w:val="32"/>
          <w:lang w:val="zh-CN"/>
        </w:rPr>
        <w:t>至</w:t>
      </w:r>
      <w:r>
        <w:rPr>
          <w:rFonts w:eastAsia="仿宋_GB2312" w:hint="eastAsia"/>
          <w:sz w:val="32"/>
          <w:szCs w:val="32"/>
          <w:lang w:val="zh-CN"/>
        </w:rPr>
        <w:t>2023年6月，预算实际支出进度为60.90%，高于目标进度40%的要求；</w:t>
      </w:r>
      <w:bookmarkEnd w:id="144"/>
      <w:r>
        <w:rPr>
          <w:rFonts w:eastAsia="仿宋_GB2312" w:hint="eastAsia"/>
          <w:sz w:val="32"/>
          <w:szCs w:val="32"/>
          <w:lang w:val="zh-CN"/>
        </w:rPr>
        <w:t>截</w:t>
      </w:r>
      <w:r>
        <w:rPr>
          <w:rFonts w:eastAsia="仿宋_GB2312"/>
          <w:sz w:val="32"/>
          <w:szCs w:val="32"/>
          <w:lang w:val="zh-CN"/>
        </w:rPr>
        <w:t>至</w:t>
      </w:r>
      <w:r>
        <w:rPr>
          <w:rFonts w:eastAsia="仿宋_GB2312" w:hint="eastAsia"/>
          <w:sz w:val="32"/>
          <w:szCs w:val="32"/>
          <w:lang w:val="zh-CN"/>
        </w:rPr>
        <w:t>2023年9月的预算实际支出进度为66.94%，略低于67.5%的目标进度要求；截</w:t>
      </w:r>
      <w:r>
        <w:rPr>
          <w:rFonts w:eastAsia="仿宋_GB2312"/>
          <w:sz w:val="32"/>
          <w:szCs w:val="32"/>
          <w:lang w:val="zh-CN"/>
        </w:rPr>
        <w:t>至</w:t>
      </w:r>
      <w:r>
        <w:rPr>
          <w:rFonts w:eastAsia="仿宋_GB2312" w:hint="eastAsia"/>
          <w:sz w:val="32"/>
          <w:szCs w:val="32"/>
          <w:lang w:val="zh-CN"/>
        </w:rPr>
        <w:t>2023年11月的预算实际支出进度为87.09%，高于目标进度82.5%的要求。</w:t>
      </w:r>
      <w:r>
        <w:rPr>
          <w:rFonts w:eastAsia="仿宋_GB2312"/>
          <w:sz w:val="32"/>
          <w:szCs w:val="32"/>
          <w:lang w:val="zh-CN"/>
        </w:rPr>
        <w:br/>
      </w:r>
      <w:r>
        <w:rPr>
          <w:rFonts w:eastAsia="仿宋_GB2312" w:hint="eastAsia"/>
          <w:sz w:val="32"/>
          <w:szCs w:val="32"/>
          <w:lang w:val="zh-CN"/>
        </w:rPr>
        <w:t xml:space="preserve">    </w:t>
      </w:r>
      <w:r>
        <w:rPr>
          <w:rFonts w:eastAsia="仿宋_GB2312"/>
          <w:sz w:val="32"/>
          <w:szCs w:val="32"/>
        </w:rPr>
        <w:t>5.</w:t>
      </w:r>
      <w:r>
        <w:rPr>
          <w:rFonts w:eastAsia="仿宋_GB2312" w:hint="eastAsia"/>
          <w:sz w:val="32"/>
          <w:szCs w:val="32"/>
        </w:rPr>
        <w:t>完成结果较好。2023年，我局无预算管理违规违纪问题，整体支出预算完成98.15%，较好完成了全年预算绩效目标。2023年有9个项目，其中8个完成预期指标，1个能力建设项目未完成，资金结余率12.54%。</w:t>
      </w:r>
      <w:r>
        <w:rPr>
          <w:rFonts w:eastAsia="仿宋_GB2312"/>
          <w:sz w:val="32"/>
          <w:szCs w:val="32"/>
        </w:rPr>
        <w:br/>
      </w:r>
      <w:r>
        <w:rPr>
          <w:sz w:val="32"/>
          <w:szCs w:val="32"/>
        </w:rPr>
        <w:t xml:space="preserve">    </w:t>
      </w:r>
      <w:r>
        <w:rPr>
          <w:rFonts w:hint="eastAsia"/>
          <w:sz w:val="32"/>
          <w:szCs w:val="32"/>
        </w:rPr>
        <w:t>（二）</w:t>
      </w:r>
      <w:r>
        <w:rPr>
          <w:rFonts w:eastAsia="楷体_GB2312" w:hint="eastAsia"/>
          <w:kern w:val="0"/>
          <w:sz w:val="32"/>
          <w:szCs w:val="32"/>
          <w:shd w:val="clear" w:color="auto" w:fill="FFFFFF"/>
          <w:lang w:val="zh-CN"/>
        </w:rPr>
        <w:t>结果应用情况。</w:t>
      </w:r>
    </w:p>
    <w:p>
      <w:pPr>
        <w:pStyle w:val="45"/>
        <w:widowControl/>
        <w:adjustRightInd w:val="0"/>
        <w:snapToGrid w:val="0"/>
        <w:spacing w:line="580" w:lineRule="exact"/>
        <w:ind w:left="320"/>
        <w:jc w:val="left"/>
        <w:rPr>
          <w:sz w:val="32"/>
          <w:szCs w:val="32"/>
        </w:rPr>
      </w:pPr>
      <w:r>
        <w:rPr>
          <w:rFonts w:eastAsia="仿宋_GB2312" w:hint="eastAsia"/>
          <w:sz w:val="32"/>
          <w:szCs w:val="32"/>
        </w:rPr>
        <w:t>我局预算绩效目标由各科室和市医保信息中心的预算汇总编制形成，并对2023年项目绩效完成情况开展自评。完成了2022年部门整体和项目绩效自评，自评情况已向社会公开，并按要求反馈市级财政部门，对绩效管理过程中发现的问题及时纠偏，绩效结果得到充分应用。</w:t>
      </w:r>
    </w:p>
    <w:p>
      <w:pPr>
        <w:widowControl/>
        <w:adjustRightInd w:val="0"/>
        <w:snapToGrid w:val="0"/>
        <w:spacing w:line="580" w:lineRule="exact"/>
        <w:ind w:firstLineChars="231" w:firstLine="739"/>
        <w:jc w:val="left"/>
        <w:rPr>
          <w:rFonts w:eastAsia="楷体_GB2312"/>
          <w:kern w:val="0"/>
          <w:sz w:val="32"/>
          <w:szCs w:val="32"/>
          <w:shd w:val="clear" w:color="auto" w:fill="FFFFFF"/>
          <w:lang w:val="zh-CN"/>
        </w:rPr>
      </w:pPr>
      <w:r>
        <w:rPr>
          <w:rFonts w:eastAsia="楷体_GB2312" w:hint="eastAsia"/>
          <w:kern w:val="0"/>
          <w:sz w:val="32"/>
          <w:szCs w:val="32"/>
          <w:shd w:val="clear" w:color="auto" w:fill="FFFFFF"/>
          <w:lang w:val="zh-CN"/>
        </w:rPr>
        <w:t>（三）自评质量。</w:t>
      </w:r>
    </w:p>
    <w:p>
      <w:pPr>
        <w:widowControl/>
        <w:adjustRightInd w:val="0"/>
        <w:snapToGrid w:val="0"/>
        <w:spacing w:line="580" w:lineRule="exact"/>
        <w:ind w:firstLineChars="200" w:firstLine="640"/>
        <w:jc w:val="left"/>
        <w:rPr>
          <w:rFonts w:eastAsia="仿宋_GB2312"/>
          <w:sz w:val="32"/>
          <w:szCs w:val="32"/>
        </w:rPr>
      </w:pPr>
      <w:r>
        <w:rPr>
          <w:rFonts w:eastAsia="仿宋_GB2312" w:hint="eastAsia"/>
          <w:sz w:val="32"/>
          <w:szCs w:val="32"/>
        </w:rPr>
        <w:t>我局高度重视2023年绩效自评工作，根据财政部门绩效指标要求逐项开展自评打分，自评根据预算和决算数据据实填报，自评质量较高。</w:t>
      </w:r>
    </w:p>
    <w:p>
      <w:pPr>
        <w:widowControl/>
        <w:adjustRightInd w:val="0"/>
        <w:snapToGrid w:val="0"/>
        <w:spacing w:line="580" w:lineRule="exact"/>
        <w:ind w:firstLineChars="200" w:firstLine="640"/>
        <w:jc w:val="left"/>
        <w:rPr>
          <w:rFonts w:eastAsia="黑体"/>
          <w:kern w:val="0"/>
          <w:sz w:val="32"/>
          <w:szCs w:val="32"/>
          <w:shd w:val="clear" w:color="auto" w:fill="FFFFFF"/>
        </w:rPr>
      </w:pPr>
      <w:r>
        <w:rPr>
          <w:rFonts w:eastAsia="黑体" w:hint="eastAsia"/>
          <w:kern w:val="0"/>
          <w:sz w:val="32"/>
          <w:szCs w:val="32"/>
          <w:shd w:val="clear" w:color="auto" w:fill="FFFFFF"/>
        </w:rPr>
        <w:t>四、评价结论及建议</w:t>
      </w:r>
    </w:p>
    <w:p>
      <w:pPr>
        <w:widowControl/>
        <w:adjustRightInd w:val="0"/>
        <w:snapToGrid w:val="0"/>
        <w:spacing w:line="580" w:lineRule="exact"/>
        <w:ind w:left="640"/>
        <w:jc w:val="left"/>
        <w:rPr>
          <w:rFonts w:eastAsia="楷体_GB2312"/>
          <w:kern w:val="0"/>
          <w:sz w:val="32"/>
          <w:szCs w:val="32"/>
          <w:shd w:val="clear" w:color="auto" w:fill="FFFFFF"/>
          <w:lang w:val="zh-CN"/>
        </w:rPr>
      </w:pPr>
      <w:r>
        <w:rPr>
          <w:rFonts w:eastAsia="楷体_GB2312" w:hint="eastAsia"/>
          <w:kern w:val="0"/>
          <w:sz w:val="32"/>
          <w:szCs w:val="32"/>
          <w:shd w:val="clear" w:color="auto" w:fill="FFFFFF"/>
          <w:lang w:val="zh-CN"/>
        </w:rPr>
        <w:t>（一）评价结论。</w:t>
      </w:r>
    </w:p>
    <w:p>
      <w:pPr>
        <w:pStyle w:val="30"/>
        <w:widowControl w:val="0"/>
        <w:shd w:val="clear" w:color="auto" w:fill="FFFFFF"/>
        <w:spacing w:before="0" w:beforeAutospacing="0" w:after="0" w:afterAutospacing="0" w:line="360" w:lineRule="auto"/>
        <w:ind w:firstLineChars="200" w:firstLine="640"/>
        <w:jc w:val="both"/>
        <w:rPr>
          <w:rFonts w:ascii="Times New Roman" w:eastAsia="仿宋_GB2312" w:cs="Times New Roman" w:hAnsi="Times New Roman"/>
          <w:kern w:val="2"/>
          <w:sz w:val="32"/>
          <w:szCs w:val="32"/>
        </w:rPr>
      </w:pPr>
      <w:r>
        <w:rPr>
          <w:rFonts w:ascii="Times New Roman" w:eastAsia="仿宋_GB2312" w:cs="Times New Roman" w:hAnsi="Times New Roman"/>
          <w:kern w:val="2"/>
          <w:sz w:val="32"/>
          <w:szCs w:val="32"/>
        </w:rPr>
        <w:t>2023</w:t>
      </w:r>
      <w:r>
        <w:rPr>
          <w:rFonts w:ascii="Times New Roman" w:eastAsia="仿宋_GB2312" w:cs="Times New Roman" w:hAnsi="Times New Roman" w:hint="eastAsia"/>
          <w:kern w:val="2"/>
          <w:sz w:val="32"/>
          <w:szCs w:val="32"/>
        </w:rPr>
        <w:t>年，我局以习近平新时代中国特色社会主义思想为指导，认真落实国家、省集采部署，积极开展医药服务价格调整工作，深入推进按疾病诊断相关分组（DRG）付费国家示范点建设，着力打造便捷高效的医保经办管理服务体系，不断加大基金监管工作力度，严厉打击欺诈骗保行为，进一步完善医保信息平台建设，有效提升了医疗保障服务能力，按预期绩效目标圆满完成了各项医保工作任务，实现了保运转，惠民生、促发展、推改革的总体目标。绩效自评得分98.68分，整体支出绩效评价为优秀。</w:t>
      </w:r>
    </w:p>
    <w:p>
      <w:pPr>
        <w:pStyle w:val="30"/>
        <w:widowControl w:val="0"/>
        <w:shd w:val="clear" w:color="auto" w:fill="FFFFFF"/>
        <w:spacing w:before="0" w:beforeAutospacing="0" w:after="0" w:afterAutospacing="0" w:line="360" w:lineRule="auto"/>
        <w:ind w:firstLineChars="200" w:firstLine="640"/>
        <w:jc w:val="both"/>
        <w:rPr>
          <w:rFonts w:ascii="Times New Roman" w:eastAsia="楷体_GB2312" w:cs="Times New Roman" w:hAnsi="Times New Roman"/>
          <w:sz w:val="32"/>
          <w:szCs w:val="32"/>
          <w:shd w:val="clear" w:color="auto" w:fill="FFFFFF"/>
          <w:lang w:val="zh-CN"/>
        </w:rPr>
      </w:pPr>
      <w:r>
        <w:rPr>
          <w:rFonts w:ascii="Times New Roman" w:eastAsia="楷体_GB2312" w:cs="Times New Roman" w:hAnsi="Times New Roman" w:hint="eastAsia"/>
          <w:sz w:val="32"/>
          <w:szCs w:val="32"/>
          <w:shd w:val="clear" w:color="auto" w:fill="FFFFFF"/>
          <w:lang w:val="zh-CN"/>
        </w:rPr>
        <w:t>（二）存在问题。</w:t>
      </w:r>
    </w:p>
    <w:p>
      <w:pPr>
        <w:spacing w:line="576" w:lineRule="exact"/>
        <w:ind w:firstLineChars="200" w:firstLine="640"/>
        <w:rPr>
          <w:rFonts w:eastAsia="楷体_GB2312"/>
          <w:sz w:val="32"/>
          <w:szCs w:val="32"/>
          <w:shd w:val="clear" w:color="auto" w:fill="FFFFFF"/>
        </w:rPr>
      </w:pPr>
      <w:r>
        <w:rPr>
          <w:rFonts w:eastAsia="仿宋_GB2312"/>
          <w:sz w:val="32"/>
          <w:szCs w:val="32"/>
        </w:rPr>
        <w:t>2023</w:t>
      </w:r>
      <w:r>
        <w:rPr>
          <w:rFonts w:eastAsia="仿宋_GB2312" w:hint="eastAsia"/>
          <w:sz w:val="32"/>
          <w:szCs w:val="32"/>
        </w:rPr>
        <w:t>年医药服务与保障能力提升中央财政补助资金未完成预算，资金结余率为12.54%，未完成原因是该项目资金下达时间较晚，部分工作年末才开展，项目支出未及时支付。</w:t>
      </w:r>
    </w:p>
    <w:p>
      <w:pPr>
        <w:pStyle w:val="30"/>
        <w:widowControl w:val="0"/>
        <w:shd w:val="clear" w:color="auto" w:fill="FFFFFF"/>
        <w:spacing w:before="0" w:beforeAutospacing="0" w:after="0" w:afterAutospacing="0" w:line="360" w:lineRule="auto"/>
        <w:ind w:firstLineChars="200" w:firstLine="640"/>
        <w:jc w:val="both"/>
        <w:rPr>
          <w:rFonts w:ascii="Times New Roman" w:eastAsia="楷体_GB2312" w:cs="Times New Roman" w:hAnsi="Times New Roman"/>
          <w:sz w:val="32"/>
          <w:szCs w:val="32"/>
          <w:shd w:val="clear" w:color="auto" w:fill="FFFFFF"/>
          <w:lang w:val="zh-CN"/>
        </w:rPr>
      </w:pPr>
      <w:r>
        <w:rPr>
          <w:rFonts w:ascii="Times New Roman" w:eastAsia="楷体_GB2312" w:cs="Times New Roman" w:hAnsi="Times New Roman" w:hint="eastAsia"/>
          <w:sz w:val="32"/>
          <w:szCs w:val="32"/>
          <w:shd w:val="clear" w:color="auto" w:fill="FFFFFF"/>
          <w:lang w:val="zh-CN"/>
        </w:rPr>
        <w:t>（三）改进建议。</w:t>
      </w:r>
    </w:p>
    <w:p>
      <w:pPr>
        <w:spacing w:line="360" w:lineRule="auto"/>
        <w:ind w:firstLineChars="200" w:firstLine="640"/>
        <w:rPr>
          <w:rFonts w:eastAsia="仿宋_GB2312"/>
          <w:sz w:val="32"/>
          <w:szCs w:val="32"/>
        </w:rPr>
      </w:pPr>
      <w:r>
        <w:rPr>
          <w:rFonts w:eastAsia="仿宋_GB2312" w:hint="eastAsia"/>
          <w:sz w:val="32"/>
          <w:szCs w:val="32"/>
        </w:rPr>
        <w:t>一是加快</w:t>
      </w:r>
      <w:r>
        <w:rPr>
          <w:rFonts w:eastAsia="仿宋_GB2312"/>
          <w:sz w:val="32"/>
          <w:szCs w:val="32"/>
        </w:rPr>
        <w:t>2023</w:t>
      </w:r>
      <w:r>
        <w:rPr>
          <w:rFonts w:eastAsia="仿宋_GB2312" w:hint="eastAsia"/>
          <w:sz w:val="32"/>
          <w:szCs w:val="32"/>
        </w:rPr>
        <w:t>年医药服务与保障能力提升中央财政补助结转资金的使用。二是统筹安排资金使用计划，列出项目支出明细，做到专款专用。三是加强与市级财政部门的沟通协调，督促资金支付进度。</w:t>
      </w:r>
    </w:p>
    <w:p>
      <w:pPr>
        <w:pStyle w:val="31"/>
        <w:spacing w:line="560" w:lineRule="exact"/>
        <w:ind w:leftChars="304" w:left="1918" w:hangingChars="400" w:hanging="1280"/>
        <w:rPr>
          <w:rFonts w:eastAsia="仿宋_GB2312"/>
          <w:sz w:val="32"/>
          <w:szCs w:val="32"/>
        </w:rPr>
      </w:pPr>
      <w:r>
        <w:rPr>
          <w:rFonts w:eastAsia="仿宋_GB2312"/>
          <w:sz w:val="32"/>
          <w:szCs w:val="32"/>
          <w:lang w:val="zh-CN"/>
        </w:rPr>
        <w:t>附表：</w:t>
      </w:r>
      <w:r>
        <w:rPr>
          <w:rFonts w:eastAsia="仿宋_GB2312"/>
          <w:sz w:val="32"/>
          <w:szCs w:val="32"/>
        </w:rPr>
        <w:t>1.攀枝花市医疗保障局202</w:t>
      </w:r>
      <w:r>
        <w:rPr>
          <w:rFonts w:eastAsia="仿宋_GB2312" w:hint="eastAsia"/>
          <w:sz w:val="32"/>
          <w:szCs w:val="32"/>
        </w:rPr>
        <w:t>3</w:t>
      </w:r>
      <w:r>
        <w:rPr>
          <w:rFonts w:eastAsia="仿宋_GB2312"/>
          <w:sz w:val="32"/>
          <w:szCs w:val="32"/>
        </w:rPr>
        <w:t>年部门决算公开表见附件</w:t>
      </w:r>
    </w:p>
    <w:p>
      <w:pPr>
        <w:pStyle w:val="31"/>
        <w:spacing w:line="560" w:lineRule="exact"/>
        <w:ind w:leftChars="760" w:left="1756" w:hangingChars="50" w:hanging="160"/>
        <w:rPr>
          <w:rFonts w:eastAsia="仿宋_GB2312"/>
          <w:sz w:val="32"/>
          <w:szCs w:val="32"/>
          <w:lang w:val="zh-CN"/>
        </w:rPr>
      </w:pPr>
      <w:r>
        <w:rPr>
          <w:rFonts w:eastAsia="仿宋_GB2312"/>
          <w:sz w:val="32"/>
          <w:szCs w:val="32"/>
        </w:rPr>
        <w:t>2.攀枝花市医疗保障局预算项目支出绩效自评表（202</w:t>
      </w:r>
      <w:r>
        <w:rPr>
          <w:rFonts w:eastAsia="仿宋_GB2312" w:hint="eastAsia"/>
          <w:sz w:val="32"/>
          <w:szCs w:val="32"/>
        </w:rPr>
        <w:t>3</w:t>
      </w:r>
      <w:r>
        <w:rPr>
          <w:rFonts w:eastAsia="仿宋_GB2312"/>
          <w:sz w:val="32"/>
          <w:szCs w:val="32"/>
        </w:rPr>
        <w:t>年度）见附件</w:t>
      </w:r>
    </w:p>
    <w:p>
      <w:pPr>
        <w:spacing w:line="578" w:lineRule="exact"/>
        <w:outlineLvl w:val="1"/>
        <w:rPr>
          <w:rFonts w:eastAsia="黑体"/>
          <w:color w:val="000000"/>
          <w:sz w:val="32"/>
          <w:szCs w:val="32"/>
        </w:rPr>
      </w:pPr>
    </w:p>
    <w:p>
      <w:pPr>
        <w:spacing w:line="578" w:lineRule="exact"/>
        <w:ind w:firstLineChars="200" w:firstLine="640"/>
        <w:outlineLvl w:val="1"/>
        <w:rPr>
          <w:rFonts w:eastAsia="黑体"/>
          <w:color w:val="000000"/>
          <w:sz w:val="32"/>
          <w:szCs w:val="32"/>
        </w:rPr>
      </w:pPr>
    </w:p>
    <w:p>
      <w:pPr>
        <w:spacing w:line="578" w:lineRule="exact"/>
        <w:ind w:firstLineChars="200" w:firstLine="640"/>
        <w:outlineLvl w:val="1"/>
        <w:rPr>
          <w:rFonts w:eastAsia="黑体"/>
          <w:color w:val="000000"/>
          <w:sz w:val="32"/>
          <w:szCs w:val="32"/>
        </w:rPr>
      </w:pPr>
    </w:p>
    <w:p>
      <w:pPr>
        <w:spacing w:line="578" w:lineRule="exact"/>
        <w:ind w:firstLineChars="200" w:firstLine="640"/>
        <w:outlineLvl w:val="1"/>
        <w:rPr>
          <w:rFonts w:eastAsia="黑体"/>
          <w:color w:val="000000"/>
          <w:sz w:val="32"/>
          <w:szCs w:val="32"/>
        </w:rPr>
      </w:pPr>
    </w:p>
    <w:p>
      <w:pPr>
        <w:spacing w:line="578" w:lineRule="exact"/>
        <w:ind w:firstLineChars="200" w:firstLine="640"/>
        <w:outlineLvl w:val="1"/>
        <w:rPr>
          <w:rFonts w:eastAsia="黑体"/>
          <w:color w:val="000000"/>
          <w:sz w:val="32"/>
          <w:szCs w:val="32"/>
        </w:rPr>
      </w:pPr>
    </w:p>
    <w:p>
      <w:pPr>
        <w:spacing w:line="578" w:lineRule="exact"/>
        <w:ind w:firstLineChars="200" w:firstLine="640"/>
        <w:outlineLvl w:val="1"/>
        <w:rPr>
          <w:rFonts w:eastAsia="黑体"/>
          <w:color w:val="000000"/>
          <w:sz w:val="32"/>
          <w:szCs w:val="32"/>
        </w:rPr>
      </w:pPr>
    </w:p>
    <w:p>
      <w:pPr>
        <w:spacing w:line="578" w:lineRule="exact"/>
        <w:ind w:firstLineChars="200" w:firstLine="640"/>
        <w:outlineLvl w:val="1"/>
        <w:rPr>
          <w:rFonts w:eastAsia="黑体"/>
          <w:color w:val="000000"/>
          <w:sz w:val="32"/>
          <w:szCs w:val="32"/>
        </w:rPr>
      </w:pPr>
    </w:p>
    <w:p>
      <w:pPr>
        <w:spacing w:line="578" w:lineRule="exact"/>
        <w:ind w:firstLineChars="200" w:firstLine="640"/>
        <w:outlineLvl w:val="1"/>
        <w:rPr>
          <w:rFonts w:eastAsia="黑体"/>
          <w:color w:val="000000"/>
          <w:sz w:val="32"/>
          <w:szCs w:val="32"/>
        </w:rPr>
      </w:pPr>
    </w:p>
    <w:p>
      <w:pPr>
        <w:spacing w:line="578" w:lineRule="exact"/>
        <w:ind w:firstLineChars="200" w:firstLine="640"/>
        <w:outlineLvl w:val="1"/>
        <w:rPr>
          <w:rFonts w:eastAsia="黑体"/>
          <w:color w:val="000000"/>
          <w:sz w:val="32"/>
          <w:szCs w:val="32"/>
        </w:rPr>
      </w:pPr>
    </w:p>
    <w:p>
      <w:pPr>
        <w:spacing w:line="578" w:lineRule="exact"/>
        <w:ind w:firstLineChars="200" w:firstLine="640"/>
        <w:outlineLvl w:val="1"/>
        <w:rPr>
          <w:rFonts w:eastAsia="黑体"/>
          <w:color w:val="000000"/>
          <w:sz w:val="32"/>
          <w:szCs w:val="32"/>
        </w:rPr>
      </w:pPr>
    </w:p>
    <w:p>
      <w:pPr>
        <w:spacing w:line="578" w:lineRule="exact"/>
        <w:ind w:firstLineChars="200" w:firstLine="640"/>
        <w:outlineLvl w:val="1"/>
        <w:rPr>
          <w:rFonts w:eastAsia="黑体"/>
          <w:color w:val="000000"/>
          <w:sz w:val="32"/>
          <w:szCs w:val="32"/>
        </w:rPr>
      </w:pPr>
    </w:p>
    <w:p>
      <w:pPr>
        <w:spacing w:line="578" w:lineRule="exact"/>
        <w:outlineLvl w:val="1"/>
        <w:rPr>
          <w:rFonts w:eastAsia="黑体"/>
          <w:color w:val="000000"/>
          <w:sz w:val="32"/>
          <w:szCs w:val="32"/>
        </w:rPr>
      </w:pPr>
    </w:p>
    <w:p>
      <w:pPr>
        <w:spacing w:line="578" w:lineRule="exact"/>
        <w:outlineLvl w:val="1"/>
        <w:rPr>
          <w:rFonts w:eastAsia="黑体"/>
          <w:color w:val="000000"/>
          <w:sz w:val="32"/>
          <w:szCs w:val="32"/>
        </w:rPr>
      </w:pPr>
    </w:p>
    <w:p>
      <w:pPr>
        <w:spacing w:line="578" w:lineRule="exact"/>
        <w:outlineLvl w:val="1"/>
        <w:rPr>
          <w:rFonts w:eastAsia="黑体"/>
          <w:color w:val="000000"/>
          <w:sz w:val="32"/>
          <w:szCs w:val="32"/>
        </w:rPr>
      </w:pPr>
    </w:p>
    <w:p>
      <w:pPr>
        <w:spacing w:line="578" w:lineRule="exact"/>
        <w:outlineLvl w:val="1"/>
        <w:rPr>
          <w:rFonts w:eastAsia="黑体"/>
          <w:color w:val="000000"/>
          <w:sz w:val="32"/>
          <w:szCs w:val="32"/>
        </w:rPr>
      </w:pPr>
      <w:bookmarkStart w:id="145" w:name="_Toc144464247"/>
      <w:bookmarkStart w:id="146" w:name="_Toc113574870"/>
      <w:bookmarkStart w:id="147" w:name="_Toc145437073"/>
      <w:bookmarkStart w:id="148" w:name="_Toc145434826"/>
      <w:r>
        <w:rPr>
          <w:rFonts w:eastAsia="黑体"/>
          <w:color w:val="000000"/>
          <w:sz w:val="32"/>
          <w:szCs w:val="32"/>
        </w:rPr>
        <w:t>附件2</w:t>
      </w:r>
      <w:bookmarkEnd w:id="141"/>
      <w:bookmarkEnd w:id="142"/>
      <w:bookmarkEnd w:id="145"/>
      <w:bookmarkEnd w:id="146"/>
      <w:bookmarkEnd w:id="147"/>
      <w:bookmarkEnd w:id="148"/>
    </w:p>
    <w:p>
      <w:pPr>
        <w:widowControl/>
        <w:adjustRightInd w:val="0"/>
        <w:snapToGrid w:val="0"/>
        <w:spacing w:line="580" w:lineRule="exact"/>
        <w:jc w:val="center"/>
        <w:rPr>
          <w:rFonts w:eastAsia="方正小标宋_GBK"/>
          <w:sz w:val="44"/>
          <w:szCs w:val="44"/>
        </w:rPr>
      </w:pPr>
    </w:p>
    <w:p>
      <w:pPr>
        <w:tabs>
          <w:tab w:val="left" w:pos="1440"/>
        </w:tabs>
        <w:spacing w:line="560" w:lineRule="exact"/>
        <w:jc w:val="center"/>
        <w:rPr>
          <w:rFonts w:eastAsia="方正小标宋_GBK"/>
          <w:sz w:val="44"/>
          <w:szCs w:val="44"/>
        </w:rPr>
      </w:pPr>
      <w:r>
        <w:rPr>
          <w:rFonts w:eastAsia="方正小标宋_GBK"/>
          <w:sz w:val="44"/>
          <w:szCs w:val="44"/>
        </w:rPr>
        <w:t>攀枝花市医疗保障局</w:t>
      </w:r>
    </w:p>
    <w:p>
      <w:pPr>
        <w:spacing w:line="560" w:lineRule="exact"/>
        <w:jc w:val="center"/>
        <w:rPr>
          <w:rFonts w:eastAsia="方正小标宋_GBK"/>
          <w:kern w:val="0"/>
          <w:sz w:val="44"/>
          <w:szCs w:val="44"/>
          <w:lang w:val="zh-CN"/>
        </w:rPr>
      </w:pPr>
      <w:r>
        <w:rPr>
          <w:rFonts w:eastAsia="方正小标宋_GBK"/>
          <w:spacing w:val="-2"/>
          <w:kern w:val="0"/>
          <w:sz w:val="44"/>
          <w:szCs w:val="44"/>
          <w:lang w:val="zh-CN"/>
        </w:rPr>
        <w:t>关于小型机存储及虚拟化服务器等设备维保项目</w:t>
      </w:r>
      <w:r>
        <w:rPr>
          <w:rFonts w:eastAsia="方正小标宋_GBK"/>
          <w:kern w:val="0"/>
          <w:sz w:val="44"/>
          <w:szCs w:val="44"/>
          <w:lang w:val="zh-CN"/>
        </w:rPr>
        <w:t>支出绩效的自评报告</w:t>
      </w:r>
    </w:p>
    <w:p>
      <w:pPr>
        <w:spacing w:line="560" w:lineRule="exact"/>
        <w:ind w:firstLine="640"/>
        <w:jc w:val="center"/>
        <w:rPr>
          <w:sz w:val="32"/>
          <w:szCs w:val="32"/>
          <w:lang w:val="zh-CN"/>
        </w:rPr>
      </w:pPr>
    </w:p>
    <w:p>
      <w:pPr>
        <w:adjustRightInd w:val="0"/>
        <w:snapToGrid w:val="0"/>
        <w:spacing w:line="560" w:lineRule="exact"/>
        <w:ind w:firstLine="720"/>
        <w:rPr>
          <w:rFonts w:eastAsia="黑体"/>
          <w:sz w:val="32"/>
          <w:szCs w:val="32"/>
          <w:lang w:val="zh-CN"/>
        </w:rPr>
      </w:pPr>
      <w:r>
        <w:rPr>
          <w:rFonts w:eastAsia="黑体"/>
          <w:sz w:val="32"/>
          <w:szCs w:val="32"/>
        </w:rPr>
        <w:t>一、</w:t>
      </w:r>
      <w:r>
        <w:rPr>
          <w:rFonts w:eastAsia="黑体"/>
          <w:sz w:val="32"/>
          <w:szCs w:val="32"/>
          <w:lang w:val="zh-CN"/>
        </w:rPr>
        <w:t>项目概况</w:t>
      </w:r>
    </w:p>
    <w:p>
      <w:pPr>
        <w:adjustRightInd w:val="0"/>
        <w:snapToGrid w:val="0"/>
        <w:spacing w:line="560" w:lineRule="exact"/>
        <w:ind w:firstLine="720"/>
        <w:rPr>
          <w:rFonts w:eastAsia="仿宋_GB2312"/>
          <w:sz w:val="32"/>
          <w:szCs w:val="32"/>
          <w:lang w:val="zh-CN"/>
        </w:rPr>
      </w:pPr>
      <w:r>
        <w:rPr>
          <w:rFonts w:eastAsia="楷体_GB2312"/>
          <w:b/>
          <w:sz w:val="32"/>
          <w:szCs w:val="32"/>
          <w:lang w:val="zh-CN"/>
        </w:rPr>
        <w:t>（一）项目资金申报及批复情况。</w:t>
      </w:r>
    </w:p>
    <w:p>
      <w:pPr>
        <w:adjustRightInd w:val="0"/>
        <w:snapToGrid w:val="0"/>
        <w:spacing w:line="560" w:lineRule="exact"/>
        <w:ind w:firstLine="720"/>
        <w:rPr>
          <w:rFonts w:eastAsia="仿宋_GB2312"/>
          <w:sz w:val="32"/>
          <w:szCs w:val="32"/>
        </w:rPr>
      </w:pPr>
      <w:r>
        <w:rPr>
          <w:rFonts w:eastAsia="仿宋_GB2312"/>
          <w:sz w:val="32"/>
          <w:szCs w:val="32"/>
          <w:lang w:val="zh-CN"/>
        </w:rPr>
        <w:t>攀枝花市医疗保障局通过申请</w:t>
      </w:r>
      <w:r>
        <w:rPr>
          <w:rFonts w:eastAsia="仿宋_GB2312"/>
          <w:sz w:val="32"/>
          <w:szCs w:val="32"/>
        </w:rPr>
        <w:t>追加2023年工作经费及项目经费预算（第一批），其中包括2022年度IBM小型机及虚拟化服务器等设备维保项目，市财政局下达资金58.8万元，</w:t>
      </w:r>
      <w:r>
        <w:rPr>
          <w:rFonts w:eastAsia="仿宋_GB2312"/>
          <w:sz w:val="32"/>
          <w:szCs w:val="32"/>
          <w:lang w:val="zh-CN"/>
        </w:rPr>
        <w:t>其符合资金管理办法等相关规定。</w:t>
      </w:r>
    </w:p>
    <w:p>
      <w:pPr>
        <w:adjustRightInd w:val="0"/>
        <w:snapToGrid w:val="0"/>
        <w:spacing w:line="560" w:lineRule="exact"/>
        <w:ind w:firstLine="720"/>
        <w:rPr>
          <w:rFonts w:eastAsia="仿宋_GB2312"/>
          <w:sz w:val="32"/>
          <w:szCs w:val="32"/>
          <w:lang w:val="zh-CN"/>
        </w:rPr>
      </w:pPr>
      <w:r>
        <w:rPr>
          <w:rFonts w:eastAsia="楷体_GB2312"/>
          <w:b/>
          <w:sz w:val="32"/>
          <w:szCs w:val="32"/>
          <w:lang w:val="zh-CN"/>
        </w:rPr>
        <w:t>（二）项目绩效目标。</w:t>
      </w:r>
    </w:p>
    <w:p>
      <w:pPr>
        <w:adjustRightInd w:val="0"/>
        <w:snapToGrid w:val="0"/>
        <w:spacing w:line="560" w:lineRule="exact"/>
        <w:ind w:firstLine="720"/>
        <w:rPr>
          <w:rFonts w:eastAsia="仿宋_GB2312"/>
          <w:sz w:val="32"/>
          <w:szCs w:val="32"/>
          <w:lang w:val="zh-CN"/>
        </w:rPr>
      </w:pPr>
      <w:r>
        <w:rPr>
          <w:rFonts w:eastAsia="仿宋_GB2312"/>
          <w:sz w:val="32"/>
          <w:szCs w:val="32"/>
        </w:rPr>
        <w:t>我市医保核心业务经办系统“综合柜员制”系统通过市人力资源社会保障局“金保工程”系统进行运维，机构改革后，市人力资源社会保障局不再承担“综合柜员制”系统以及依附的ORACLE数据库等系统的运维责任，把相关系统、设备的管理权限进行拆分后移交给医保部门，由我局承接相关系统运维保障工作，本项目为2022年度IBM小型机及虚拟化服务器等设备维保，保障IBM小型机及虚拟化服务器等设备安全稳定运行，保障业务系统正常工作。</w:t>
      </w:r>
    </w:p>
    <w:p>
      <w:pPr>
        <w:adjustRightInd w:val="0"/>
        <w:snapToGrid w:val="0"/>
        <w:spacing w:line="560" w:lineRule="exact"/>
        <w:ind w:firstLine="720"/>
        <w:rPr>
          <w:rFonts w:eastAsia="仿宋_GB2312"/>
          <w:sz w:val="32"/>
          <w:szCs w:val="32"/>
          <w:lang w:val="zh-CN"/>
        </w:rPr>
      </w:pPr>
      <w:r>
        <w:rPr>
          <w:rFonts w:eastAsia="楷体_GB2312"/>
          <w:b/>
          <w:sz w:val="32"/>
          <w:szCs w:val="32"/>
          <w:lang w:val="zh-CN"/>
        </w:rPr>
        <w:t>（三）项目资金申报相符性。</w:t>
      </w:r>
    </w:p>
    <w:p>
      <w:pPr>
        <w:adjustRightInd w:val="0"/>
        <w:snapToGrid w:val="0"/>
        <w:spacing w:line="560" w:lineRule="exact"/>
        <w:ind w:firstLine="720"/>
        <w:rPr>
          <w:rFonts w:eastAsia="仿宋_GB2312"/>
          <w:sz w:val="32"/>
          <w:szCs w:val="32"/>
          <w:lang w:val="zh-CN"/>
        </w:rPr>
      </w:pPr>
      <w:r>
        <w:rPr>
          <w:rFonts w:eastAsia="仿宋_GB2312"/>
          <w:sz w:val="32"/>
          <w:szCs w:val="32"/>
          <w:lang w:val="zh-CN"/>
        </w:rPr>
        <w:t>该项目申报内容与具体实施内容相符，申报目标合理可行。</w:t>
      </w:r>
    </w:p>
    <w:p>
      <w:pPr>
        <w:adjustRightInd w:val="0"/>
        <w:snapToGrid w:val="0"/>
        <w:spacing w:line="560" w:lineRule="exact"/>
        <w:ind w:firstLine="720"/>
        <w:rPr>
          <w:rFonts w:eastAsia="黑体"/>
          <w:sz w:val="32"/>
          <w:szCs w:val="32"/>
        </w:rPr>
      </w:pPr>
      <w:r>
        <w:rPr>
          <w:rFonts w:eastAsia="黑体"/>
          <w:sz w:val="32"/>
          <w:szCs w:val="32"/>
        </w:rPr>
        <w:t>二、项目实施及管理情况</w:t>
      </w:r>
    </w:p>
    <w:p>
      <w:pPr>
        <w:adjustRightInd w:val="0"/>
        <w:snapToGrid w:val="0"/>
        <w:spacing w:line="560" w:lineRule="exact"/>
        <w:ind w:firstLine="720"/>
        <w:rPr>
          <w:rFonts w:eastAsia="楷体_GB2312"/>
          <w:b/>
          <w:sz w:val="32"/>
          <w:szCs w:val="32"/>
          <w:lang w:val="zh-CN"/>
        </w:rPr>
      </w:pPr>
      <w:r>
        <w:rPr>
          <w:rFonts w:eastAsia="楷体_GB2312"/>
          <w:b/>
          <w:sz w:val="32"/>
          <w:szCs w:val="32"/>
          <w:lang w:val="zh-CN"/>
        </w:rPr>
        <w:t>（一）资金计划、到位及使用情况。</w:t>
      </w:r>
    </w:p>
    <w:p>
      <w:pPr>
        <w:adjustRightInd w:val="0"/>
        <w:snapToGrid w:val="0"/>
        <w:spacing w:line="560" w:lineRule="exact"/>
        <w:ind w:firstLine="720"/>
        <w:rPr>
          <w:rFonts w:eastAsia="仿宋_GB2312"/>
          <w:sz w:val="32"/>
          <w:szCs w:val="32"/>
          <w:lang w:val="zh-CN"/>
        </w:rPr>
      </w:pPr>
      <w:r>
        <w:rPr>
          <w:rFonts w:eastAsia="楷体_GB2312"/>
          <w:sz w:val="32"/>
          <w:szCs w:val="32"/>
          <w:lang w:val="zh-CN"/>
        </w:rPr>
        <w:t>1．资金计划及到位。</w:t>
      </w:r>
    </w:p>
    <w:p>
      <w:pPr>
        <w:spacing w:line="560" w:lineRule="exact"/>
        <w:ind w:firstLineChars="200" w:firstLine="640"/>
        <w:jc w:val="left"/>
        <w:rPr>
          <w:rFonts w:eastAsia="仿宋_GB2312"/>
          <w:kern w:val="0"/>
          <w:sz w:val="32"/>
          <w:szCs w:val="32"/>
        </w:rPr>
      </w:pPr>
      <w:r>
        <w:rPr>
          <w:rFonts w:eastAsia="仿宋_GB2312"/>
          <w:kern w:val="0"/>
          <w:sz w:val="32"/>
          <w:szCs w:val="32"/>
        </w:rPr>
        <w:t>2023年，我局根据项目维保情况向市财政局申请追加项目预算资金</w:t>
      </w:r>
      <w:r>
        <w:rPr>
          <w:rFonts w:eastAsia="仿宋_GB2312"/>
          <w:sz w:val="32"/>
          <w:szCs w:val="32"/>
        </w:rPr>
        <w:t>58.8万</w:t>
      </w:r>
      <w:r>
        <w:rPr>
          <w:rFonts w:eastAsia="仿宋_GB2312"/>
          <w:kern w:val="0"/>
          <w:sz w:val="32"/>
          <w:szCs w:val="32"/>
        </w:rPr>
        <w:t>元，财政审批后进行资金批复。</w:t>
      </w:r>
    </w:p>
    <w:p>
      <w:pPr>
        <w:adjustRightInd w:val="0"/>
        <w:snapToGrid w:val="0"/>
        <w:spacing w:line="560" w:lineRule="exact"/>
        <w:ind w:firstLine="720"/>
        <w:rPr>
          <w:rFonts w:eastAsia="仿宋_GB2312"/>
          <w:sz w:val="32"/>
          <w:szCs w:val="32"/>
          <w:lang w:val="zh-CN"/>
        </w:rPr>
      </w:pPr>
      <w:r>
        <w:rPr>
          <w:rFonts w:eastAsia="楷体_GB2312"/>
          <w:sz w:val="32"/>
          <w:szCs w:val="32"/>
          <w:lang w:val="zh-CN"/>
        </w:rPr>
        <w:t>2．资金使用。</w:t>
      </w:r>
    </w:p>
    <w:p>
      <w:pPr>
        <w:adjustRightInd w:val="0"/>
        <w:snapToGrid w:val="0"/>
        <w:spacing w:line="560" w:lineRule="exact"/>
        <w:ind w:firstLine="720"/>
        <w:rPr>
          <w:rFonts w:eastAsia="仿宋_GB2312"/>
          <w:sz w:val="32"/>
          <w:szCs w:val="32"/>
          <w:lang w:val="zh-CN"/>
        </w:rPr>
      </w:pPr>
      <w:r>
        <w:rPr>
          <w:rFonts w:eastAsia="仿宋_GB2312"/>
          <w:sz w:val="32"/>
          <w:szCs w:val="32"/>
        </w:rPr>
        <w:t>IBM小型机及虚拟化服务器等设备维保项目为机构改革后市人力资源社会保障信息中心延续项目，2022年度运维费用为58.8万</w:t>
      </w:r>
      <w:r>
        <w:rPr>
          <w:rFonts w:eastAsia="仿宋_GB2312"/>
          <w:kern w:val="0"/>
          <w:sz w:val="32"/>
          <w:szCs w:val="32"/>
        </w:rPr>
        <w:t>元，2023</w:t>
      </w:r>
      <w:r>
        <w:rPr>
          <w:rFonts w:eastAsia="仿宋_GB2312"/>
          <w:sz w:val="32"/>
          <w:szCs w:val="32"/>
        </w:rPr>
        <w:t>年12月分两笔支付，每笔29.4万元，共计58.8万元，</w:t>
      </w:r>
      <w:r>
        <w:rPr>
          <w:rFonts w:eastAsia="仿宋_GB2312"/>
          <w:sz w:val="32"/>
          <w:szCs w:val="32"/>
          <w:lang w:val="zh-CN"/>
        </w:rPr>
        <w:t>截至2023年底，合同款项全部结清。</w:t>
      </w:r>
    </w:p>
    <w:p>
      <w:pPr>
        <w:adjustRightInd w:val="0"/>
        <w:snapToGrid w:val="0"/>
        <w:spacing w:line="560" w:lineRule="exact"/>
        <w:ind w:firstLineChars="147" w:firstLine="470"/>
        <w:rPr>
          <w:rFonts w:eastAsia="楷体_GB2312"/>
          <w:b/>
          <w:sz w:val="32"/>
          <w:szCs w:val="32"/>
          <w:lang w:val="zh-CN"/>
        </w:rPr>
      </w:pPr>
      <w:r>
        <w:rPr>
          <w:rFonts w:eastAsia="楷体_GB2312"/>
          <w:b/>
          <w:sz w:val="32"/>
          <w:szCs w:val="32"/>
          <w:lang w:val="zh-CN"/>
        </w:rPr>
        <w:t>（二）项目财务管理情况。</w:t>
      </w:r>
    </w:p>
    <w:p>
      <w:pPr>
        <w:autoSpaceDE w:val="0"/>
        <w:autoSpaceDN w:val="0"/>
        <w:spacing w:line="560" w:lineRule="exact"/>
        <w:ind w:firstLineChars="200" w:firstLine="640"/>
        <w:rPr>
          <w:rFonts w:eastAsia="仿宋_GB2312"/>
          <w:kern w:val="0"/>
          <w:sz w:val="32"/>
          <w:szCs w:val="32"/>
        </w:rPr>
      </w:pPr>
      <w:r>
        <w:rPr>
          <w:rFonts w:eastAsia="仿宋_GB2312"/>
          <w:kern w:val="0"/>
          <w:sz w:val="32"/>
          <w:szCs w:val="32"/>
        </w:rPr>
        <w:t>严格执行政府会计制度和财务管理规定，会计资料真实、完整，账务处理及时，会计核算规范。坚持专款专用，严格按计划使用资金，无挤占挪用或套取资金等现象。</w:t>
      </w:r>
    </w:p>
    <w:p>
      <w:pPr>
        <w:adjustRightInd w:val="0"/>
        <w:snapToGrid w:val="0"/>
        <w:spacing w:line="560" w:lineRule="exact"/>
        <w:ind w:firstLineChars="147" w:firstLine="470"/>
        <w:rPr>
          <w:rFonts w:eastAsia="楷体_GB2312"/>
          <w:b/>
          <w:sz w:val="32"/>
          <w:szCs w:val="32"/>
          <w:lang w:val="zh-CN"/>
        </w:rPr>
      </w:pPr>
      <w:r>
        <w:rPr>
          <w:rFonts w:eastAsia="楷体_GB2312"/>
          <w:b/>
          <w:sz w:val="32"/>
          <w:szCs w:val="32"/>
          <w:lang w:val="zh-CN"/>
        </w:rPr>
        <w:t>（三）项目组织实施情况。</w:t>
      </w:r>
    </w:p>
    <w:p>
      <w:pPr>
        <w:spacing w:line="560" w:lineRule="exact"/>
        <w:ind w:firstLine="645"/>
        <w:rPr>
          <w:rFonts w:eastAsia="仿宋_GB2312"/>
          <w:sz w:val="32"/>
          <w:szCs w:val="32"/>
        </w:rPr>
      </w:pPr>
      <w:r>
        <w:rPr>
          <w:rFonts w:eastAsia="仿宋_GB2312"/>
          <w:sz w:val="32"/>
          <w:szCs w:val="32"/>
        </w:rPr>
        <w:t>IBM小型机及虚拟化服务器等设备维保项目为机构改革后市人力资源社会保障信息中心延续项目，由市医疗保障信息中心牵头</w:t>
      </w:r>
      <w:r>
        <w:rPr>
          <w:rFonts w:eastAsia="仿宋_GB2312"/>
          <w:kern w:val="0"/>
          <w:sz w:val="32"/>
          <w:szCs w:val="32"/>
        </w:rPr>
        <w:t>统筹谋划推进项目实施，项目组织架构和实施流程完整规范；</w:t>
      </w:r>
      <w:r>
        <w:rPr>
          <w:rFonts w:eastAsia="仿宋_GB2312"/>
          <w:sz w:val="32"/>
          <w:szCs w:val="32"/>
        </w:rPr>
        <w:t>严格按照与第三方运维公司签订合同要求进行IBM小型机及虚拟化服务器等设备维保，保障业务系统正常工作；</w:t>
      </w:r>
      <w:r>
        <w:rPr>
          <w:rFonts w:eastAsia="仿宋_GB2312"/>
          <w:kern w:val="0"/>
          <w:sz w:val="32"/>
          <w:szCs w:val="32"/>
        </w:rPr>
        <w:t>不定期组织召开项目研讨会，听取运维情况，及时将难点、堵点问题研讨解决</w:t>
      </w:r>
      <w:r>
        <w:rPr>
          <w:rFonts w:eastAsia="仿宋_GB2312"/>
          <w:sz w:val="32"/>
          <w:szCs w:val="32"/>
        </w:rPr>
        <w:t>。</w:t>
      </w:r>
    </w:p>
    <w:p>
      <w:pPr>
        <w:adjustRightInd w:val="0"/>
        <w:snapToGrid w:val="0"/>
        <w:spacing w:line="560" w:lineRule="exact"/>
        <w:ind w:firstLine="720"/>
        <w:rPr>
          <w:rFonts w:eastAsia="仿宋_GB2312"/>
          <w:sz w:val="32"/>
          <w:szCs w:val="32"/>
          <w:lang w:val="zh-CN"/>
        </w:rPr>
      </w:pPr>
      <w:r>
        <w:rPr>
          <w:rFonts w:eastAsia="黑体"/>
          <w:sz w:val="32"/>
          <w:szCs w:val="32"/>
        </w:rPr>
        <w:t>三、项目绩效情况</w:t>
      </w:r>
      <w:r>
        <w:rPr>
          <w:rFonts w:eastAsia="仿宋_GB2312"/>
          <w:sz w:val="32"/>
          <w:szCs w:val="32"/>
          <w:lang w:val="zh-CN"/>
        </w:rPr>
        <w:tab/>
      </w:r>
    </w:p>
    <w:p>
      <w:pPr>
        <w:adjustRightInd w:val="0"/>
        <w:snapToGrid w:val="0"/>
        <w:spacing w:line="560" w:lineRule="exact"/>
        <w:ind w:firstLine="720"/>
        <w:rPr>
          <w:rFonts w:eastAsia="楷体_GB2312"/>
          <w:b/>
          <w:sz w:val="32"/>
          <w:szCs w:val="32"/>
          <w:lang w:val="zh-CN"/>
        </w:rPr>
      </w:pPr>
      <w:r>
        <w:rPr>
          <w:rFonts w:eastAsia="楷体_GB2312"/>
          <w:b/>
          <w:sz w:val="32"/>
          <w:szCs w:val="32"/>
          <w:lang w:val="zh-CN"/>
        </w:rPr>
        <w:t>（一）项目完成情况。</w:t>
      </w:r>
    </w:p>
    <w:p>
      <w:pPr>
        <w:adjustRightInd w:val="0"/>
        <w:snapToGrid w:val="0"/>
        <w:spacing w:line="560" w:lineRule="exact"/>
        <w:ind w:firstLine="720"/>
        <w:rPr>
          <w:rFonts w:eastAsia="仿宋_GB2312"/>
          <w:sz w:val="32"/>
          <w:szCs w:val="32"/>
        </w:rPr>
      </w:pPr>
      <w:r>
        <w:rPr>
          <w:rFonts w:eastAsia="仿宋_GB2312"/>
          <w:sz w:val="32"/>
          <w:szCs w:val="32"/>
          <w:lang w:val="zh-CN"/>
        </w:rPr>
        <w:t>第三方运维公司</w:t>
      </w:r>
      <w:r>
        <w:rPr>
          <w:rFonts w:eastAsia="仿宋_GB2312"/>
          <w:sz w:val="32"/>
          <w:szCs w:val="32"/>
        </w:rPr>
        <w:t>严格按照运维合同完成维护设备清单的运维工作，定期检查操作系统中的系统设置和系统日志，以确认系统是否正常运行，并进行相应调优工作，完成操作系统备份。</w:t>
      </w:r>
    </w:p>
    <w:p>
      <w:pPr>
        <w:adjustRightInd w:val="0"/>
        <w:snapToGrid w:val="0"/>
        <w:spacing w:line="560" w:lineRule="exact"/>
        <w:ind w:firstLine="720"/>
        <w:rPr>
          <w:rFonts w:eastAsia="仿宋_GB2312"/>
          <w:sz w:val="32"/>
          <w:szCs w:val="32"/>
        </w:rPr>
      </w:pPr>
      <w:r>
        <w:rPr>
          <w:rFonts w:eastAsia="仿宋_GB2312"/>
          <w:sz w:val="32"/>
          <w:szCs w:val="32"/>
          <w:lang w:val="zh-CN"/>
        </w:rPr>
        <w:t>2022年度</w:t>
      </w:r>
      <w:r>
        <w:rPr>
          <w:rFonts w:eastAsia="仿宋_GB2312"/>
          <w:sz w:val="32"/>
          <w:szCs w:val="32"/>
        </w:rPr>
        <w:t>的任务量完成、质量标准、进度计划、成本控制目标等的实现程度达到项目绩效目标。</w:t>
      </w:r>
    </w:p>
    <w:p>
      <w:pPr>
        <w:adjustRightInd w:val="0"/>
        <w:snapToGrid w:val="0"/>
        <w:spacing w:line="560" w:lineRule="exact"/>
        <w:ind w:firstLine="720"/>
        <w:rPr>
          <w:rFonts w:eastAsia="仿宋_GB2312"/>
          <w:sz w:val="32"/>
          <w:szCs w:val="32"/>
          <w:lang w:val="zh-CN"/>
        </w:rPr>
      </w:pPr>
      <w:r>
        <w:rPr>
          <w:rFonts w:eastAsia="楷体_GB2312"/>
          <w:b/>
          <w:sz w:val="32"/>
          <w:szCs w:val="32"/>
          <w:lang w:val="zh-CN"/>
        </w:rPr>
        <w:t>（二）项目效益情况。</w:t>
      </w:r>
    </w:p>
    <w:p>
      <w:pPr>
        <w:adjustRightInd w:val="0"/>
        <w:snapToGrid w:val="0"/>
        <w:spacing w:line="560" w:lineRule="exact"/>
        <w:ind w:firstLine="720"/>
        <w:rPr>
          <w:rFonts w:eastAsia="仿宋_GB2312"/>
          <w:sz w:val="32"/>
          <w:szCs w:val="32"/>
          <w:lang w:val="zh-CN"/>
        </w:rPr>
      </w:pPr>
      <w:r>
        <w:rPr>
          <w:rFonts w:eastAsia="仿宋_GB2312"/>
          <w:sz w:val="32"/>
          <w:szCs w:val="32"/>
          <w:lang w:val="zh-CN"/>
        </w:rPr>
        <w:t>通过该项目的实施，使维保范围内相关软硬件稳定运行，保障信息系统安全、稳定和高效运行，增强系统的可用性和安全性，提高系统运行服务水平和管理水平，保障医保业务系统的正常运行、落实省、市各项医保政策新增和变化，保障医保线下、线上各项业务正常运转，继续支撑医保线上业务的开展，保障参保群众的权益。</w:t>
      </w:r>
    </w:p>
    <w:p>
      <w:pPr>
        <w:adjustRightInd w:val="0"/>
        <w:snapToGrid w:val="0"/>
        <w:spacing w:line="560" w:lineRule="exact"/>
        <w:ind w:firstLine="720"/>
        <w:rPr>
          <w:rFonts w:eastAsia="仿宋_GB2312"/>
          <w:sz w:val="32"/>
          <w:szCs w:val="32"/>
          <w:lang w:val="zh-CN"/>
        </w:rPr>
      </w:pPr>
      <w:r>
        <w:rPr>
          <w:rFonts w:eastAsia="黑体"/>
          <w:sz w:val="32"/>
          <w:szCs w:val="32"/>
        </w:rPr>
        <w:t>四、问题及建议</w:t>
      </w:r>
    </w:p>
    <w:p>
      <w:pPr>
        <w:adjustRightInd w:val="0"/>
        <w:snapToGrid w:val="0"/>
        <w:spacing w:line="560" w:lineRule="exact"/>
        <w:ind w:firstLine="720"/>
        <w:rPr>
          <w:rFonts w:eastAsia="楷体_GB2312"/>
          <w:b/>
          <w:sz w:val="32"/>
          <w:szCs w:val="32"/>
          <w:lang w:val="zh-CN"/>
        </w:rPr>
      </w:pPr>
      <w:r>
        <w:rPr>
          <w:rFonts w:eastAsia="楷体_GB2312"/>
          <w:b/>
          <w:sz w:val="32"/>
          <w:szCs w:val="32"/>
          <w:lang w:val="zh-CN"/>
        </w:rPr>
        <w:t>（一）存在的问题。</w:t>
      </w:r>
    </w:p>
    <w:p>
      <w:pPr>
        <w:adjustRightInd w:val="0"/>
        <w:snapToGrid w:val="0"/>
        <w:spacing w:line="560" w:lineRule="exact"/>
        <w:ind w:firstLine="720"/>
        <w:rPr>
          <w:rFonts w:eastAsia="仿宋_GB2312"/>
          <w:sz w:val="32"/>
          <w:szCs w:val="32"/>
          <w:lang w:val="zh-CN"/>
        </w:rPr>
      </w:pPr>
      <w:r>
        <w:rPr>
          <w:rFonts w:eastAsia="仿宋_GB2312"/>
          <w:sz w:val="32"/>
          <w:szCs w:val="32"/>
          <w:lang w:val="zh-CN"/>
        </w:rPr>
        <w:t>无。</w:t>
      </w:r>
    </w:p>
    <w:p>
      <w:pPr>
        <w:adjustRightInd w:val="0"/>
        <w:snapToGrid w:val="0"/>
        <w:spacing w:line="560" w:lineRule="exact"/>
        <w:ind w:firstLine="720"/>
        <w:rPr>
          <w:rFonts w:eastAsia="仿宋_GB2312"/>
          <w:sz w:val="32"/>
          <w:szCs w:val="32"/>
          <w:lang w:val="zh-CN"/>
        </w:rPr>
      </w:pPr>
      <w:r>
        <w:rPr>
          <w:rFonts w:eastAsia="楷体_GB2312"/>
          <w:b/>
          <w:sz w:val="32"/>
          <w:szCs w:val="32"/>
          <w:lang w:val="zh-CN"/>
        </w:rPr>
        <w:t>（二）相关建议。</w:t>
      </w:r>
    </w:p>
    <w:p>
      <w:pPr>
        <w:adjustRightInd w:val="0"/>
        <w:snapToGrid w:val="0"/>
        <w:spacing w:line="560" w:lineRule="exact"/>
        <w:ind w:firstLine="720"/>
        <w:rPr>
          <w:rFonts w:eastAsia="仿宋_GB2312"/>
          <w:sz w:val="32"/>
          <w:szCs w:val="32"/>
          <w:lang w:val="zh-CN"/>
        </w:rPr>
      </w:pPr>
      <w:r>
        <w:rPr>
          <w:rFonts w:eastAsia="仿宋_GB2312"/>
          <w:sz w:val="32"/>
          <w:szCs w:val="32"/>
          <w:lang w:val="zh-CN"/>
        </w:rPr>
        <w:t>无。</w:t>
      </w:r>
    </w:p>
    <w:p/>
    <w:p/>
    <w:p/>
    <w:p/>
    <w:p/>
    <w:p/>
    <w:p>
      <w:pPr>
        <w:widowControl/>
        <w:adjustRightInd w:val="0"/>
        <w:snapToGrid w:val="0"/>
        <w:spacing w:line="580" w:lineRule="exact"/>
        <w:ind w:firstLineChars="200" w:firstLine="420"/>
        <w:jc w:val="left"/>
        <w:rPr>
          <w:rFonts w:eastAsia="黑体"/>
          <w:color w:val="000000"/>
          <w:kern w:val="0"/>
          <w:szCs w:val="32"/>
          <w:shd w:val="clear" w:color="auto" w:fill="FFFFFF"/>
        </w:rPr>
      </w:pPr>
    </w:p>
    <w:p>
      <w:pPr>
        <w:widowControl/>
        <w:adjustRightInd w:val="0"/>
        <w:snapToGrid w:val="0"/>
        <w:spacing w:line="580" w:lineRule="exact"/>
        <w:ind w:firstLineChars="200" w:firstLine="420"/>
        <w:jc w:val="left"/>
        <w:rPr>
          <w:rFonts w:eastAsia="仿宋_GB2312"/>
          <w:color w:val="000000"/>
          <w:kern w:val="0"/>
          <w:szCs w:val="32"/>
          <w:shd w:val="clear" w:color="auto" w:fill="FFFFFF"/>
        </w:rPr>
      </w:pPr>
    </w:p>
    <w:p>
      <w:pPr>
        <w:spacing w:line="578" w:lineRule="exact"/>
        <w:ind w:firstLineChars="200" w:firstLine="640"/>
        <w:rPr>
          <w:rFonts w:eastAsia="仿宋_GB2312"/>
          <w:b/>
          <w:color w:val="000000"/>
          <w:sz w:val="32"/>
          <w:szCs w:val="32"/>
        </w:rPr>
      </w:pPr>
    </w:p>
    <w:p>
      <w:pPr>
        <w:spacing w:line="540" w:lineRule="exact"/>
        <w:ind w:firstLineChars="200" w:firstLine="640"/>
        <w:rPr>
          <w:rFonts w:eastAsia="仿宋_GB2312"/>
          <w:sz w:val="32"/>
          <w:szCs w:val="32"/>
        </w:rPr>
      </w:pPr>
    </w:p>
    <w:p>
      <w:pPr>
        <w:spacing w:line="540" w:lineRule="exact"/>
        <w:ind w:firstLineChars="200" w:firstLine="640"/>
        <w:rPr>
          <w:rFonts w:eastAsia="仿宋_GB2312"/>
          <w:sz w:val="32"/>
          <w:szCs w:val="32"/>
        </w:rPr>
      </w:pPr>
    </w:p>
    <w:p>
      <w:pPr>
        <w:spacing w:line="540" w:lineRule="exact"/>
        <w:ind w:firstLineChars="200" w:firstLine="640"/>
        <w:rPr>
          <w:rFonts w:eastAsia="仿宋_GB2312"/>
          <w:sz w:val="32"/>
          <w:szCs w:val="32"/>
        </w:rPr>
      </w:pPr>
    </w:p>
    <w:p>
      <w:pPr>
        <w:spacing w:line="540" w:lineRule="exact"/>
        <w:ind w:firstLineChars="200" w:firstLine="640"/>
        <w:rPr>
          <w:rFonts w:eastAsia="仿宋_GB2312"/>
          <w:sz w:val="32"/>
          <w:szCs w:val="32"/>
        </w:rPr>
      </w:pPr>
    </w:p>
    <w:p>
      <w:pPr>
        <w:spacing w:line="540" w:lineRule="exact"/>
        <w:ind w:firstLineChars="200" w:firstLine="640"/>
        <w:rPr>
          <w:rFonts w:eastAsia="仿宋_GB2312"/>
          <w:sz w:val="32"/>
          <w:szCs w:val="32"/>
        </w:rPr>
      </w:pPr>
    </w:p>
    <w:p>
      <w:pPr>
        <w:spacing w:line="540" w:lineRule="exact"/>
        <w:ind w:firstLineChars="200" w:firstLine="640"/>
        <w:rPr>
          <w:rFonts w:eastAsia="仿宋_GB2312"/>
          <w:sz w:val="32"/>
          <w:szCs w:val="32"/>
        </w:rPr>
      </w:pPr>
    </w:p>
    <w:p>
      <w:pPr>
        <w:spacing w:line="360" w:lineRule="auto"/>
        <w:rPr>
          <w:rFonts w:eastAsia="仿宋_GB2312"/>
          <w:bCs/>
          <w:color w:val="000000"/>
          <w:sz w:val="32"/>
          <w:szCs w:val="32"/>
        </w:rPr>
      </w:pPr>
      <w:bookmarkStart w:id="149" w:name="_Toc15396618"/>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578" w:lineRule="exact"/>
        <w:outlineLvl w:val="1"/>
        <w:rPr>
          <w:rFonts w:eastAsia="黑体"/>
          <w:color w:val="000000"/>
          <w:sz w:val="32"/>
          <w:szCs w:val="32"/>
        </w:rPr>
      </w:pPr>
      <w:bookmarkStart w:id="150" w:name="_Toc145434827"/>
      <w:bookmarkStart w:id="151" w:name="_Toc145437074"/>
      <w:r>
        <w:rPr>
          <w:rFonts w:eastAsia="黑体"/>
          <w:color w:val="000000"/>
          <w:sz w:val="32"/>
          <w:szCs w:val="32"/>
        </w:rPr>
        <w:t>附件3</w:t>
      </w:r>
      <w:bookmarkEnd w:id="150"/>
      <w:bookmarkEnd w:id="151"/>
    </w:p>
    <w:p>
      <w:pPr>
        <w:spacing w:line="560" w:lineRule="exact"/>
        <w:ind w:firstLineChars="200" w:firstLine="856"/>
        <w:jc w:val="center"/>
        <w:rPr>
          <w:rFonts w:eastAsia="方正小标宋_GBK"/>
          <w:spacing w:val="-6"/>
          <w:sz w:val="44"/>
          <w:szCs w:val="44"/>
        </w:rPr>
      </w:pPr>
    </w:p>
    <w:p>
      <w:pPr>
        <w:spacing w:line="600" w:lineRule="exact"/>
        <w:ind w:firstLineChars="200" w:firstLine="880"/>
        <w:jc w:val="center"/>
        <w:rPr>
          <w:rFonts w:eastAsia="方正小标宋_GBK"/>
          <w:sz w:val="44"/>
          <w:szCs w:val="44"/>
        </w:rPr>
      </w:pPr>
      <w:r>
        <w:rPr>
          <w:rFonts w:eastAsia="方正小标宋_GBK"/>
          <w:sz w:val="44"/>
          <w:szCs w:val="44"/>
        </w:rPr>
        <w:t>攀枝花市医疗保障局</w:t>
      </w:r>
    </w:p>
    <w:p>
      <w:pPr>
        <w:spacing w:line="600" w:lineRule="exact"/>
        <w:ind w:firstLineChars="200" w:firstLine="872"/>
        <w:jc w:val="center"/>
        <w:rPr>
          <w:rFonts w:eastAsia="方正小标宋_GBK"/>
          <w:sz w:val="44"/>
          <w:szCs w:val="44"/>
        </w:rPr>
      </w:pPr>
      <w:r>
        <w:rPr>
          <w:rFonts w:eastAsia="方正小标宋_GBK"/>
          <w:spacing w:val="-2"/>
          <w:sz w:val="44"/>
          <w:szCs w:val="44"/>
        </w:rPr>
        <w:t>关于“</w:t>
      </w:r>
      <w:bookmarkStart w:id="152" w:name="_Hlk163570261"/>
      <w:r>
        <w:rPr>
          <w:rFonts w:eastAsia="方正小标宋_GBK"/>
          <w:spacing w:val="-2"/>
          <w:sz w:val="44"/>
          <w:szCs w:val="44"/>
        </w:rPr>
        <w:t>综合柜员制”系统政策性功能调整项目</w:t>
      </w:r>
      <w:r>
        <w:rPr>
          <w:rFonts w:eastAsia="方正小标宋_GBK"/>
          <w:sz w:val="44"/>
          <w:szCs w:val="44"/>
        </w:rPr>
        <w:t>支出绩效的自评报告</w:t>
      </w:r>
    </w:p>
    <w:p>
      <w:pPr>
        <w:rPr>
          <w:rFonts w:eastAsia="仿宋_GB2312"/>
          <w:sz w:val="44"/>
          <w:szCs w:val="44"/>
        </w:rPr>
      </w:pPr>
      <w:bookmarkEnd w:id="152"/>
    </w:p>
    <w:p>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一、项目概况</w:t>
      </w:r>
    </w:p>
    <w:p>
      <w:pPr>
        <w:adjustRightInd w:val="0"/>
        <w:snapToGrid w:val="0"/>
        <w:spacing w:line="560" w:lineRule="exact"/>
        <w:ind w:left="720"/>
        <w:rPr>
          <w:rFonts w:eastAsia="楷体_GB2312"/>
          <w:b/>
          <w:sz w:val="32"/>
          <w:szCs w:val="32"/>
          <w:lang w:val="zh-CN"/>
        </w:rPr>
      </w:pPr>
      <w:r>
        <w:rPr>
          <w:rFonts w:eastAsia="楷体_GB2312"/>
          <w:b/>
          <w:sz w:val="32"/>
          <w:szCs w:val="32"/>
          <w:lang w:val="zh-CN"/>
        </w:rPr>
        <w:t>（一）项目资金申报及批复情况。</w:t>
      </w:r>
    </w:p>
    <w:p>
      <w:pPr>
        <w:spacing w:line="600" w:lineRule="exact"/>
        <w:ind w:firstLineChars="200" w:firstLine="640"/>
        <w:jc w:val="left"/>
        <w:rPr>
          <w:rFonts w:eastAsia="黑体"/>
          <w:kern w:val="0"/>
          <w:sz w:val="32"/>
          <w:szCs w:val="32"/>
        </w:rPr>
      </w:pPr>
      <w:r>
        <w:rPr>
          <w:rFonts w:eastAsia="仿宋_GB2312"/>
          <w:sz w:val="32"/>
          <w:szCs w:val="32"/>
          <w:lang w:val="zh-CN"/>
        </w:rPr>
        <w:t>攀枝花市医疗保障局通过申请</w:t>
      </w:r>
      <w:r>
        <w:rPr>
          <w:rFonts w:eastAsia="仿宋_GB2312"/>
          <w:sz w:val="32"/>
          <w:szCs w:val="32"/>
        </w:rPr>
        <w:t>追加2023年工作经费及项目经费预算（第</w:t>
      </w:r>
      <w:r>
        <w:rPr>
          <w:rFonts w:eastAsia="仿宋_GB2312"/>
          <w:sz w:val="32"/>
          <w:szCs w:val="32"/>
          <w:lang w:val="zh-CN"/>
        </w:rPr>
        <w:t>二批），其中包括“综合柜员制”系统政策性功能调整项目，市财政局下达资金</w:t>
      </w:r>
      <w:r>
        <w:rPr>
          <w:rFonts w:eastAsia="仿宋_GB2312"/>
          <w:sz w:val="32"/>
          <w:szCs w:val="32"/>
        </w:rPr>
        <w:t>116.8</w:t>
      </w:r>
      <w:r>
        <w:rPr>
          <w:rFonts w:eastAsia="仿宋_GB2312" w:hint="eastAsia"/>
          <w:sz w:val="32"/>
          <w:szCs w:val="32"/>
          <w:lang w:val="en-US" w:eastAsia="zh-CN"/>
        </w:rPr>
        <w:t>9</w:t>
      </w:r>
      <w:r>
        <w:rPr>
          <w:rFonts w:eastAsia="仿宋_GB2312"/>
          <w:sz w:val="32"/>
          <w:szCs w:val="32"/>
          <w:lang w:val="zh-CN"/>
        </w:rPr>
        <w:t>万元，资金申报和批复符合资金管理办法等相关规定。</w:t>
      </w:r>
    </w:p>
    <w:p>
      <w:pPr>
        <w:spacing w:line="600" w:lineRule="exact"/>
        <w:ind w:firstLine="640"/>
        <w:rPr>
          <w:rFonts w:eastAsia="楷体_GB2312"/>
          <w:b/>
          <w:sz w:val="32"/>
          <w:szCs w:val="32"/>
          <w:lang w:val="zh-CN"/>
        </w:rPr>
      </w:pPr>
      <w:r>
        <w:rPr>
          <w:rFonts w:eastAsia="楷体_GB2312"/>
          <w:b/>
          <w:sz w:val="32"/>
          <w:szCs w:val="32"/>
          <w:lang w:val="zh-CN"/>
        </w:rPr>
        <w:t>（二）项目绩效目标。</w:t>
      </w:r>
    </w:p>
    <w:p>
      <w:pPr>
        <w:spacing w:line="560" w:lineRule="exact"/>
        <w:ind w:firstLineChars="200" w:firstLine="640"/>
        <w:rPr>
          <w:rFonts w:eastAsia="仿宋_GB2312"/>
          <w:sz w:val="32"/>
          <w:szCs w:val="32"/>
        </w:rPr>
      </w:pPr>
      <w:r>
        <w:rPr>
          <w:rFonts w:eastAsia="仿宋_GB2312"/>
          <w:sz w:val="32"/>
          <w:szCs w:val="32"/>
        </w:rPr>
        <w:t>根据国省市相关政策要求，完成攀枝花市本地化系统改造后，能够实现特殊药品省内异地就医结算、城镇职工基本医疗保险个人账户省内跨统筹区共济、城乡居民医保高血压、糖尿病（两病）认定、管理和结算、生育保险合并至医疗保险、医疗保险征收移交税务平台改造等政策性功能新增，确保相关政策能够落地。</w:t>
      </w:r>
    </w:p>
    <w:p>
      <w:pPr>
        <w:spacing w:line="600" w:lineRule="exact"/>
        <w:ind w:firstLine="640"/>
        <w:rPr>
          <w:rFonts w:eastAsia="楷体_GB2312"/>
          <w:b/>
          <w:sz w:val="32"/>
          <w:szCs w:val="32"/>
          <w:lang w:val="zh-CN"/>
        </w:rPr>
      </w:pPr>
      <w:r>
        <w:rPr>
          <w:rFonts w:eastAsia="楷体_GB2312"/>
          <w:b/>
          <w:sz w:val="32"/>
          <w:szCs w:val="32"/>
          <w:lang w:val="zh-CN"/>
        </w:rPr>
        <w:t>（三）项目资金申报相符性。</w:t>
      </w:r>
    </w:p>
    <w:p>
      <w:pPr>
        <w:autoSpaceDE w:val="0"/>
        <w:autoSpaceDN w:val="0"/>
        <w:adjustRightInd w:val="0"/>
        <w:spacing w:line="600" w:lineRule="exact"/>
        <w:ind w:firstLineChars="200" w:firstLine="640"/>
        <w:jc w:val="left"/>
        <w:rPr>
          <w:rFonts w:eastAsia="仿宋_GB2312"/>
          <w:sz w:val="32"/>
          <w:szCs w:val="32"/>
        </w:rPr>
      </w:pPr>
      <w:r>
        <w:rPr>
          <w:rFonts w:eastAsia="仿宋_GB2312"/>
          <w:kern w:val="0"/>
          <w:sz w:val="32"/>
          <w:szCs w:val="32"/>
        </w:rPr>
        <w:t>“综合柜员制”系统政策性功能调整严格按照项目建设需求进行建设，达到预期目标。资金申报内容和实际相符合。</w:t>
      </w:r>
    </w:p>
    <w:p>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二、项目实施及管理情况</w:t>
      </w:r>
    </w:p>
    <w:p>
      <w:pPr>
        <w:spacing w:line="600" w:lineRule="exact"/>
        <w:ind w:firstLine="640"/>
        <w:rPr>
          <w:rFonts w:eastAsia="楷体_GB2312"/>
          <w:b/>
          <w:sz w:val="32"/>
          <w:szCs w:val="32"/>
          <w:lang w:val="zh-CN"/>
        </w:rPr>
      </w:pPr>
      <w:r>
        <w:rPr>
          <w:rFonts w:eastAsia="楷体_GB2312"/>
          <w:b/>
          <w:sz w:val="32"/>
          <w:szCs w:val="32"/>
          <w:lang w:val="zh-CN"/>
        </w:rPr>
        <w:t>（一）资金计划、到位及使用情况。</w:t>
      </w:r>
    </w:p>
    <w:p>
      <w:pPr>
        <w:adjustRightInd w:val="0"/>
        <w:snapToGrid w:val="0"/>
        <w:spacing w:line="560" w:lineRule="exact"/>
        <w:ind w:firstLine="720"/>
        <w:rPr>
          <w:rFonts w:eastAsia="楷体_GB2312"/>
          <w:sz w:val="32"/>
          <w:szCs w:val="32"/>
          <w:lang w:val="zh-CN"/>
        </w:rPr>
      </w:pPr>
      <w:r>
        <w:rPr>
          <w:rFonts w:eastAsia="楷体_GB2312"/>
          <w:sz w:val="32"/>
          <w:szCs w:val="32"/>
          <w:lang w:val="zh-CN"/>
        </w:rPr>
        <w:t>1．资金计划及到位。</w:t>
      </w:r>
    </w:p>
    <w:p>
      <w:pPr>
        <w:spacing w:line="360" w:lineRule="auto"/>
        <w:ind w:firstLineChars="200" w:firstLine="640"/>
        <w:jc w:val="left"/>
        <w:rPr>
          <w:rFonts w:eastAsia="仿宋_GB2312"/>
          <w:kern w:val="0"/>
          <w:sz w:val="32"/>
          <w:szCs w:val="32"/>
        </w:rPr>
      </w:pPr>
      <w:r>
        <w:rPr>
          <w:rFonts w:eastAsia="仿宋_GB2312"/>
          <w:kern w:val="0"/>
          <w:sz w:val="32"/>
          <w:szCs w:val="32"/>
        </w:rPr>
        <w:t>2023年，我局根据项目开发情况向市财政局追加申请项目预算资金，财政审批后进行资金批复。</w:t>
      </w:r>
    </w:p>
    <w:p>
      <w:pPr>
        <w:adjustRightInd w:val="0"/>
        <w:snapToGrid w:val="0"/>
        <w:spacing w:line="560" w:lineRule="exact"/>
        <w:ind w:firstLine="720"/>
        <w:rPr>
          <w:rFonts w:eastAsia="仿宋_GB2312"/>
          <w:sz w:val="32"/>
          <w:szCs w:val="32"/>
        </w:rPr>
      </w:pPr>
      <w:r>
        <w:rPr>
          <w:rFonts w:eastAsia="楷体_GB2312"/>
          <w:sz w:val="32"/>
          <w:szCs w:val="32"/>
          <w:lang w:val="zh-CN"/>
        </w:rPr>
        <w:t>2．资金使用。</w:t>
      </w:r>
    </w:p>
    <w:p>
      <w:pPr>
        <w:adjustRightInd w:val="0"/>
        <w:snapToGrid w:val="0"/>
        <w:spacing w:line="560" w:lineRule="exact"/>
        <w:ind w:firstLine="720"/>
        <w:rPr>
          <w:rFonts w:eastAsia="仿宋_GB2312"/>
          <w:kern w:val="0"/>
          <w:sz w:val="32"/>
          <w:szCs w:val="32"/>
          <w:lang w:val="zh-CN"/>
        </w:rPr>
      </w:pPr>
      <w:r>
        <w:rPr>
          <w:rFonts w:eastAsia="仿宋_GB2312"/>
          <w:kern w:val="0"/>
          <w:sz w:val="32"/>
          <w:szCs w:val="32"/>
        </w:rPr>
        <w:t>“综合柜员制”系统政策性功能调整项目政府采购中标价166.98万元，2021年已支付50.09万元，2023年支付款项116.8</w:t>
      </w:r>
      <w:r>
        <w:rPr>
          <w:rFonts w:eastAsia="仿宋_GB2312" w:hint="eastAsia"/>
          <w:kern w:val="0"/>
          <w:sz w:val="32"/>
          <w:szCs w:val="32"/>
          <w:lang w:val="en-US" w:eastAsia="zh-CN"/>
        </w:rPr>
        <w:t>9</w:t>
      </w:r>
      <w:r>
        <w:rPr>
          <w:rFonts w:eastAsia="仿宋_GB2312"/>
          <w:kern w:val="0"/>
          <w:sz w:val="32"/>
          <w:szCs w:val="32"/>
        </w:rPr>
        <w:t>万元，截至2023年底，合同款项全部结清。</w:t>
      </w:r>
    </w:p>
    <w:p>
      <w:pPr>
        <w:spacing w:line="600" w:lineRule="exact"/>
        <w:ind w:firstLine="640"/>
        <w:rPr>
          <w:rFonts w:eastAsia="楷体_GB2312"/>
          <w:b/>
          <w:sz w:val="32"/>
          <w:szCs w:val="32"/>
          <w:lang w:val="zh-CN"/>
        </w:rPr>
      </w:pPr>
      <w:r>
        <w:rPr>
          <w:rFonts w:eastAsia="楷体_GB2312"/>
          <w:b/>
          <w:sz w:val="32"/>
          <w:szCs w:val="32"/>
          <w:lang w:val="zh-CN"/>
        </w:rPr>
        <w:t>（二）项目财务管理情况。</w:t>
      </w:r>
    </w:p>
    <w:p>
      <w:pPr>
        <w:autoSpaceDE w:val="0"/>
        <w:autoSpaceDN w:val="0"/>
        <w:adjustRightInd w:val="0"/>
        <w:spacing w:line="560" w:lineRule="exact"/>
        <w:ind w:firstLineChars="200" w:firstLine="640"/>
        <w:jc w:val="left"/>
        <w:rPr>
          <w:rFonts w:eastAsia="仿宋_GB2312"/>
          <w:kern w:val="0"/>
          <w:sz w:val="32"/>
          <w:szCs w:val="32"/>
        </w:rPr>
      </w:pPr>
      <w:r>
        <w:rPr>
          <w:rFonts w:eastAsia="仿宋_GB2312"/>
          <w:kern w:val="0"/>
          <w:sz w:val="32"/>
          <w:szCs w:val="32"/>
        </w:rPr>
        <w:t>在资金使用管理上，严格按照国家财经法规和内部财务管理制度的规定开支，资金结付有完整的审批程序和手续，根据专项资金管理要求，设置专项资金专户，专项核算，分账管理，坚持专款专用，严格按计划使用资金，无挤占挪用或套取资金等现象。</w:t>
      </w:r>
    </w:p>
    <w:p>
      <w:pPr>
        <w:spacing w:line="600" w:lineRule="exact"/>
        <w:ind w:firstLineChars="147" w:firstLine="470"/>
        <w:rPr>
          <w:rFonts w:eastAsia="楷体_GB2312"/>
          <w:b/>
          <w:sz w:val="32"/>
          <w:szCs w:val="32"/>
          <w:lang w:val="zh-CN"/>
        </w:rPr>
      </w:pPr>
      <w:r>
        <w:rPr>
          <w:rFonts w:eastAsia="楷体_GB2312"/>
          <w:b/>
          <w:sz w:val="32"/>
          <w:szCs w:val="32"/>
          <w:lang w:val="zh-CN"/>
        </w:rPr>
        <w:t>（三）项目组织实施情况。</w:t>
      </w:r>
    </w:p>
    <w:p>
      <w:pPr>
        <w:spacing w:line="560" w:lineRule="exact"/>
        <w:ind w:firstLine="645"/>
        <w:rPr>
          <w:rFonts w:eastAsia="楷体_GB2312"/>
          <w:kern w:val="0"/>
          <w:sz w:val="32"/>
          <w:szCs w:val="32"/>
        </w:rPr>
      </w:pPr>
      <w:r>
        <w:rPr>
          <w:rFonts w:eastAsia="仿宋_GB2312"/>
          <w:sz w:val="32"/>
          <w:szCs w:val="32"/>
        </w:rPr>
        <w:t>由市医疗保障信息中心牵头</w:t>
      </w:r>
      <w:r>
        <w:rPr>
          <w:rFonts w:eastAsia="仿宋_GB2312"/>
          <w:kern w:val="0"/>
          <w:sz w:val="32"/>
          <w:szCs w:val="32"/>
        </w:rPr>
        <w:t>统筹谋划推进项目实施，项目组织架构和实施流程完整规范。</w:t>
      </w:r>
      <w:r>
        <w:rPr>
          <w:rFonts w:eastAsia="仿宋_GB2312"/>
          <w:sz w:val="32"/>
          <w:szCs w:val="32"/>
        </w:rPr>
        <w:t>一是按照国家、省、市相关政策文件要求，结合我市工作实际情况和地方特点，准确、合理的制定功能调整、新增方案；二是将实施方案提供至第三方软件公司，完成功能调整、新增功能开发；三是通过开发测试、部门测试、现场测试等多次测试改正验收，填写测试报告，保证新增功能符合政策要求，尽力保障每一位参保群众的待遇享受；四是测试通过后提交发布计划，完成相应的程序发布流程后发布程序；五是通过与税务平台、医保省级平台与国家平台等系统联动，为参保群众提供更方便、高效的服务。</w:t>
      </w:r>
    </w:p>
    <w:p>
      <w:pPr>
        <w:adjustRightInd w:val="0"/>
        <w:snapToGrid w:val="0"/>
        <w:spacing w:line="560" w:lineRule="exact"/>
        <w:ind w:firstLine="720"/>
        <w:rPr>
          <w:rFonts w:eastAsia="黑体"/>
          <w:sz w:val="32"/>
          <w:szCs w:val="32"/>
          <w:lang w:val="zh-CN"/>
        </w:rPr>
      </w:pPr>
      <w:r>
        <w:rPr>
          <w:rFonts w:eastAsia="黑体"/>
          <w:sz w:val="32"/>
          <w:szCs w:val="32"/>
        </w:rPr>
        <w:t>三、项目绩效情况</w:t>
      </w:r>
      <w:r>
        <w:rPr>
          <w:rFonts w:eastAsia="黑体"/>
          <w:sz w:val="32"/>
          <w:szCs w:val="32"/>
          <w:lang w:val="zh-CN"/>
        </w:rPr>
        <w:tab/>
      </w:r>
    </w:p>
    <w:p>
      <w:pPr>
        <w:spacing w:line="600" w:lineRule="exact"/>
        <w:ind w:firstLineChars="196" w:firstLine="627"/>
        <w:rPr>
          <w:rFonts w:eastAsia="楷体_GB2312"/>
          <w:b/>
          <w:sz w:val="32"/>
          <w:szCs w:val="32"/>
          <w:lang w:val="zh-CN"/>
        </w:rPr>
      </w:pPr>
      <w:r>
        <w:rPr>
          <w:rFonts w:eastAsia="楷体_GB2312"/>
          <w:b/>
          <w:sz w:val="32"/>
          <w:szCs w:val="32"/>
          <w:lang w:val="zh-CN"/>
        </w:rPr>
        <w:t>（一）项目完成情况。</w:t>
      </w:r>
    </w:p>
    <w:p>
      <w:pPr>
        <w:spacing w:line="360" w:lineRule="auto"/>
        <w:ind w:firstLine="646"/>
        <w:rPr>
          <w:rFonts w:eastAsia="仿宋_GB2312"/>
          <w:sz w:val="32"/>
          <w:szCs w:val="32"/>
        </w:rPr>
      </w:pPr>
      <w:r>
        <w:rPr>
          <w:rFonts w:eastAsia="仿宋_GB2312"/>
          <w:sz w:val="32"/>
          <w:szCs w:val="32"/>
        </w:rPr>
        <w:t>根据国省市相关政策要求，完成了攀枝花市本地化系统改造后，实现了特殊药品省内异地就医结算、城镇职工基本医疗保险个人账户省内跨统筹区共济、城乡居民医保高血压、糖尿病（两病）认定、管理和结算、生育保险合并至医疗保险、医疗保险征收移交税务平台改造等政策性功能。</w:t>
      </w:r>
    </w:p>
    <w:p>
      <w:pPr>
        <w:spacing w:line="600" w:lineRule="exact"/>
        <w:ind w:firstLineChars="147" w:firstLine="470"/>
        <w:rPr>
          <w:rFonts w:eastAsia="楷体_GB2312"/>
          <w:b/>
          <w:sz w:val="32"/>
          <w:szCs w:val="32"/>
          <w:lang w:val="zh-CN"/>
        </w:rPr>
      </w:pPr>
      <w:r>
        <w:rPr>
          <w:rFonts w:eastAsia="楷体_GB2312"/>
          <w:b/>
          <w:sz w:val="32"/>
          <w:szCs w:val="32"/>
          <w:lang w:val="zh-CN"/>
        </w:rPr>
        <w:t>（二）项目效益情况。</w:t>
      </w:r>
    </w:p>
    <w:p>
      <w:pPr>
        <w:autoSpaceDE w:val="0"/>
        <w:autoSpaceDN w:val="0"/>
        <w:adjustRightInd w:val="0"/>
        <w:spacing w:line="560" w:lineRule="exact"/>
        <w:ind w:firstLineChars="200" w:firstLine="640"/>
        <w:jc w:val="left"/>
        <w:rPr>
          <w:rFonts w:eastAsia="仿宋_GB2312"/>
          <w:sz w:val="32"/>
          <w:szCs w:val="32"/>
        </w:rPr>
      </w:pPr>
      <w:r>
        <w:rPr>
          <w:rFonts w:eastAsia="仿宋_GB2312"/>
          <w:kern w:val="0"/>
          <w:sz w:val="32"/>
          <w:szCs w:val="32"/>
        </w:rPr>
        <w:t>“综合柜员制”系统政策性功能调整</w:t>
      </w:r>
      <w:r>
        <w:rPr>
          <w:rFonts w:eastAsia="仿宋_GB2312"/>
          <w:sz w:val="32"/>
          <w:szCs w:val="32"/>
        </w:rPr>
        <w:t>保障了国家、省、市各级的政策能够正常实施，为建设省级统一的医疗保障系统做好基础工作，为全市参保群众提供更加便捷、可靠的服务。</w:t>
      </w:r>
    </w:p>
    <w:p>
      <w:pPr>
        <w:autoSpaceDE w:val="0"/>
        <w:autoSpaceDN w:val="0"/>
        <w:adjustRightInd w:val="0"/>
        <w:spacing w:line="560" w:lineRule="exact"/>
        <w:ind w:firstLineChars="200" w:firstLine="640"/>
        <w:jc w:val="left"/>
        <w:rPr>
          <w:rFonts w:eastAsia="黑体"/>
          <w:kern w:val="0"/>
          <w:sz w:val="32"/>
          <w:szCs w:val="32"/>
        </w:rPr>
      </w:pPr>
      <w:r>
        <w:rPr>
          <w:rFonts w:eastAsia="黑体"/>
          <w:kern w:val="0"/>
          <w:sz w:val="32"/>
          <w:szCs w:val="32"/>
        </w:rPr>
        <w:t>四、评价结论及建议</w:t>
      </w:r>
    </w:p>
    <w:p>
      <w:pPr>
        <w:spacing w:line="600" w:lineRule="exact"/>
        <w:ind w:firstLineChars="147" w:firstLine="470"/>
        <w:rPr>
          <w:rFonts w:eastAsia="楷体_GB2312"/>
          <w:b/>
          <w:sz w:val="32"/>
          <w:szCs w:val="32"/>
          <w:lang w:val="zh-CN"/>
        </w:rPr>
      </w:pPr>
      <w:r>
        <w:rPr>
          <w:rFonts w:eastAsia="楷体_GB2312"/>
          <w:b/>
          <w:sz w:val="32"/>
          <w:szCs w:val="32"/>
          <w:lang w:val="zh-CN"/>
        </w:rPr>
        <w:t>（一）存在的问题。</w:t>
      </w:r>
    </w:p>
    <w:p>
      <w:pPr>
        <w:autoSpaceDE w:val="0"/>
        <w:autoSpaceDN w:val="0"/>
        <w:adjustRightInd w:val="0"/>
        <w:spacing w:line="560" w:lineRule="exact"/>
        <w:ind w:firstLineChars="200" w:firstLine="640"/>
        <w:jc w:val="left"/>
        <w:rPr>
          <w:rFonts w:eastAsia="仿宋_GB2312"/>
          <w:sz w:val="32"/>
          <w:szCs w:val="32"/>
        </w:rPr>
      </w:pPr>
      <w:r>
        <w:rPr>
          <w:rFonts w:eastAsia="仿宋_GB2312"/>
          <w:sz w:val="32"/>
          <w:szCs w:val="32"/>
        </w:rPr>
        <w:t>无。</w:t>
      </w:r>
    </w:p>
    <w:p>
      <w:pPr>
        <w:spacing w:line="600" w:lineRule="exact"/>
        <w:ind w:firstLineChars="147" w:firstLine="470"/>
        <w:rPr>
          <w:rFonts w:eastAsia="楷体_GB2312"/>
          <w:b/>
          <w:sz w:val="32"/>
          <w:szCs w:val="32"/>
          <w:lang w:val="zh-CN"/>
        </w:rPr>
      </w:pPr>
      <w:r>
        <w:rPr>
          <w:rFonts w:eastAsia="楷体_GB2312"/>
          <w:b/>
          <w:sz w:val="32"/>
          <w:szCs w:val="32"/>
          <w:lang w:val="zh-CN"/>
        </w:rPr>
        <w:t>（二）相关建议。</w:t>
      </w:r>
    </w:p>
    <w:p>
      <w:pPr>
        <w:spacing w:line="600" w:lineRule="exact"/>
        <w:ind w:firstLineChars="200" w:firstLine="640"/>
        <w:rPr>
          <w:rFonts w:eastAsia="仿宋_GB2312"/>
          <w:sz w:val="32"/>
          <w:szCs w:val="32"/>
          <w:lang w:val="zh-CN"/>
        </w:rPr>
      </w:pPr>
      <w:r>
        <w:rPr>
          <w:rFonts w:eastAsia="仿宋_GB2312"/>
          <w:sz w:val="32"/>
          <w:szCs w:val="32"/>
          <w:lang w:val="zh-CN"/>
        </w:rPr>
        <w:t>无。</w:t>
      </w:r>
    </w:p>
    <w:p>
      <w:pPr>
        <w:spacing w:line="360" w:lineRule="auto"/>
        <w:ind w:firstLine="660"/>
        <w:rPr>
          <w:rFonts w:eastAsia="仿宋_GB2312"/>
          <w:b/>
          <w:sz w:val="32"/>
          <w:szCs w:val="32"/>
        </w:rPr>
      </w:pPr>
    </w:p>
    <w:p>
      <w:pPr>
        <w:spacing w:line="360" w:lineRule="auto"/>
        <w:ind w:firstLine="660"/>
        <w:rPr>
          <w:rFonts w:eastAsia="仿宋_GB2312"/>
          <w:b/>
          <w:sz w:val="32"/>
          <w:szCs w:val="32"/>
        </w:rPr>
      </w:pPr>
    </w:p>
    <w:p>
      <w:pPr>
        <w:spacing w:line="578" w:lineRule="exact"/>
        <w:outlineLvl w:val="1"/>
        <w:rPr>
          <w:rFonts w:eastAsia="黑体"/>
          <w:color w:val="000000"/>
          <w:sz w:val="32"/>
          <w:szCs w:val="32"/>
        </w:rPr>
      </w:pPr>
      <w:r>
        <w:rPr>
          <w:rFonts w:eastAsia="黑体"/>
          <w:color w:val="000000"/>
          <w:sz w:val="32"/>
          <w:szCs w:val="32"/>
        </w:rPr>
        <w:t>附件</w:t>
      </w:r>
      <w:r>
        <w:rPr>
          <w:rFonts w:eastAsia="黑体" w:hint="eastAsia"/>
          <w:color w:val="000000"/>
          <w:sz w:val="32"/>
          <w:szCs w:val="32"/>
        </w:rPr>
        <w:t>4</w:t>
      </w:r>
    </w:p>
    <w:p>
      <w:pPr>
        <w:spacing w:line="360" w:lineRule="auto"/>
        <w:ind w:firstLine="660"/>
        <w:rPr>
          <w:rFonts w:eastAsia="仿宋_GB2312"/>
          <w:b/>
          <w:sz w:val="32"/>
          <w:szCs w:val="32"/>
        </w:rPr>
      </w:pPr>
    </w:p>
    <w:p>
      <w:pPr>
        <w:spacing w:line="600" w:lineRule="exact"/>
        <w:jc w:val="center"/>
        <w:rPr>
          <w:rFonts w:eastAsia="方正小标宋_GBK"/>
          <w:sz w:val="44"/>
          <w:szCs w:val="44"/>
        </w:rPr>
      </w:pPr>
      <w:r>
        <w:rPr>
          <w:rFonts w:eastAsia="方正小标宋_GBK"/>
          <w:sz w:val="44"/>
          <w:szCs w:val="44"/>
        </w:rPr>
        <w:t>攀枝花市医疗保障局</w:t>
      </w:r>
      <w:bookmarkStart w:id="153" w:name="_Hlk163570520"/>
    </w:p>
    <w:p>
      <w:pPr>
        <w:spacing w:line="600" w:lineRule="exact"/>
        <w:jc w:val="center"/>
        <w:rPr>
          <w:rFonts w:eastAsia="方正小标宋_GBK"/>
          <w:sz w:val="44"/>
          <w:szCs w:val="44"/>
        </w:rPr>
      </w:pPr>
      <w:r>
        <w:rPr>
          <w:rFonts w:eastAsia="方正小标宋_GBK"/>
          <w:sz w:val="44"/>
          <w:szCs w:val="44"/>
        </w:rPr>
        <w:t>关于医疗保障公共服务体系建设项目</w:t>
      </w:r>
    </w:p>
    <w:p>
      <w:pPr>
        <w:spacing w:line="600" w:lineRule="exact"/>
        <w:jc w:val="center"/>
        <w:rPr>
          <w:rFonts w:eastAsia="方正小标宋_GBK"/>
          <w:sz w:val="44"/>
          <w:szCs w:val="44"/>
        </w:rPr>
      </w:pPr>
      <w:r>
        <w:rPr>
          <w:rFonts w:eastAsia="方正小标宋_GBK"/>
          <w:sz w:val="44"/>
          <w:szCs w:val="44"/>
        </w:rPr>
        <w:t>支出绩效的自评报告</w:t>
      </w:r>
    </w:p>
    <w:p>
      <w:pPr>
        <w:spacing w:line="560" w:lineRule="exact"/>
        <w:ind w:firstLine="640"/>
        <w:jc w:val="center"/>
        <w:rPr>
          <w:sz w:val="32"/>
          <w:szCs w:val="32"/>
          <w:lang w:val="zh-CN"/>
        </w:rPr>
      </w:pPr>
      <w:bookmarkEnd w:id="153"/>
    </w:p>
    <w:p>
      <w:pPr>
        <w:adjustRightInd w:val="0"/>
        <w:snapToGrid w:val="0"/>
        <w:spacing w:line="560" w:lineRule="exact"/>
        <w:ind w:firstLine="720"/>
        <w:rPr>
          <w:rFonts w:eastAsia="黑体"/>
          <w:sz w:val="32"/>
          <w:szCs w:val="32"/>
          <w:lang w:val="zh-CN"/>
        </w:rPr>
      </w:pPr>
      <w:r>
        <w:rPr>
          <w:rFonts w:eastAsia="黑体"/>
          <w:sz w:val="32"/>
          <w:szCs w:val="32"/>
        </w:rPr>
        <w:t>一、</w:t>
      </w:r>
      <w:r>
        <w:rPr>
          <w:rFonts w:eastAsia="黑体"/>
          <w:sz w:val="32"/>
          <w:szCs w:val="32"/>
          <w:lang w:val="zh-CN"/>
        </w:rPr>
        <w:t>项目概况</w:t>
      </w:r>
    </w:p>
    <w:p>
      <w:pPr>
        <w:numPr>
          <w:ilvl w:val="0"/>
          <w:numId w:val="2"/>
        </w:numPr>
        <w:adjustRightInd w:val="0"/>
        <w:snapToGrid w:val="0"/>
        <w:spacing w:line="560" w:lineRule="exact"/>
        <w:rPr>
          <w:rFonts w:eastAsia="楷体_GB2312"/>
          <w:b/>
          <w:sz w:val="32"/>
          <w:szCs w:val="32"/>
          <w:lang w:val="zh-CN"/>
        </w:rPr>
      </w:pPr>
      <w:r>
        <w:rPr>
          <w:rFonts w:eastAsia="楷体_GB2312"/>
          <w:b/>
          <w:sz w:val="32"/>
          <w:szCs w:val="32"/>
          <w:lang w:val="zh-CN"/>
        </w:rPr>
        <w:t>项目资金申报及批复情况。</w:t>
      </w:r>
    </w:p>
    <w:p>
      <w:pPr>
        <w:adjustRightInd w:val="0"/>
        <w:snapToGrid w:val="0"/>
        <w:spacing w:line="560" w:lineRule="exact"/>
        <w:ind w:firstLine="720"/>
        <w:rPr>
          <w:rFonts w:eastAsia="仿宋_GB2312"/>
          <w:sz w:val="32"/>
          <w:szCs w:val="32"/>
        </w:rPr>
      </w:pPr>
      <w:r>
        <w:rPr>
          <w:rFonts w:eastAsia="仿宋_GB2312"/>
          <w:sz w:val="32"/>
          <w:szCs w:val="32"/>
          <w:lang w:val="zh-CN"/>
        </w:rPr>
        <w:t>攀枝花市医疗保障局通过申请</w:t>
      </w:r>
      <w:r>
        <w:rPr>
          <w:rFonts w:eastAsia="仿宋_GB2312"/>
          <w:sz w:val="32"/>
          <w:szCs w:val="32"/>
        </w:rPr>
        <w:t>追加2023年工作经费及项目经费预算（第一批），其中包括医疗保障公共服务体系建设项目，市财政局下达资金65.0</w:t>
      </w:r>
      <w:r>
        <w:rPr>
          <w:rFonts w:eastAsia="仿宋_GB2312" w:hint="eastAsia"/>
          <w:sz w:val="32"/>
          <w:szCs w:val="32"/>
          <w:lang w:val="en-US" w:eastAsia="zh-CN"/>
        </w:rPr>
        <w:t>1</w:t>
      </w:r>
      <w:r>
        <w:rPr>
          <w:rFonts w:eastAsia="仿宋_GB2312"/>
          <w:sz w:val="32"/>
          <w:szCs w:val="32"/>
        </w:rPr>
        <w:t>万元，</w:t>
      </w:r>
      <w:r>
        <w:rPr>
          <w:rFonts w:eastAsia="仿宋_GB2312"/>
          <w:sz w:val="32"/>
          <w:szCs w:val="32"/>
          <w:lang w:val="zh-CN"/>
        </w:rPr>
        <w:t>资金申报和批复符合资金管理办法等相关规定。</w:t>
      </w:r>
    </w:p>
    <w:p>
      <w:pPr>
        <w:spacing w:line="600" w:lineRule="exact"/>
        <w:ind w:firstLine="640"/>
        <w:rPr>
          <w:rFonts w:eastAsia="楷体_GB2312"/>
          <w:b/>
          <w:sz w:val="32"/>
          <w:szCs w:val="32"/>
          <w:lang w:val="zh-CN"/>
        </w:rPr>
      </w:pPr>
      <w:r>
        <w:rPr>
          <w:rFonts w:eastAsia="楷体_GB2312"/>
          <w:b/>
          <w:sz w:val="32"/>
          <w:szCs w:val="32"/>
          <w:lang w:val="zh-CN"/>
        </w:rPr>
        <w:t>（二）项目绩效目标。</w:t>
      </w:r>
    </w:p>
    <w:p>
      <w:pPr>
        <w:spacing w:line="600" w:lineRule="exact"/>
        <w:ind w:firstLine="640"/>
        <w:rPr>
          <w:rFonts w:eastAsia="仿宋_GB2312"/>
          <w:sz w:val="32"/>
          <w:szCs w:val="32"/>
        </w:rPr>
      </w:pPr>
      <w:r>
        <w:rPr>
          <w:rFonts w:eastAsia="仿宋_GB2312"/>
          <w:sz w:val="32"/>
          <w:szCs w:val="32"/>
          <w:lang w:val="zh-CN"/>
        </w:rPr>
        <w:t>该项目主要为开</w:t>
      </w:r>
      <w:r>
        <w:rPr>
          <w:rFonts w:eastAsia="仿宋_GB2312"/>
          <w:sz w:val="32"/>
          <w:szCs w:val="32"/>
        </w:rPr>
        <w:t>展我市公共服务体系建设工作，提升我市医疗保障“一网通办”能力，对本地网厅、微信公众号及自助机公共服务渠道对接省平台进行适应性改造，实现提高医保公共服务能力输出，统一系统接入标准，减少定点医疗机构接入成本，为群众提供便捷高效的医保线上服务目标。2022年开始招标建设，2022年完成上线使用。</w:t>
      </w:r>
    </w:p>
    <w:p>
      <w:pPr>
        <w:spacing w:line="600" w:lineRule="exact"/>
        <w:ind w:firstLine="640"/>
        <w:rPr>
          <w:rFonts w:eastAsia="楷体_GB2312"/>
          <w:b/>
          <w:sz w:val="32"/>
          <w:szCs w:val="32"/>
          <w:lang w:val="zh-CN"/>
        </w:rPr>
      </w:pPr>
      <w:r>
        <w:rPr>
          <w:rFonts w:eastAsia="楷体_GB2312"/>
          <w:b/>
          <w:sz w:val="32"/>
          <w:szCs w:val="32"/>
          <w:lang w:val="zh-CN"/>
        </w:rPr>
        <w:t>（三）项目资金申报相符性。</w:t>
      </w:r>
    </w:p>
    <w:p>
      <w:pPr>
        <w:spacing w:line="600" w:lineRule="exact"/>
        <w:ind w:firstLine="640"/>
        <w:rPr>
          <w:rFonts w:eastAsia="仿宋_GB2312"/>
          <w:sz w:val="32"/>
          <w:szCs w:val="32"/>
        </w:rPr>
      </w:pPr>
      <w:r>
        <w:rPr>
          <w:rFonts w:eastAsia="仿宋_GB2312"/>
          <w:sz w:val="32"/>
          <w:szCs w:val="32"/>
        </w:rPr>
        <w:t>按照四川省医保局《关于做好“一网通办”能力提升百日攻坚行动方案》（川办函〔2021〕7 号）和攀枝花市人民政府办公室关于印发《攀枝花市“一网通办”能力提升集中攻坚行动实施方案》（攀办发〔2021〕22 号）的文件要求，为提高我市医保公共服务和“一网通办”能力，开展本项目</w:t>
      </w:r>
      <w:r>
        <w:rPr>
          <w:rFonts w:eastAsia="仿宋_GB2312" w:hAnsi="仿宋_GB2312"/>
          <w:sz w:val="32"/>
          <w:szCs w:val="32"/>
        </w:rPr>
        <w:t>项目立项、资金申报，</w:t>
      </w:r>
      <w:r>
        <w:rPr>
          <w:rFonts w:eastAsia="仿宋_GB2312"/>
          <w:kern w:val="0"/>
          <w:sz w:val="32"/>
          <w:szCs w:val="32"/>
        </w:rPr>
        <w:t>本项</w:t>
      </w:r>
      <w:r>
        <w:rPr>
          <w:rFonts w:eastAsia="仿宋_GB2312" w:hAnsi="仿宋_GB2312"/>
          <w:sz w:val="32"/>
          <w:szCs w:val="32"/>
        </w:rPr>
        <w:t>目</w:t>
      </w:r>
      <w:r>
        <w:rPr>
          <w:rFonts w:eastAsia="仿宋_GB2312"/>
          <w:kern w:val="0"/>
          <w:sz w:val="32"/>
          <w:szCs w:val="32"/>
        </w:rPr>
        <w:t>严格按照建设需求进行建设，达到预期目标，资金申报内容和实际相符合。</w:t>
      </w:r>
    </w:p>
    <w:p>
      <w:pPr>
        <w:adjustRightInd w:val="0"/>
        <w:snapToGrid w:val="0"/>
        <w:spacing w:line="560" w:lineRule="exact"/>
        <w:ind w:firstLine="720"/>
        <w:rPr>
          <w:rFonts w:eastAsia="黑体"/>
          <w:sz w:val="32"/>
          <w:szCs w:val="32"/>
        </w:rPr>
      </w:pPr>
      <w:r>
        <w:rPr>
          <w:rFonts w:eastAsia="黑体"/>
          <w:sz w:val="32"/>
          <w:szCs w:val="32"/>
        </w:rPr>
        <w:t>二、项目实施及管理情况</w:t>
      </w:r>
    </w:p>
    <w:p>
      <w:pPr>
        <w:adjustRightInd w:val="0"/>
        <w:snapToGrid w:val="0"/>
        <w:spacing w:line="560" w:lineRule="exact"/>
        <w:ind w:firstLine="720"/>
        <w:rPr>
          <w:rFonts w:eastAsia="楷体_GB2312"/>
          <w:b/>
          <w:sz w:val="32"/>
          <w:szCs w:val="32"/>
          <w:lang w:val="zh-CN"/>
        </w:rPr>
      </w:pPr>
      <w:r>
        <w:rPr>
          <w:rFonts w:eastAsia="楷体_GB2312"/>
          <w:b/>
          <w:sz w:val="32"/>
          <w:szCs w:val="32"/>
          <w:lang w:val="zh-CN"/>
        </w:rPr>
        <w:t>（一）资金计划、到位及使用情况。</w:t>
      </w:r>
    </w:p>
    <w:p>
      <w:pPr>
        <w:adjustRightInd w:val="0"/>
        <w:snapToGrid w:val="0"/>
        <w:spacing w:line="560" w:lineRule="exact"/>
        <w:ind w:firstLine="720"/>
        <w:rPr>
          <w:rFonts w:eastAsia="楷体_GB2312"/>
          <w:sz w:val="32"/>
          <w:szCs w:val="32"/>
          <w:lang w:val="zh-CN"/>
        </w:rPr>
      </w:pPr>
      <w:r>
        <w:rPr>
          <w:rFonts w:eastAsia="楷体_GB2312"/>
          <w:sz w:val="32"/>
          <w:szCs w:val="32"/>
          <w:lang w:val="zh-CN"/>
        </w:rPr>
        <w:t>1．资金计划及到位。</w:t>
      </w:r>
    </w:p>
    <w:p>
      <w:pPr>
        <w:spacing w:line="560" w:lineRule="exact"/>
        <w:ind w:firstLineChars="200" w:firstLine="640"/>
        <w:jc w:val="left"/>
        <w:rPr>
          <w:rFonts w:eastAsia="仿宋_GB2312"/>
          <w:sz w:val="32"/>
          <w:szCs w:val="32"/>
        </w:rPr>
      </w:pPr>
      <w:r>
        <w:rPr>
          <w:rFonts w:eastAsia="仿宋_GB2312"/>
          <w:kern w:val="0"/>
          <w:sz w:val="32"/>
          <w:szCs w:val="32"/>
        </w:rPr>
        <w:t>2023年，我局根据项目维保情况向市财政局申请追加项目预算资金</w:t>
      </w:r>
      <w:r>
        <w:rPr>
          <w:rFonts w:eastAsia="仿宋_GB2312"/>
          <w:sz w:val="32"/>
          <w:szCs w:val="32"/>
        </w:rPr>
        <w:t>65.0</w:t>
      </w:r>
      <w:r>
        <w:rPr>
          <w:rFonts w:eastAsia="仿宋_GB2312" w:hint="eastAsia"/>
          <w:sz w:val="32"/>
          <w:szCs w:val="32"/>
          <w:lang w:val="en-US" w:eastAsia="zh-CN"/>
        </w:rPr>
        <w:t>1</w:t>
      </w:r>
      <w:r>
        <w:rPr>
          <w:rFonts w:eastAsia="仿宋_GB2312"/>
          <w:sz w:val="32"/>
          <w:szCs w:val="32"/>
        </w:rPr>
        <w:t>万</w:t>
      </w:r>
      <w:r>
        <w:rPr>
          <w:rFonts w:eastAsia="仿宋_GB2312"/>
          <w:kern w:val="0"/>
          <w:sz w:val="32"/>
          <w:szCs w:val="32"/>
        </w:rPr>
        <w:t>元，财政审批后进行资金批复。</w:t>
      </w:r>
    </w:p>
    <w:p>
      <w:pPr>
        <w:adjustRightInd w:val="0"/>
        <w:snapToGrid w:val="0"/>
        <w:spacing w:line="560" w:lineRule="exact"/>
        <w:ind w:firstLine="720"/>
        <w:rPr>
          <w:rFonts w:eastAsia="楷体_GB2312"/>
          <w:sz w:val="32"/>
          <w:szCs w:val="32"/>
          <w:lang w:val="zh-CN"/>
        </w:rPr>
      </w:pPr>
      <w:r>
        <w:rPr>
          <w:rFonts w:eastAsia="楷体_GB2312"/>
          <w:sz w:val="32"/>
          <w:szCs w:val="32"/>
          <w:lang w:val="zh-CN"/>
        </w:rPr>
        <w:t>2．资金使用。</w:t>
      </w:r>
    </w:p>
    <w:p>
      <w:pPr>
        <w:adjustRightInd w:val="0"/>
        <w:snapToGrid w:val="0"/>
        <w:spacing w:line="560" w:lineRule="exact"/>
        <w:ind w:firstLine="720"/>
        <w:rPr>
          <w:rFonts w:eastAsia="仿宋_GB2312"/>
          <w:sz w:val="32"/>
          <w:szCs w:val="32"/>
          <w:lang w:val="zh-CN"/>
        </w:rPr>
      </w:pPr>
      <w:r>
        <w:rPr>
          <w:rFonts w:eastAsia="仿宋_GB2312"/>
          <w:sz w:val="32"/>
          <w:szCs w:val="32"/>
        </w:rPr>
        <w:t>医疗保障公共服务体系建设项目政府采购中标价94.8</w:t>
      </w:r>
      <w:r>
        <w:rPr>
          <w:rFonts w:eastAsia="仿宋_GB2312" w:hint="eastAsia"/>
          <w:sz w:val="32"/>
          <w:szCs w:val="32"/>
          <w:lang w:val="en-US" w:eastAsia="zh-CN"/>
        </w:rPr>
        <w:t>9</w:t>
      </w:r>
      <w:r>
        <w:rPr>
          <w:rFonts w:eastAsia="仿宋_GB2312"/>
          <w:sz w:val="32"/>
          <w:szCs w:val="32"/>
        </w:rPr>
        <w:t>万元，2022年已支付29.88万元；2023年支付剩余款项 65.0</w:t>
      </w:r>
      <w:r>
        <w:rPr>
          <w:rFonts w:eastAsia="仿宋_GB2312" w:hint="eastAsia"/>
          <w:sz w:val="32"/>
          <w:szCs w:val="32"/>
          <w:lang w:val="en-US" w:eastAsia="zh-CN"/>
        </w:rPr>
        <w:t>1</w:t>
      </w:r>
      <w:r>
        <w:rPr>
          <w:rFonts w:eastAsia="仿宋_GB2312"/>
          <w:sz w:val="32"/>
          <w:szCs w:val="32"/>
        </w:rPr>
        <w:t>万元，截</w:t>
      </w:r>
      <w:r>
        <w:rPr>
          <w:rFonts w:eastAsia="仿宋_GB2312" w:hint="eastAsia"/>
          <w:sz w:val="32"/>
          <w:szCs w:val="32"/>
          <w:lang w:val="en-US" w:eastAsia="zh-CN"/>
        </w:rPr>
        <w:t>至</w:t>
      </w:r>
      <w:r>
        <w:rPr>
          <w:rFonts w:eastAsia="仿宋_GB2312"/>
          <w:sz w:val="32"/>
          <w:szCs w:val="32"/>
        </w:rPr>
        <w:t>2023年底，合同款项全部结清。</w:t>
      </w:r>
    </w:p>
    <w:p>
      <w:pPr>
        <w:adjustRightInd w:val="0"/>
        <w:snapToGrid w:val="0"/>
        <w:spacing w:line="560" w:lineRule="exact"/>
        <w:ind w:firstLine="720"/>
        <w:rPr>
          <w:rFonts w:eastAsia="楷体_GB2312"/>
          <w:b/>
          <w:sz w:val="32"/>
          <w:szCs w:val="32"/>
          <w:lang w:val="zh-CN"/>
        </w:rPr>
      </w:pPr>
      <w:r>
        <w:rPr>
          <w:rFonts w:eastAsia="楷体_GB2312"/>
          <w:b/>
          <w:sz w:val="32"/>
          <w:szCs w:val="32"/>
          <w:lang w:val="zh-CN"/>
        </w:rPr>
        <w:t>（二）项目财务管理情况。</w:t>
      </w:r>
    </w:p>
    <w:p>
      <w:pPr>
        <w:autoSpaceDE w:val="0"/>
        <w:autoSpaceDN w:val="0"/>
        <w:spacing w:line="560" w:lineRule="exact"/>
        <w:ind w:firstLineChars="200" w:firstLine="640"/>
        <w:rPr>
          <w:rFonts w:eastAsia="仿宋_GB2312"/>
          <w:kern w:val="0"/>
          <w:sz w:val="32"/>
          <w:szCs w:val="32"/>
        </w:rPr>
      </w:pPr>
      <w:r>
        <w:rPr>
          <w:rFonts w:eastAsia="仿宋_GB2312"/>
          <w:kern w:val="0"/>
          <w:sz w:val="32"/>
          <w:szCs w:val="32"/>
        </w:rPr>
        <w:t>严格执行政府会计制度和财务管理规定，会计资料真实、完整，账务处理及时，会计核算规范。坚持专款专用，严格按计划使用资金，无挤占挪用或套取资金等现象。</w:t>
      </w:r>
    </w:p>
    <w:p>
      <w:pPr>
        <w:adjustRightInd w:val="0"/>
        <w:snapToGrid w:val="0"/>
        <w:spacing w:line="560" w:lineRule="exact"/>
        <w:ind w:firstLine="720"/>
        <w:rPr>
          <w:rFonts w:eastAsia="楷体_GB2312"/>
          <w:b/>
          <w:sz w:val="32"/>
          <w:szCs w:val="32"/>
          <w:lang w:val="zh-CN"/>
        </w:rPr>
      </w:pPr>
      <w:r>
        <w:rPr>
          <w:rFonts w:eastAsia="楷体_GB2312"/>
          <w:b/>
          <w:sz w:val="32"/>
          <w:szCs w:val="32"/>
          <w:lang w:val="zh-CN"/>
        </w:rPr>
        <w:t>（三）项目组织实施情况。</w:t>
      </w:r>
    </w:p>
    <w:p>
      <w:pPr>
        <w:spacing w:line="560" w:lineRule="exact"/>
        <w:ind w:firstLine="645"/>
        <w:rPr>
          <w:rFonts w:eastAsia="仿宋_GB2312"/>
          <w:sz w:val="32"/>
          <w:szCs w:val="32"/>
        </w:rPr>
      </w:pPr>
      <w:r>
        <w:rPr>
          <w:rFonts w:eastAsia="仿宋_GB2312"/>
          <w:sz w:val="32"/>
          <w:szCs w:val="32"/>
        </w:rPr>
        <w:t>由市医疗保障信息中心牵头</w:t>
      </w:r>
      <w:r>
        <w:rPr>
          <w:rFonts w:eastAsia="仿宋_GB2312"/>
          <w:kern w:val="0"/>
          <w:sz w:val="32"/>
          <w:szCs w:val="32"/>
        </w:rPr>
        <w:t>统筹谋划推进项目实施，项目组织架构和实施流程完整规范。</w:t>
      </w:r>
      <w:r>
        <w:rPr>
          <w:rFonts w:eastAsia="仿宋_GB2312"/>
          <w:sz w:val="32"/>
          <w:szCs w:val="32"/>
        </w:rPr>
        <w:t>一是市医疗保障信息中心牵头，联合市医疗保障事务中心等共同协商实施方案，就实施细节达成一致；二是将实施方案提供至第三方软件公司，完成功能开发；三是对开发功能进行测试，填写测试报告；四是测试通过后提交发布计划，完成相应的程序发布流程后发布程序。</w:t>
      </w:r>
    </w:p>
    <w:p>
      <w:pPr>
        <w:adjustRightInd w:val="0"/>
        <w:snapToGrid w:val="0"/>
        <w:spacing w:line="560" w:lineRule="exact"/>
        <w:ind w:firstLineChars="275" w:firstLine="880"/>
        <w:rPr>
          <w:rFonts w:eastAsia="仿宋_GB2312"/>
          <w:sz w:val="32"/>
          <w:szCs w:val="32"/>
          <w:lang w:val="zh-CN"/>
        </w:rPr>
      </w:pPr>
      <w:r>
        <w:rPr>
          <w:rFonts w:eastAsia="黑体"/>
          <w:sz w:val="32"/>
          <w:szCs w:val="32"/>
        </w:rPr>
        <w:t>三、项目绩效情况</w:t>
      </w:r>
      <w:r>
        <w:rPr>
          <w:rFonts w:eastAsia="仿宋_GB2312"/>
          <w:sz w:val="32"/>
          <w:szCs w:val="32"/>
          <w:lang w:val="zh-CN"/>
        </w:rPr>
        <w:tab/>
      </w:r>
    </w:p>
    <w:p>
      <w:pPr>
        <w:adjustRightInd w:val="0"/>
        <w:snapToGrid w:val="0"/>
        <w:spacing w:line="560" w:lineRule="exact"/>
        <w:ind w:firstLine="720"/>
        <w:rPr>
          <w:rFonts w:eastAsia="楷体_GB2312"/>
          <w:b/>
          <w:sz w:val="32"/>
          <w:szCs w:val="32"/>
          <w:lang w:val="zh-CN"/>
        </w:rPr>
      </w:pPr>
      <w:r>
        <w:rPr>
          <w:rFonts w:eastAsia="楷体_GB2312"/>
          <w:b/>
          <w:sz w:val="32"/>
          <w:szCs w:val="32"/>
          <w:lang w:val="zh-CN"/>
        </w:rPr>
        <w:t>（一）项目完成情况。</w:t>
      </w:r>
    </w:p>
    <w:p>
      <w:pPr>
        <w:spacing w:line="560" w:lineRule="exact"/>
        <w:ind w:firstLineChars="200" w:firstLine="640"/>
        <w:rPr>
          <w:rFonts w:eastAsia="仿宋_GB2312"/>
          <w:sz w:val="32"/>
          <w:szCs w:val="32"/>
        </w:rPr>
      </w:pPr>
      <w:r>
        <w:rPr>
          <w:rFonts w:eastAsia="仿宋_GB2312" w:hAnsi="仿宋_GB2312"/>
          <w:sz w:val="32"/>
          <w:szCs w:val="32"/>
        </w:rPr>
        <w:t>根据项目开发方案进度安排，完成了医疗保障公共服务体系建设项目，实现了</w:t>
      </w:r>
      <w:r>
        <w:rPr>
          <w:rFonts w:eastAsia="仿宋_GB2312"/>
          <w:sz w:val="32"/>
          <w:szCs w:val="32"/>
        </w:rPr>
        <w:t>本地网厅、微信公众号及自助机公共服务渠道对接省平台进行适应性改造，按照医保政务服务清单，完成了与省平台业务系统对接，实现了数据共享和业务协同，推动全省一体化政务服务平台在我市高效运转，建设了统一的医保电子凭证就医购药公共服务平台。</w:t>
      </w:r>
    </w:p>
    <w:p>
      <w:pPr>
        <w:adjustRightInd w:val="0"/>
        <w:snapToGrid w:val="0"/>
        <w:spacing w:line="560" w:lineRule="exact"/>
        <w:ind w:firstLineChars="196" w:firstLine="627"/>
        <w:rPr>
          <w:rFonts w:eastAsia="楷体_GB2312"/>
          <w:b/>
          <w:sz w:val="32"/>
          <w:szCs w:val="32"/>
          <w:lang w:val="zh-CN"/>
        </w:rPr>
      </w:pPr>
      <w:r>
        <w:rPr>
          <w:rFonts w:eastAsia="楷体_GB2312"/>
          <w:b/>
          <w:sz w:val="32"/>
          <w:szCs w:val="32"/>
          <w:lang w:val="zh-CN"/>
        </w:rPr>
        <w:t>（二）项目效益情况。</w:t>
      </w:r>
    </w:p>
    <w:p>
      <w:pPr>
        <w:adjustRightInd w:val="0"/>
        <w:snapToGrid w:val="0"/>
        <w:spacing w:line="560" w:lineRule="exact"/>
        <w:ind w:firstLine="642"/>
        <w:rPr>
          <w:rFonts w:eastAsia="仿宋_GB2312"/>
          <w:sz w:val="32"/>
          <w:szCs w:val="32"/>
        </w:rPr>
      </w:pPr>
      <w:r>
        <w:rPr>
          <w:rFonts w:eastAsia="仿宋_GB2312"/>
          <w:sz w:val="32"/>
          <w:szCs w:val="32"/>
        </w:rPr>
        <w:t>医疗保障公共服务体系建设，有利于提高医保公共服务能力输出，为群众提供更好的医保线上服务体验，提高群众对医保公共服务能力的满意度。参保群众通过医保微信公众号、医保手机APP、网上服务大厅、全省政务服务一体化平台，实现医保政务服务事项业务办理。</w:t>
      </w:r>
    </w:p>
    <w:p>
      <w:pPr>
        <w:adjustRightInd w:val="0"/>
        <w:snapToGrid w:val="0"/>
        <w:spacing w:line="560" w:lineRule="exact"/>
        <w:ind w:firstLine="642"/>
        <w:rPr>
          <w:rFonts w:eastAsia="黑体"/>
          <w:sz w:val="32"/>
          <w:szCs w:val="32"/>
        </w:rPr>
      </w:pPr>
      <w:r>
        <w:rPr>
          <w:rFonts w:eastAsia="黑体"/>
          <w:sz w:val="32"/>
          <w:szCs w:val="32"/>
        </w:rPr>
        <w:t>四、问题及建议</w:t>
      </w:r>
    </w:p>
    <w:p>
      <w:pPr>
        <w:adjustRightInd w:val="0"/>
        <w:snapToGrid w:val="0"/>
        <w:spacing w:line="560" w:lineRule="exact"/>
        <w:ind w:firstLineChars="147" w:firstLine="470"/>
        <w:rPr>
          <w:rFonts w:eastAsia="楷体_GB2312"/>
          <w:b/>
          <w:sz w:val="32"/>
          <w:szCs w:val="32"/>
          <w:lang w:val="zh-CN"/>
        </w:rPr>
      </w:pPr>
      <w:r>
        <w:rPr>
          <w:rFonts w:eastAsia="楷体_GB2312"/>
          <w:b/>
          <w:sz w:val="32"/>
          <w:szCs w:val="32"/>
          <w:lang w:val="zh-CN"/>
        </w:rPr>
        <w:t>（一）存在的问题。</w:t>
      </w:r>
    </w:p>
    <w:p>
      <w:pPr>
        <w:adjustRightInd w:val="0"/>
        <w:snapToGrid w:val="0"/>
        <w:spacing w:line="560" w:lineRule="exact"/>
        <w:ind w:firstLineChars="200" w:firstLine="640"/>
        <w:rPr>
          <w:rFonts w:eastAsia="仿宋_GB2312"/>
          <w:sz w:val="32"/>
          <w:szCs w:val="32"/>
        </w:rPr>
      </w:pPr>
      <w:r>
        <w:rPr>
          <w:rFonts w:eastAsia="仿宋_GB2312"/>
          <w:sz w:val="32"/>
          <w:szCs w:val="32"/>
        </w:rPr>
        <w:t>无。</w:t>
      </w:r>
    </w:p>
    <w:p>
      <w:pPr>
        <w:adjustRightInd w:val="0"/>
        <w:snapToGrid w:val="0"/>
        <w:spacing w:line="560" w:lineRule="exact"/>
        <w:ind w:firstLineChars="147" w:firstLine="470"/>
        <w:rPr>
          <w:rFonts w:eastAsia="仿宋_GB2312"/>
          <w:sz w:val="32"/>
          <w:szCs w:val="32"/>
          <w:lang w:val="zh-CN"/>
        </w:rPr>
      </w:pPr>
      <w:r>
        <w:rPr>
          <w:rFonts w:eastAsia="楷体_GB2312"/>
          <w:b/>
          <w:sz w:val="32"/>
          <w:szCs w:val="32"/>
          <w:lang w:val="zh-CN"/>
        </w:rPr>
        <w:t>（二）相关建议。</w:t>
      </w:r>
    </w:p>
    <w:p>
      <w:pPr>
        <w:adjustRightInd w:val="0"/>
        <w:snapToGrid w:val="0"/>
        <w:spacing w:line="560" w:lineRule="exact"/>
        <w:ind w:firstLineChars="200" w:firstLine="640"/>
        <w:rPr>
          <w:rFonts w:eastAsia="仿宋_GB2312"/>
          <w:sz w:val="32"/>
          <w:szCs w:val="32"/>
        </w:rPr>
      </w:pPr>
      <w:r>
        <w:rPr>
          <w:rFonts w:eastAsia="仿宋_GB2312"/>
          <w:sz w:val="32"/>
          <w:szCs w:val="32"/>
        </w:rPr>
        <w:t>无。</w:t>
      </w:r>
    </w:p>
    <w:p>
      <w:pPr>
        <w:spacing w:line="360" w:lineRule="auto"/>
        <w:ind w:firstLine="660"/>
        <w:rPr>
          <w:rFonts w:eastAsia="仿宋_GB2312"/>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360" w:lineRule="auto"/>
        <w:rPr>
          <w:rFonts w:eastAsia="仿宋_GB2312"/>
          <w:bCs/>
          <w:color w:val="000000"/>
          <w:sz w:val="32"/>
          <w:szCs w:val="32"/>
        </w:rPr>
      </w:pPr>
    </w:p>
    <w:p>
      <w:pPr>
        <w:spacing w:line="600" w:lineRule="exact"/>
        <w:jc w:val="center"/>
        <w:outlineLvl w:val="0"/>
        <w:rPr>
          <w:rFonts w:eastAsia="仿宋"/>
        </w:rPr>
      </w:pPr>
      <w:bookmarkStart w:id="154" w:name="_Toc145437075"/>
      <w:bookmarkStart w:id="155" w:name="_Toc145434830"/>
      <w:bookmarkStart w:id="156" w:name="_Toc144464250"/>
      <w:bookmarkStart w:id="157" w:name="_Toc15396619"/>
      <w:bookmarkEnd w:id="127"/>
      <w:bookmarkEnd w:id="149"/>
      <w:r>
        <w:rPr>
          <w:rFonts w:eastAsia="黑体"/>
          <w:sz w:val="44"/>
          <w:szCs w:val="44"/>
        </w:rPr>
        <w:t>第</w:t>
      </w:r>
      <w:r>
        <w:rPr>
          <w:rStyle w:val="1Char"/>
          <w:rFonts w:eastAsia="黑体"/>
        </w:rPr>
        <w:t>五部分</w:t>
      </w:r>
      <w:r>
        <w:rPr>
          <w:rStyle w:val="1Char"/>
          <w:rFonts w:eastAsia="黑体" w:hint="eastAsia"/>
        </w:rPr>
        <w:t xml:space="preserve"> </w:t>
      </w:r>
      <w:r>
        <w:rPr>
          <w:rStyle w:val="1Char"/>
          <w:rFonts w:eastAsia="黑体"/>
        </w:rPr>
        <w:t>附表</w:t>
      </w:r>
      <w:bookmarkEnd w:id="154"/>
      <w:bookmarkEnd w:id="155"/>
      <w:bookmarkEnd w:id="156"/>
    </w:p>
    <w:p>
      <w:pPr>
        <w:pStyle w:val="2"/>
        <w:rPr>
          <w:rFonts w:ascii="黑体" w:eastAsia="黑体" w:hAnsi="黑体"/>
          <w:b w:val="0"/>
        </w:rPr>
      </w:pPr>
      <w:bookmarkStart w:id="158" w:name="_Toc144464251"/>
      <w:bookmarkStart w:id="159" w:name="_Toc145434831"/>
      <w:bookmarkStart w:id="160" w:name="_Toc145437076"/>
      <w:r>
        <w:rPr>
          <w:rFonts w:ascii="黑体" w:eastAsia="黑体" w:hAnsi="黑体"/>
          <w:b w:val="0"/>
        </w:rPr>
        <w:t>一、收</w:t>
      </w:r>
      <w:r>
        <w:rPr>
          <w:rStyle w:val="2Char"/>
          <w:rFonts w:ascii="黑体" w:eastAsia="黑体" w:hAnsi="黑体"/>
          <w:b w:val="0"/>
          <w:bCs w:val="0"/>
        </w:rPr>
        <w:t>入支出决算总表</w:t>
      </w:r>
      <w:bookmarkEnd w:id="157"/>
      <w:bookmarkEnd w:id="158"/>
      <w:bookmarkEnd w:id="159"/>
      <w:bookmarkEnd w:id="160"/>
    </w:p>
    <w:p>
      <w:pPr>
        <w:pStyle w:val="2"/>
        <w:rPr>
          <w:rFonts w:ascii="黑体" w:eastAsia="黑体" w:hAnsi="黑体"/>
          <w:b w:val="0"/>
        </w:rPr>
      </w:pPr>
      <w:bookmarkStart w:id="161" w:name="_Toc145434832"/>
      <w:bookmarkStart w:id="162" w:name="_Toc144464252"/>
      <w:bookmarkStart w:id="163" w:name="_Toc145437077"/>
      <w:bookmarkStart w:id="164" w:name="_Toc15396620"/>
      <w:r>
        <w:rPr>
          <w:rFonts w:ascii="黑体" w:eastAsia="黑体" w:hAnsi="黑体"/>
          <w:b w:val="0"/>
        </w:rPr>
        <w:t>二、收</w:t>
      </w:r>
      <w:r>
        <w:rPr>
          <w:rStyle w:val="2Char"/>
          <w:rFonts w:ascii="黑体" w:eastAsia="黑体" w:hAnsi="黑体"/>
          <w:b w:val="0"/>
          <w:bCs w:val="0"/>
        </w:rPr>
        <w:t>入决算表</w:t>
      </w:r>
      <w:bookmarkEnd w:id="161"/>
      <w:bookmarkEnd w:id="162"/>
      <w:bookmarkEnd w:id="163"/>
      <w:bookmarkEnd w:id="164"/>
    </w:p>
    <w:p>
      <w:pPr>
        <w:pStyle w:val="2"/>
        <w:rPr>
          <w:rFonts w:ascii="黑体" w:eastAsia="黑体" w:hAnsi="黑体"/>
          <w:b w:val="0"/>
        </w:rPr>
      </w:pPr>
      <w:bookmarkStart w:id="165" w:name="_Toc145434833"/>
      <w:bookmarkStart w:id="166" w:name="_Toc144464253"/>
      <w:bookmarkStart w:id="167" w:name="_Toc15396621"/>
      <w:bookmarkStart w:id="168" w:name="_Toc145437078"/>
      <w:r>
        <w:rPr>
          <w:rStyle w:val="2Char"/>
          <w:rFonts w:ascii="黑体" w:eastAsia="黑体" w:hAnsi="黑体"/>
          <w:b w:val="0"/>
          <w:bCs w:val="0"/>
        </w:rPr>
        <w:t>三、</w:t>
      </w:r>
      <w:r>
        <w:rPr>
          <w:rFonts w:ascii="黑体" w:eastAsia="黑体" w:hAnsi="黑体"/>
          <w:b w:val="0"/>
        </w:rPr>
        <w:t>支</w:t>
      </w:r>
      <w:r>
        <w:rPr>
          <w:rStyle w:val="2Char"/>
          <w:rFonts w:ascii="黑体" w:eastAsia="黑体" w:hAnsi="黑体"/>
          <w:b w:val="0"/>
          <w:bCs w:val="0"/>
        </w:rPr>
        <w:t>出决算表</w:t>
      </w:r>
      <w:bookmarkEnd w:id="165"/>
      <w:bookmarkEnd w:id="166"/>
      <w:bookmarkEnd w:id="167"/>
      <w:bookmarkEnd w:id="168"/>
    </w:p>
    <w:p>
      <w:pPr>
        <w:pStyle w:val="2"/>
        <w:rPr>
          <w:rFonts w:ascii="黑体" w:eastAsia="黑体" w:hAnsi="黑体"/>
          <w:b w:val="0"/>
        </w:rPr>
      </w:pPr>
      <w:bookmarkStart w:id="169" w:name="_Toc144464254"/>
      <w:bookmarkStart w:id="170" w:name="_Toc145437079"/>
      <w:bookmarkStart w:id="171" w:name="_Toc15396622"/>
      <w:bookmarkStart w:id="172" w:name="_Toc145434834"/>
      <w:r>
        <w:rPr>
          <w:rStyle w:val="2Char"/>
          <w:rFonts w:ascii="黑体" w:eastAsia="黑体" w:hAnsi="黑体"/>
          <w:b w:val="0"/>
          <w:bCs w:val="0"/>
        </w:rPr>
        <w:t>四、</w:t>
      </w:r>
      <w:r>
        <w:rPr>
          <w:rFonts w:ascii="黑体" w:eastAsia="黑体" w:hAnsi="黑体"/>
          <w:b w:val="0"/>
        </w:rPr>
        <w:t>财</w:t>
      </w:r>
      <w:r>
        <w:rPr>
          <w:rStyle w:val="2Char"/>
          <w:rFonts w:ascii="黑体" w:eastAsia="黑体" w:hAnsi="黑体"/>
          <w:b w:val="0"/>
          <w:bCs w:val="0"/>
        </w:rPr>
        <w:t>政拨款收入支出决算总表</w:t>
      </w:r>
      <w:bookmarkEnd w:id="169"/>
      <w:bookmarkEnd w:id="170"/>
      <w:bookmarkEnd w:id="171"/>
      <w:bookmarkEnd w:id="172"/>
    </w:p>
    <w:p>
      <w:pPr>
        <w:pStyle w:val="2"/>
        <w:rPr>
          <w:rStyle w:val="2Char"/>
          <w:rFonts w:ascii="黑体" w:eastAsia="黑体" w:hAnsi="黑体"/>
          <w:b w:val="0"/>
          <w:bCs w:val="0"/>
        </w:rPr>
      </w:pPr>
      <w:bookmarkStart w:id="173" w:name="_Toc145434835"/>
      <w:bookmarkStart w:id="174" w:name="_Toc145437080"/>
      <w:bookmarkStart w:id="175" w:name="_Toc144464255"/>
      <w:bookmarkStart w:id="176" w:name="_Toc15396623"/>
      <w:r>
        <w:rPr>
          <w:rStyle w:val="2Char"/>
          <w:rFonts w:ascii="黑体" w:eastAsia="黑体" w:hAnsi="黑体"/>
          <w:b w:val="0"/>
          <w:bCs w:val="0"/>
        </w:rPr>
        <w:t>五、</w:t>
      </w:r>
      <w:r>
        <w:rPr>
          <w:rFonts w:ascii="黑体" w:eastAsia="黑体" w:hAnsi="黑体"/>
          <w:b w:val="0"/>
        </w:rPr>
        <w:t>财</w:t>
      </w:r>
      <w:r>
        <w:rPr>
          <w:rStyle w:val="2Char"/>
          <w:rFonts w:ascii="黑体" w:eastAsia="黑体" w:hAnsi="黑体"/>
          <w:b w:val="0"/>
          <w:bCs w:val="0"/>
        </w:rPr>
        <w:t>政拨款支出决算明细表</w:t>
      </w:r>
      <w:bookmarkStart w:id="177" w:name="_Toc15396624"/>
      <w:bookmarkEnd w:id="173"/>
      <w:bookmarkEnd w:id="174"/>
      <w:bookmarkEnd w:id="175"/>
      <w:bookmarkEnd w:id="176"/>
    </w:p>
    <w:p>
      <w:pPr>
        <w:pStyle w:val="2"/>
        <w:rPr>
          <w:rFonts w:ascii="黑体" w:eastAsia="黑体" w:hAnsi="黑体"/>
          <w:b w:val="0"/>
        </w:rPr>
      </w:pPr>
      <w:bookmarkStart w:id="178" w:name="_Toc144464256"/>
      <w:bookmarkStart w:id="179" w:name="_Toc145434836"/>
      <w:bookmarkStart w:id="180" w:name="_Toc145437081"/>
      <w:r>
        <w:rPr>
          <w:rStyle w:val="2Char"/>
          <w:rFonts w:ascii="黑体" w:eastAsia="黑体" w:hAnsi="黑体"/>
          <w:b w:val="0"/>
          <w:bCs w:val="0"/>
        </w:rPr>
        <w:t>六、</w:t>
      </w:r>
      <w:r>
        <w:rPr>
          <w:rFonts w:ascii="黑体" w:eastAsia="黑体" w:hAnsi="黑体"/>
          <w:b w:val="0"/>
        </w:rPr>
        <w:t>一</w:t>
      </w:r>
      <w:r>
        <w:rPr>
          <w:rStyle w:val="2Char"/>
          <w:rFonts w:ascii="黑体" w:eastAsia="黑体" w:hAnsi="黑体"/>
          <w:b w:val="0"/>
          <w:bCs w:val="0"/>
        </w:rPr>
        <w:t>般公共预算财政拨款支出决算表</w:t>
      </w:r>
      <w:bookmarkEnd w:id="177"/>
      <w:bookmarkEnd w:id="178"/>
      <w:bookmarkEnd w:id="179"/>
      <w:bookmarkEnd w:id="180"/>
    </w:p>
    <w:p>
      <w:pPr>
        <w:pStyle w:val="2"/>
        <w:rPr>
          <w:rFonts w:ascii="黑体" w:eastAsia="黑体" w:hAnsi="黑体"/>
          <w:b w:val="0"/>
        </w:rPr>
      </w:pPr>
      <w:bookmarkStart w:id="181" w:name="_Toc15396625"/>
      <w:bookmarkStart w:id="182" w:name="_Toc145434837"/>
      <w:bookmarkStart w:id="183" w:name="_Toc145437082"/>
      <w:bookmarkStart w:id="184" w:name="_Toc144464257"/>
      <w:r>
        <w:rPr>
          <w:rStyle w:val="2Char"/>
          <w:rFonts w:ascii="黑体" w:eastAsia="黑体" w:hAnsi="黑体"/>
          <w:b w:val="0"/>
          <w:bCs w:val="0"/>
        </w:rPr>
        <w:t>七、</w:t>
      </w:r>
      <w:r>
        <w:rPr>
          <w:rFonts w:ascii="黑体" w:eastAsia="黑体" w:hAnsi="黑体"/>
          <w:b w:val="0"/>
        </w:rPr>
        <w:t>一</w:t>
      </w:r>
      <w:r>
        <w:rPr>
          <w:rStyle w:val="2Char"/>
          <w:rFonts w:ascii="黑体" w:eastAsia="黑体" w:hAnsi="黑体"/>
          <w:b w:val="0"/>
          <w:bCs w:val="0"/>
        </w:rPr>
        <w:t>般公共预算财政拨款支出决算明细表</w:t>
      </w:r>
      <w:bookmarkEnd w:id="181"/>
      <w:bookmarkEnd w:id="182"/>
      <w:bookmarkEnd w:id="183"/>
      <w:bookmarkEnd w:id="184"/>
    </w:p>
    <w:p>
      <w:pPr>
        <w:pStyle w:val="2"/>
        <w:rPr>
          <w:rFonts w:ascii="黑体" w:eastAsia="黑体" w:hAnsi="黑体"/>
          <w:b w:val="0"/>
        </w:rPr>
      </w:pPr>
      <w:bookmarkStart w:id="185" w:name="_Toc15396626"/>
      <w:bookmarkStart w:id="186" w:name="_Toc145437083"/>
      <w:bookmarkStart w:id="187" w:name="_Toc145434838"/>
      <w:bookmarkStart w:id="188" w:name="_Toc144464258"/>
      <w:r>
        <w:rPr>
          <w:rStyle w:val="2Char"/>
          <w:rFonts w:ascii="黑体" w:eastAsia="黑体" w:hAnsi="黑体"/>
          <w:b w:val="0"/>
          <w:bCs w:val="0"/>
        </w:rPr>
        <w:t>八、</w:t>
      </w:r>
      <w:r>
        <w:rPr>
          <w:rFonts w:ascii="黑体" w:eastAsia="黑体" w:hAnsi="黑体"/>
          <w:b w:val="0"/>
        </w:rPr>
        <w:t>一</w:t>
      </w:r>
      <w:r>
        <w:rPr>
          <w:rStyle w:val="2Char"/>
          <w:rFonts w:ascii="黑体" w:eastAsia="黑体" w:hAnsi="黑体"/>
          <w:b w:val="0"/>
          <w:bCs w:val="0"/>
        </w:rPr>
        <w:t>般公共预算财政拨款基本支出决算表</w:t>
      </w:r>
      <w:bookmarkEnd w:id="185"/>
      <w:bookmarkEnd w:id="186"/>
      <w:bookmarkEnd w:id="187"/>
      <w:bookmarkEnd w:id="188"/>
    </w:p>
    <w:p>
      <w:pPr>
        <w:pStyle w:val="2"/>
        <w:rPr>
          <w:rFonts w:ascii="黑体" w:eastAsia="黑体" w:hAnsi="黑体"/>
          <w:b w:val="0"/>
        </w:rPr>
      </w:pPr>
      <w:bookmarkStart w:id="189" w:name="_Toc144464259"/>
      <w:bookmarkStart w:id="190" w:name="_Toc15396627"/>
      <w:bookmarkStart w:id="191" w:name="_Toc145437084"/>
      <w:bookmarkStart w:id="192" w:name="_Toc145434839"/>
      <w:r>
        <w:rPr>
          <w:rStyle w:val="2Char"/>
          <w:rFonts w:ascii="黑体" w:eastAsia="黑体" w:hAnsi="黑体"/>
          <w:b w:val="0"/>
          <w:bCs w:val="0"/>
        </w:rPr>
        <w:t>九、</w:t>
      </w:r>
      <w:r>
        <w:rPr>
          <w:rFonts w:ascii="黑体" w:eastAsia="黑体" w:hAnsi="黑体"/>
          <w:b w:val="0"/>
        </w:rPr>
        <w:t>一</w:t>
      </w:r>
      <w:r>
        <w:rPr>
          <w:rStyle w:val="2Char"/>
          <w:rFonts w:ascii="黑体" w:eastAsia="黑体" w:hAnsi="黑体"/>
          <w:b w:val="0"/>
          <w:bCs w:val="0"/>
        </w:rPr>
        <w:t>般公共预算财政拨款项目支出决算表</w:t>
      </w:r>
      <w:bookmarkEnd w:id="189"/>
      <w:bookmarkEnd w:id="190"/>
      <w:bookmarkEnd w:id="191"/>
      <w:bookmarkEnd w:id="192"/>
    </w:p>
    <w:p>
      <w:pPr>
        <w:pStyle w:val="2"/>
        <w:rPr>
          <w:rFonts w:ascii="黑体" w:eastAsia="黑体" w:hAnsi="黑体"/>
          <w:b w:val="0"/>
        </w:rPr>
      </w:pPr>
      <w:bookmarkStart w:id="193" w:name="_Toc15396628"/>
      <w:bookmarkStart w:id="194" w:name="_Toc145437085"/>
      <w:bookmarkStart w:id="195" w:name="_Toc144464260"/>
      <w:bookmarkStart w:id="196" w:name="_Toc145434840"/>
      <w:r>
        <w:rPr>
          <w:rStyle w:val="2Char"/>
          <w:rFonts w:ascii="黑体" w:eastAsia="黑体" w:hAnsi="黑体"/>
          <w:b w:val="0"/>
          <w:bCs w:val="0"/>
        </w:rPr>
        <w:t>十、</w:t>
      </w:r>
      <w:bookmarkEnd w:id="193"/>
      <w:r>
        <w:rPr>
          <w:rFonts w:ascii="黑体" w:eastAsia="黑体" w:hAnsi="黑体"/>
          <w:b w:val="0"/>
        </w:rPr>
        <w:t>政</w:t>
      </w:r>
      <w:r>
        <w:rPr>
          <w:rStyle w:val="2Char"/>
          <w:rFonts w:ascii="黑体" w:eastAsia="黑体" w:hAnsi="黑体"/>
          <w:b w:val="0"/>
          <w:bCs w:val="0"/>
        </w:rPr>
        <w:t>府性基金预算财政拨款收入支出决算表</w:t>
      </w:r>
      <w:bookmarkEnd w:id="194"/>
      <w:bookmarkEnd w:id="195"/>
      <w:bookmarkEnd w:id="196"/>
    </w:p>
    <w:p>
      <w:pPr>
        <w:pStyle w:val="2"/>
        <w:rPr>
          <w:rFonts w:ascii="黑体" w:eastAsia="黑体" w:hAnsi="黑体"/>
          <w:b w:val="0"/>
        </w:rPr>
      </w:pPr>
      <w:bookmarkStart w:id="197" w:name="_Toc15396629"/>
      <w:bookmarkStart w:id="198" w:name="_Toc145437086"/>
      <w:bookmarkStart w:id="199" w:name="_Toc145434841"/>
      <w:bookmarkStart w:id="200" w:name="_Toc144464261"/>
      <w:r>
        <w:rPr>
          <w:rStyle w:val="2Char"/>
          <w:rFonts w:ascii="黑体" w:eastAsia="黑体" w:hAnsi="黑体"/>
          <w:b w:val="0"/>
          <w:bCs w:val="0"/>
        </w:rPr>
        <w:t>十一、</w:t>
      </w:r>
      <w:bookmarkEnd w:id="197"/>
      <w:r>
        <w:rPr>
          <w:rFonts w:ascii="黑体" w:eastAsia="黑体" w:hAnsi="黑体"/>
          <w:b w:val="0"/>
        </w:rPr>
        <w:t>国</w:t>
      </w:r>
      <w:r>
        <w:rPr>
          <w:rStyle w:val="2Char"/>
          <w:rFonts w:ascii="黑体" w:eastAsia="黑体" w:hAnsi="黑体"/>
          <w:b w:val="0"/>
          <w:bCs w:val="0"/>
        </w:rPr>
        <w:t>有资本经营预算财政拨款收入支出决算表</w:t>
      </w:r>
      <w:bookmarkEnd w:id="198"/>
      <w:bookmarkEnd w:id="199"/>
      <w:bookmarkEnd w:id="200"/>
    </w:p>
    <w:p>
      <w:pPr>
        <w:pStyle w:val="2"/>
        <w:rPr>
          <w:rFonts w:ascii="黑体" w:eastAsia="黑体" w:hAnsi="黑体"/>
          <w:b w:val="0"/>
        </w:rPr>
      </w:pPr>
      <w:bookmarkStart w:id="201" w:name="_Toc15396630"/>
      <w:bookmarkStart w:id="202" w:name="_Toc145434842"/>
      <w:bookmarkStart w:id="203" w:name="_Toc144464262"/>
      <w:bookmarkStart w:id="204" w:name="_Toc145437087"/>
      <w:r>
        <w:rPr>
          <w:rStyle w:val="2Char"/>
          <w:rFonts w:ascii="黑体" w:eastAsia="黑体" w:hAnsi="黑体"/>
          <w:b w:val="0"/>
          <w:bCs w:val="0"/>
        </w:rPr>
        <w:t>十二、</w:t>
      </w:r>
      <w:bookmarkEnd w:id="201"/>
      <w:r>
        <w:rPr>
          <w:rStyle w:val="2Char"/>
          <w:rFonts w:ascii="黑体" w:eastAsia="黑体" w:hAnsi="黑体"/>
          <w:b w:val="0"/>
          <w:bCs w:val="0"/>
        </w:rPr>
        <w:t>国有资本经营预算财政拨款支出决算表</w:t>
      </w:r>
      <w:bookmarkEnd w:id="202"/>
      <w:bookmarkEnd w:id="203"/>
      <w:bookmarkEnd w:id="204"/>
    </w:p>
    <w:p>
      <w:pPr>
        <w:pStyle w:val="2"/>
        <w:rPr>
          <w:rStyle w:val="2Char"/>
          <w:rFonts w:ascii="黑体" w:eastAsia="黑体" w:hAnsi="黑体"/>
          <w:b w:val="0"/>
          <w:bCs/>
        </w:rPr>
      </w:pPr>
      <w:bookmarkStart w:id="205" w:name="_Toc15396631"/>
      <w:bookmarkStart w:id="206" w:name="_Toc145437088"/>
      <w:bookmarkStart w:id="207" w:name="_Toc144464263"/>
      <w:bookmarkStart w:id="208" w:name="_Toc145434843"/>
      <w:r>
        <w:rPr>
          <w:rStyle w:val="2Char"/>
          <w:rFonts w:ascii="黑体" w:eastAsia="黑体" w:hAnsi="黑体"/>
          <w:b w:val="0"/>
          <w:bCs w:val="0"/>
        </w:rPr>
        <w:t>十三、</w:t>
      </w:r>
      <w:bookmarkEnd w:id="205"/>
      <w:r>
        <w:rPr>
          <w:rStyle w:val="2Char"/>
          <w:rFonts w:ascii="黑体" w:eastAsia="黑体" w:hAnsi="黑体"/>
          <w:b w:val="0"/>
          <w:bCs w:val="0"/>
        </w:rPr>
        <w:t>财政拨款“三公”经费支出决算表</w:t>
      </w:r>
      <w:bookmarkEnd w:id="206"/>
      <w:bookmarkEnd w:id="207"/>
      <w:bookmarkEnd w:id="208"/>
    </w:p>
    <w:sectPr>
      <w:headerReference w:type="default" r:id="rId2"/>
      <w:footerReference w:type="default" r:id="rId3"/>
      <w:footerReference w:type="even" r:id="rId4"/>
      <w:pgSz w:w="11906" w:h="16838"/>
      <w:pgMar w:top="2098" w:right="1474" w:bottom="1985" w:left="1588" w:header="851" w:footer="1418" w:gutter="0"/>
      <w:pgNumType w:start="0"/>
      <w:cols w:num="1" w:space="720"/>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203" w:usb1="288F0000" w:usb2="00000006" w:usb3="00000000" w:csb0="00040001" w:csb1="00000000"/>
  </w:font>
  <w:font w:name="方正小标宋简体">
    <w:altName w:val="方正舒体"/>
    <w:panose1 w:val="00000000000000000000"/>
    <w:charset w:val="86"/>
    <w:family w:val="script"/>
    <w:pitch w:val="variable"/>
    <w:sig w:usb0="00000000" w:usb1="00000000" w:usb2="00000010" w:usb3="00000000" w:csb0="00040000" w:csb1="00000000"/>
  </w:font>
  <w:font w:name="方正小标宋_GBK">
    <w:altName w:val="微软雅黑"/>
    <w:panose1 w:val="00000000000000000000"/>
    <w:charset w:val="86"/>
    <w:family w:val="script"/>
    <w:pitch w:val="variable"/>
    <w:sig w:usb0="00000000" w:usb1="00000000" w:usb2="00000010" w:usb3="00000000" w:csb0="00040000" w:csb1="00000000"/>
  </w:font>
  <w:font w:name="Times New Roman">
    <w:panose1 w:val="02020603050405020304"/>
    <w:charset w:val="00"/>
    <w:family w:val="roman"/>
    <w:pitch w:val="variable"/>
    <w:sig w:usb0="20007A87" w:usb1="80000000" w:usb2="00000008" w:usb3="00000000" w:csb0="000001FF" w:csb1="00000000"/>
  </w:font>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仿宋_GB2312">
    <w:altName w:val="仿宋"/>
    <w:panose1 w:val="00000000000000000000"/>
    <w:charset w:val="00"/>
    <w:family w:val="auto"/>
    <w:pitch w:val="variable"/>
    <w:sig w:usb0="00000000" w:usb1="00000000" w:usb2="00000000" w:usb3="00000000" w:csb0="00000000" w:csb1="00000000"/>
  </w:font>
  <w:font w:name="楷体_GB2312">
    <w:altName w:val="楷体"/>
    <w:panose1 w:val="00000000000000000000"/>
    <w:charset w:val="86"/>
    <w:family w:val="modern"/>
    <w:pitch w:val="variable"/>
    <w:sig w:usb0="00000000" w:usb1="00000000" w:usb2="00000010" w:usb3="00000000" w:csb0="00040000" w:csb1="00000000"/>
  </w:font>
  <w:font w:name="Lucida Sans">
    <w:altName w:val="Lucida Sans Unicode"/>
    <w:panose1 w:val="020B0602030504020204"/>
    <w:charset w:val="00"/>
    <w:family w:val="auto"/>
    <w:pitch w:val="variable"/>
    <w:sig w:usb0="00000000" w:usb1="00000000" w:usb2="00000000" w:usb3="00000000" w:csb0="20000001" w:csb1="00000000"/>
  </w:font>
  <w:font w:name="Cambria">
    <w:panose1 w:val="02040503050406030204"/>
    <w:charset w:val="00"/>
    <w:family w:val="roman"/>
    <w:pitch w:val="variable"/>
    <w:sig w:usb0="E00006FF" w:usb1="420024FF" w:usb2="02000000" w:usb3="00000000" w:csb0="2000019F" w:csb1="00000000"/>
  </w:font>
  <w:font w:name="Courier New">
    <w:panose1 w:val="02070409020205090404"/>
    <w:charset w:val="00"/>
    <w:family w:val="auto"/>
    <w:pitch w:val="variable"/>
    <w:sig w:usb0="00007A87" w:usb1="80000000" w:usb2="00000008" w:usb3="00000000" w:csb0="400001FF" w:csb1="FFFF0000"/>
  </w:font>
  <w:font w:name="Calibri">
    <w:panose1 w:val="020F0502020204030204"/>
    <w:charset w:val="00"/>
    <w:family w:val="swiss"/>
    <w:pitch w:val="variable"/>
    <w:sig w:usb0="E4002EFF" w:usb1="C200247B" w:usb2="00000009" w:usb3="00000000" w:csb0="200001FF" w:csb1="00000000"/>
  </w:font>
  <w:font w:name="等线 Light">
    <w:altName w:val="黑体"/>
    <w:panose1 w:val="02010600030101010101"/>
    <w:charset w:val="86"/>
    <w:family w:val="auto"/>
    <w:pitch w:val="variable"/>
    <w:sig w:usb0="A00002BF" w:usb1="38CF7CFA" w:usb2="00000016" w:usb3="00000000" w:csb0="0004000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tabs>
        <w:tab w:val="center" w:pos="4153"/>
        <w:tab w:val="right" w:pos="8306"/>
      </w:tabs>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tabs>
        <w:tab w:val="center" w:pos="4153"/>
        <w:tab w:val="right" w:pos="8306"/>
      </w:tabs>
      <w:jc w:val="both"/>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4"/>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E2FA047D"/>
    <w:multiLevelType w:val="singleLevel"/>
    <w:tmpl w:val="E2FA047D"/>
    <w:lvl w:ilvl="0">
      <w:start w:val="3"/>
      <w:numFmt w:val="chineseCounting"/>
      <w:lvlRestart w:val="0"/>
      <w:suff w:val="space"/>
      <w:lvlText w:val="第%1部分"/>
      <w:lvlJc w:val="left"/>
      <w:pPr/>
      <w:rPr>
        <w:rFonts w:cs="Times New Roman" w:hint="eastAsia"/>
      </w:rPr>
    </w:lvl>
  </w:abstractNum>
  <w:abstractNum w:abstractNumId="1">
    <w:nsid w:val="423F21A9"/>
    <w:multiLevelType w:val="multilevel"/>
    <w:tmpl w:val="423F21A9"/>
    <w:lvl w:ilvl="0">
      <w:start w:val="1"/>
      <w:numFmt w:val="japaneseCounting"/>
      <w:lvlRestart w:val="0"/>
      <w:lvlText w:val="（%1）"/>
      <w:lvlJc w:val="left"/>
      <w:pPr>
        <w:ind w:left="1710" w:hanging="990"/>
      </w:pPr>
      <w:rPr>
        <w:rFonts w:hint="default"/>
      </w:rPr>
    </w:lvl>
    <w:lvl w:ilvl="1">
      <w:start w:val="1"/>
      <w:numFmt w:val="lowerLetter"/>
      <w:lvlText w:val="%2)"/>
      <w:lvlJc w:val="left"/>
      <w:pPr>
        <w:ind w:left="1600" w:hanging="440"/>
      </w:pPr>
    </w:lvl>
    <w:lvl w:ilvl="2">
      <w:start w:val="1"/>
      <w:numFmt w:val="lowerRoman"/>
      <w:lvlText w:val="%3."/>
      <w:lvlJc w:val="right"/>
      <w:pPr>
        <w:ind w:left="2040" w:hanging="440"/>
      </w:pPr>
    </w:lvl>
    <w:lvl w:ilvl="3">
      <w:start w:val="1"/>
      <w:numFmt w:val="decimal"/>
      <w:lvlText w:val="%4."/>
      <w:lvlJc w:val="left"/>
      <w:pPr>
        <w:ind w:left="2480" w:hanging="440"/>
      </w:pPr>
    </w:lvl>
    <w:lvl w:ilvl="4">
      <w:start w:val="1"/>
      <w:numFmt w:val="lowerLetter"/>
      <w:lvlText w:val="%5)"/>
      <w:lvlJc w:val="left"/>
      <w:pPr>
        <w:ind w:left="2920" w:hanging="440"/>
      </w:pPr>
    </w:lvl>
    <w:lvl w:ilvl="5">
      <w:start w:val="1"/>
      <w:numFmt w:val="lowerRoman"/>
      <w:lvlText w:val="%6."/>
      <w:lvlJc w:val="right"/>
      <w:pPr>
        <w:ind w:left="3360" w:hanging="440"/>
      </w:pPr>
    </w:lvl>
    <w:lvl w:ilvl="6">
      <w:start w:val="1"/>
      <w:numFmt w:val="decimal"/>
      <w:lvlText w:val="%7."/>
      <w:lvlJc w:val="left"/>
      <w:pPr>
        <w:ind w:left="3800" w:hanging="440"/>
      </w:pPr>
    </w:lvl>
    <w:lvl w:ilvl="7">
      <w:start w:val="1"/>
      <w:numFmt w:val="lowerLetter"/>
      <w:lvlText w:val="%8)"/>
      <w:lvlJc w:val="left"/>
      <w:pPr>
        <w:ind w:left="4240" w:hanging="440"/>
      </w:pPr>
    </w:lvl>
    <w:lvl w:ilvl="8">
      <w:start w:val="1"/>
      <w:numFmt w:val="lowerRoman"/>
      <w:lvlText w:val="%9."/>
      <w:lvlJc w:val="right"/>
      <w:pPr>
        <w:ind w:left="4680" w:hanging="44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00"/>
  <w:bordersDoNotSurroundHeader/>
  <w:bordersDoNotSurroundFooter/>
  <w:documentProtection w:edit="readOnly" w:enforcement="0"/>
  <w:defaultTabStop w:val="420"/>
  <w:evenAndOddHeaders/>
  <w:mirrorMargins/>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2"/>
  </w:compat>
  <w:docVars>
    <w:docVar w:name="commondata" w:val="eyJoZGlkIjoiNDc1NWJhZTQ2ZDcwOTBkYjdiM2Q2ZTFhYWQ3YjYyZDc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toc 7"/>
    <w:basedOn w:val="0"/>
    <w:next w:val="0"/>
    <w:pPr>
      <w:ind w:left="1260"/>
      <w:jc w:val="left"/>
    </w:pPr>
    <w:rPr>
      <w:sz w:val="18"/>
      <w:szCs w:val="18"/>
    </w:rPr>
  </w:style>
  <w:style w:type="paragraph" w:styleId="16">
    <w:name w:val="Body Text"/>
    <w:basedOn w:val="0"/>
    <w:pPr>
      <w:spacing w:beforeLines="30" w:before="30"/>
    </w:pPr>
    <w:rPr>
      <w:rFonts w:ascii="仿宋_GB2312" w:eastAsia="仿宋_GB2312"/>
      <w:kern w:val="0"/>
      <w:sz w:val="24"/>
      <w:szCs w:val="20"/>
    </w:rPr>
  </w:style>
  <w:style w:type="paragraph" w:styleId="17">
    <w:name w:val="Body Text Indent"/>
    <w:basedOn w:val="0"/>
    <w:pPr>
      <w:spacing w:after="120"/>
      <w:ind w:leftChars="200" w:left="200"/>
    </w:pPr>
  </w:style>
  <w:style w:type="paragraph" w:styleId="18">
    <w:name w:val="toc 5"/>
    <w:basedOn w:val="0"/>
    <w:next w:val="0"/>
    <w:pPr>
      <w:ind w:left="840"/>
      <w:jc w:val="left"/>
    </w:pPr>
    <w:rPr>
      <w:sz w:val="18"/>
      <w:szCs w:val="18"/>
    </w:rPr>
  </w:style>
  <w:style w:type="paragraph" w:styleId="19">
    <w:name w:val="toc 3"/>
    <w:basedOn w:val="0"/>
    <w:next w:val="0"/>
    <w:pPr>
      <w:ind w:left="420"/>
      <w:jc w:val="left"/>
    </w:pPr>
    <w:rPr>
      <w:i/>
      <w:iCs/>
      <w:sz w:val="20"/>
      <w:szCs w:val="20"/>
    </w:rPr>
  </w:style>
  <w:style w:type="paragraph" w:styleId="20">
    <w:name w:val="Plain Text"/>
    <w:basedOn w:val="0"/>
    <w:rPr>
      <w:rFonts w:ascii="宋体" w:hAnsi="Courier New"/>
      <w:sz w:val="32"/>
    </w:rPr>
  </w:style>
  <w:style w:type="paragraph" w:styleId="21">
    <w:name w:val="toc 8"/>
    <w:basedOn w:val="0"/>
    <w:next w:val="0"/>
    <w:pPr>
      <w:ind w:left="1470"/>
      <w:jc w:val="left"/>
    </w:pPr>
    <w:rPr>
      <w:sz w:val="18"/>
      <w:szCs w:val="18"/>
    </w:rPr>
  </w:style>
  <w:style w:type="paragraph" w:styleId="22">
    <w:name w:val="Balloon Text"/>
    <w:basedOn w:val="0"/>
    <w:rPr>
      <w:sz w:val="18"/>
      <w:szCs w:val="18"/>
    </w:rPr>
  </w:style>
  <w:style w:type="paragraph" w:styleId="23">
    <w:name w:val="footer"/>
    <w:basedOn w:val="0"/>
    <w:pPr>
      <w:tabs>
        <w:tab w:val="center" w:pos="4153"/>
        <w:tab w:val="right" w:pos="8306"/>
      </w:tabs>
      <w:snapToGrid w:val="0"/>
      <w:jc w:val="left"/>
    </w:pPr>
    <w:rPr>
      <w:rFonts w:ascii="Calibri" w:hAnsi="Calibri"/>
      <w:kern w:val="0"/>
      <w:sz w:val="18"/>
      <w:szCs w:val="20"/>
    </w:rPr>
  </w:style>
  <w:style w:type="paragraph" w:styleId="24">
    <w:name w:val="header"/>
    <w:basedOn w:val="0"/>
    <w:pPr>
      <w:pBdr>
        <w:bottom w:val="single" w:sz="6" w:space="1" w:color="auto"/>
      </w:pBdr>
      <w:tabs>
        <w:tab w:val="center" w:pos="4153"/>
        <w:tab w:val="right" w:pos="8306"/>
      </w:tabs>
      <w:snapToGrid w:val="0"/>
      <w:jc w:val="center"/>
    </w:pPr>
    <w:rPr>
      <w:rFonts w:ascii="Calibri" w:hAnsi="Calibri"/>
      <w:kern w:val="0"/>
      <w:sz w:val="18"/>
      <w:szCs w:val="20"/>
    </w:rPr>
  </w:style>
  <w:style w:type="paragraph" w:styleId="25">
    <w:name w:val="toc 1"/>
    <w:basedOn w:val="0"/>
    <w:next w:val="0"/>
    <w:pPr>
      <w:spacing w:before="120" w:after="120"/>
      <w:jc w:val="left"/>
    </w:pPr>
    <w:rPr>
      <w:b/>
      <w:bCs/>
      <w:caps/>
      <w:smallCaps w:val="0"/>
      <w:sz w:val="20"/>
      <w:szCs w:val="20"/>
    </w:rPr>
  </w:style>
  <w:style w:type="paragraph" w:styleId="26">
    <w:name w:val="toc 4"/>
    <w:basedOn w:val="0"/>
    <w:next w:val="0"/>
    <w:pPr>
      <w:ind w:left="630"/>
      <w:jc w:val="left"/>
    </w:pPr>
    <w:rPr>
      <w:sz w:val="18"/>
      <w:szCs w:val="18"/>
    </w:rPr>
  </w:style>
  <w:style w:type="paragraph" w:styleId="27">
    <w:name w:val="toc 6"/>
    <w:basedOn w:val="0"/>
    <w:next w:val="0"/>
    <w:pPr>
      <w:ind w:left="1050"/>
      <w:jc w:val="left"/>
    </w:pPr>
    <w:rPr>
      <w:sz w:val="18"/>
      <w:szCs w:val="18"/>
    </w:rPr>
  </w:style>
  <w:style w:type="paragraph" w:styleId="28">
    <w:name w:val="toc 2"/>
    <w:basedOn w:val="0"/>
    <w:next w:val="0"/>
    <w:pPr>
      <w:ind w:left="210"/>
      <w:jc w:val="left"/>
    </w:pPr>
    <w:rPr>
      <w:caps w:val="0"/>
      <w:smallCaps/>
      <w:sz w:val="20"/>
      <w:szCs w:val="20"/>
    </w:rPr>
  </w:style>
  <w:style w:type="paragraph" w:styleId="29">
    <w:name w:val="toc 9"/>
    <w:basedOn w:val="0"/>
    <w:next w:val="0"/>
    <w:pPr>
      <w:ind w:left="1680"/>
      <w:jc w:val="left"/>
    </w:pPr>
    <w:rPr>
      <w:sz w:val="18"/>
      <w:szCs w:val="18"/>
    </w:rPr>
  </w:style>
  <w:style w:type="paragraph" w:styleId="30">
    <w:name w:val="Normal (Web)"/>
    <w:basedOn w:val="0"/>
    <w:pPr>
      <w:widowControl/>
      <w:spacing w:before="100" w:beforeAutospacing="1" w:after="100" w:afterAutospacing="1"/>
      <w:jc w:val="left"/>
    </w:pPr>
    <w:rPr>
      <w:rFonts w:ascii="宋体" w:cs="宋体" w:hAnsi="宋体"/>
      <w:kern w:val="0"/>
      <w:sz w:val="24"/>
    </w:rPr>
  </w:style>
  <w:style w:type="paragraph" w:styleId="31">
    <w:name w:val="Body Text First Indent 2"/>
    <w:basedOn w:val="17"/>
    <w:pPr>
      <w:ind w:firstLineChars="200" w:firstLine="200"/>
    </w:pPr>
  </w:style>
  <w:style w:type="character" w:styleId="32">
    <w:name w:val="Strong"/>
    <w:basedOn w:val="10"/>
    <w:rPr>
      <w:rFonts w:cs="Times New Roman"/>
      <w:b/>
    </w:rPr>
  </w:style>
  <w:style w:type="character" w:styleId="33">
    <w:name w:val="Emphasis"/>
    <w:rPr>
      <w:i/>
      <w:iCs/>
    </w:rPr>
  </w:style>
  <w:style w:type="character" w:styleId="34">
    <w:name w:val="Hyperlink"/>
    <w:basedOn w:val="10"/>
    <w:rPr>
      <w:rFonts w:cs="Times New Roman"/>
      <w:color w:val="0000FF"/>
      <w:u w:val="single"/>
    </w:rPr>
  </w:style>
  <w:style w:type="character" w:customStyle="1" w:styleId="35">
    <w:name w:val="正文文本 Char"/>
    <w:rPr>
      <w:rFonts w:ascii="仿宋_GB2312" w:eastAsia="仿宋_GB2312" w:hAnsi="Times New Roman"/>
      <w:sz w:val="24"/>
    </w:rPr>
  </w:style>
  <w:style w:type="character" w:customStyle="1" w:styleId="36">
    <w:name w:val="Footer Char"/>
    <w:rPr>
      <w:rFonts w:ascii="Times New Roman" w:cs="Times New Roman" w:hAnsi="Times New Roman"/>
      <w:sz w:val="18"/>
      <w:szCs w:val="18"/>
    </w:rPr>
  </w:style>
  <w:style w:type="character" w:customStyle="1" w:styleId="37">
    <w:name w:val="Body Text Char"/>
    <w:rPr>
      <w:rFonts w:ascii="Times New Roman" w:cs="Times New Roman" w:hAnsi="Times New Roman"/>
      <w:sz w:val="24"/>
      <w:szCs w:val="24"/>
    </w:rPr>
  </w:style>
  <w:style w:type="character" w:customStyle="1" w:styleId="38">
    <w:name w:val="Header Char"/>
    <w:rPr>
      <w:rFonts w:ascii="Times New Roman" w:cs="Times New Roman" w:hAnsi="Times New Roman"/>
      <w:sz w:val="18"/>
      <w:szCs w:val="18"/>
    </w:rPr>
  </w:style>
  <w:style w:type="paragraph" w:customStyle="1" w:styleId="39">
    <w:name w:val="列出段落1"/>
    <w:basedOn w:val="0"/>
    <w:pPr>
      <w:ind w:firstLineChars="200" w:firstLine="200"/>
    </w:pPr>
  </w:style>
  <w:style w:type="paragraph" w:customStyle="1" w:styleId="40">
    <w:name w:val="TOC Heading1"/>
    <w:basedOn w:val="1"/>
    <w:next w:val="0"/>
    <w:pPr>
      <w:keepNext/>
      <w:keepLines/>
      <w:widowControl/>
      <w:spacing w:before="480" w:after="0" w:line="276" w:lineRule="auto"/>
      <w:jc w:val="left"/>
      <w:outlineLvl w:val="9"/>
    </w:pPr>
    <w:rPr>
      <w:rFonts w:ascii="Cambria" w:hAnsi="Cambria"/>
      <w:color w:val="365F91"/>
      <w:kern w:val="0"/>
      <w:sz w:val="28"/>
      <w:szCs w:val="28"/>
    </w:rPr>
  </w:style>
  <w:style w:type="paragraph" w:customStyle="1" w:styleId="41">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customStyle="1" w:styleId="42">
    <w:name w:val="TOC 标题1"/>
    <w:basedOn w:val="1"/>
    <w:next w:val="0"/>
    <w:pPr>
      <w:keepNext/>
      <w:keepLines/>
      <w:widowControl/>
      <w:spacing w:before="480" w:after="0" w:line="276" w:lineRule="auto"/>
      <w:jc w:val="left"/>
      <w:outlineLvl w:val="9"/>
    </w:pPr>
    <w:rPr>
      <w:rFonts w:ascii="Cambria" w:hAnsi="Cambria"/>
      <w:color w:val="365F91"/>
      <w:kern w:val="0"/>
      <w:sz w:val="28"/>
      <w:szCs w:val="28"/>
    </w:rPr>
  </w:style>
  <w:style w:type="paragraph" w:styleId="43">
    <w:name w:val="No Spacing"/>
    <w:rPr>
      <w:rFonts w:ascii="Calibri" w:eastAsia="宋体" w:cs="Times New Roman" w:hAnsi="Calibri"/>
      <w:sz w:val="22"/>
      <w:szCs w:val="22"/>
      <w:lang w:val="en-US" w:eastAsia="zh-CN" w:bidi="ar-SA"/>
    </w:rPr>
  </w:style>
  <w:style w:type="paragraph" w:customStyle="1" w:styleId="44">
    <w:name w:val="TOC 标题2"/>
    <w:basedOn w:val="1"/>
    <w:next w:val="0"/>
    <w:pPr>
      <w:keepNext/>
      <w:keepLines/>
      <w:widowControl/>
      <w:spacing w:before="240" w:after="0" w:line="259" w:lineRule="auto"/>
      <w:jc w:val="left"/>
      <w:outlineLvl w:val="9"/>
    </w:pPr>
    <w:rPr>
      <w:rFonts w:ascii="等线 Light" w:eastAsia="等线 Light" w:cs="Times New Roman"/>
      <w:b w:val="0"/>
      <w:bCs w:val="0"/>
      <w:color w:val="2E74B5"/>
      <w:kern w:val="0"/>
      <w:sz w:val="32"/>
      <w:szCs w:val="32"/>
    </w:rPr>
  </w:style>
  <w:style w:type="paragraph" w:styleId="45">
    <w:name w:val="List Paragraph"/>
    <w:basedOn w:val="0"/>
    <w:pPr>
      <w:ind w:firstLineChars="200" w:firstLine="200"/>
    </w:pPr>
  </w:style>
  <w:style w:type="paragraph" w:customStyle="1" w:styleId="46">
    <w:name w:val="TOC 标题3"/>
    <w:basedOn w:val="1"/>
    <w:next w:val="0"/>
    <w:pPr>
      <w:keepNext/>
      <w:keepLines/>
      <w:widowControl/>
      <w:spacing w:before="480" w:after="0" w:line="276" w:lineRule="auto"/>
      <w:jc w:val="left"/>
      <w:outlineLvl w:val="9"/>
    </w:pPr>
    <w:rPr>
      <w:rFonts w:ascii="等线 Light" w:eastAsia="等线 Light" w:cs="Times New Roman"/>
      <w:color w:val="2E74B5"/>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image" Target="media/2.emf"/><Relationship Id="rId6" Type="http://schemas.openxmlformats.org/officeDocument/2006/relationships/oleObject" Target="embeddings/oleObject1.bin"/><Relationship Id="rId7" Type="http://schemas.openxmlformats.org/officeDocument/2006/relationships/image" Target="media/4.emf"/><Relationship Id="rId8" Type="http://schemas.openxmlformats.org/officeDocument/2006/relationships/oleObject" Target="embeddings/oleObject2.bin"/><Relationship Id="rId9" Type="http://schemas.openxmlformats.org/officeDocument/2006/relationships/image" Target="media/6.emf"/><Relationship Id="rId10" Type="http://schemas.openxmlformats.org/officeDocument/2006/relationships/oleObject" Target="embeddings/oleObject3.bin"/><Relationship Id="rId11" Type="http://schemas.openxmlformats.org/officeDocument/2006/relationships/image" Target="media/8.emf"/><Relationship Id="rId12" Type="http://schemas.openxmlformats.org/officeDocument/2006/relationships/oleObject" Target="embeddings/oleObject4.bin"/><Relationship Id="rId13" Type="http://schemas.openxmlformats.org/officeDocument/2006/relationships/image" Target="media/10.emf"/><Relationship Id="rId14" Type="http://schemas.openxmlformats.org/officeDocument/2006/relationships/oleObject" Target="embeddings/oleObject5.bin"/><Relationship Id="rId15" Type="http://schemas.openxmlformats.org/officeDocument/2006/relationships/image" Target="media/12.emf"/><Relationship Id="rId16" Type="http://schemas.openxmlformats.org/officeDocument/2006/relationships/oleObject" Target="embeddings/oleObject6.bin"/><Relationship Id="rId17" Type="http://schemas.openxmlformats.org/officeDocument/2006/relationships/image" Target="media/14.emf"/><Relationship Id="rId18" Type="http://schemas.openxmlformats.org/officeDocument/2006/relationships/oleObject" Target="embeddings/oleObject7.bin"/><Relationship Id="rId19" Type="http://schemas.openxmlformats.org/officeDocument/2006/relationships/styles" Target="styles.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1 3000 0 1 1 1 1"/>
    <sectPr/>
  </customProps>
</customData>
</file>

<file path=customXml/itemProps1.xml><?xml version="1.0" encoding="utf-8"?>
<ds:datastoreItem xmlns:ds="http://schemas.openxmlformats.org/officeDocument/2006/customXml" ds:itemID="{FA00DF19-D7C3-4D3D-8E7E-6A13438614C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1092</TotalTime>
  <Application>Yozo_Office27021597764231179</Application>
  <Pages>41</Pages>
  <Words>0</Words>
  <Characters>12285</Characters>
  <Lines>0</Lines>
  <Paragraphs>413</Paragraphs>
  <CharactersWithSpaces>16381</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20</cp:revision>
  <cp:lastPrinted>2023-09-13T10:34:00Z</cp:lastPrinted>
  <dcterms:created xsi:type="dcterms:W3CDTF">2023-09-12T10:20:00Z</dcterms:created>
  <dcterms:modified xsi:type="dcterms:W3CDTF">2024-09-23T03:23:00Z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2052-12.1.0.15990</vt:lpwstr>
  </property>
  <property fmtid="{D5CDD505-2E9C-101B-9397-08002B2CF9AE}" pid="3" name="ICV">
    <vt:lpwstr>2F460456E3CD46379DADEFC5CFBBB961_12</vt:lpwstr>
  </property>
</Properties>
</file>