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eastAsia="方正小标宋简体"/>
          <w:color w:val="000000"/>
          <w:sz w:val="72"/>
          <w:szCs w:val="72"/>
        </w:rPr>
      </w:pPr>
      <w:bookmarkStart w:id="0" w:name="_Toc15306267"/>
      <w:bookmarkStart w:id="1" w:name="_GoBack"/>
      <w:bookmarkEnd w:id="1"/>
    </w:p>
    <w:p>
      <w:pPr>
        <w:spacing w:line="600" w:lineRule="exact"/>
        <w:jc w:val="center"/>
        <w:outlineLvl w:val="0"/>
        <w:rPr>
          <w:rFonts w:eastAsia="方正小标宋简体"/>
          <w:color w:val="000000"/>
          <w:sz w:val="72"/>
          <w:szCs w:val="72"/>
        </w:rPr>
      </w:pPr>
    </w:p>
    <w:p>
      <w:pPr>
        <w:jc w:val="center"/>
        <w:rPr>
          <w:rFonts w:eastAsia="方正小标宋_GBK"/>
          <w:color w:val="000000"/>
          <w:sz w:val="72"/>
          <w:szCs w:val="72"/>
        </w:rPr>
      </w:pPr>
    </w:p>
    <w:p>
      <w:pPr>
        <w:jc w:val="center"/>
        <w:rPr>
          <w:rFonts w:eastAsia="方正小标宋_GBK"/>
          <w:color w:val="000000"/>
          <w:sz w:val="72"/>
          <w:szCs w:val="72"/>
        </w:rPr>
      </w:pPr>
      <w:bookmarkStart w:id="2" w:name="_Toc15377193"/>
      <w:bookmarkStart w:id="3" w:name="_Toc15377425"/>
      <w:bookmarkStart w:id="4" w:name="_Toc15396475"/>
      <w:bookmarkStart w:id="5" w:name="_Toc15396597"/>
      <w:bookmarkStart w:id="6" w:name="_Toc15378441"/>
      <w:r>
        <w:rPr>
          <w:rFonts w:eastAsia="方正小标宋_GBK"/>
          <w:color w:val="000000"/>
          <w:sz w:val="72"/>
          <w:szCs w:val="72"/>
        </w:rPr>
        <w:t>202</w:t>
      </w:r>
      <w:r>
        <w:rPr>
          <w:rFonts w:eastAsia="方正小标宋_GBK" w:hint="eastAsia"/>
          <w:color w:val="000000"/>
          <w:sz w:val="72"/>
          <w:szCs w:val="72"/>
        </w:rPr>
        <w:t>3</w:t>
      </w:r>
      <w:r>
        <w:rPr>
          <w:rFonts w:eastAsia="方正小标宋_GBK"/>
          <w:color w:val="000000"/>
          <w:sz w:val="72"/>
          <w:szCs w:val="72"/>
        </w:rPr>
        <w:t>年度</w:t>
      </w:r>
      <w:bookmarkEnd w:id="2"/>
      <w:bookmarkEnd w:id="3"/>
      <w:bookmarkEnd w:id="4"/>
      <w:bookmarkEnd w:id="5"/>
      <w:bookmarkEnd w:id="6"/>
    </w:p>
    <w:p>
      <w:pPr>
        <w:jc w:val="center"/>
        <w:rPr>
          <w:rFonts w:eastAsia="方正小标宋_GBK"/>
          <w:color w:val="000000"/>
          <w:sz w:val="72"/>
          <w:szCs w:val="72"/>
        </w:rPr>
      </w:pPr>
      <w:bookmarkStart w:id="7" w:name="_Toc15378442"/>
      <w:bookmarkStart w:id="8" w:name="_Toc15377194"/>
      <w:bookmarkStart w:id="9" w:name="_Toc15306268"/>
      <w:bookmarkStart w:id="10" w:name="_Toc15396476"/>
      <w:bookmarkStart w:id="11" w:name="_Toc15377426"/>
      <w:bookmarkStart w:id="12" w:name="_Toc15396598"/>
      <w:bookmarkEnd w:id="0"/>
      <w:r>
        <w:rPr>
          <w:rFonts w:eastAsia="方正小标宋_GBK"/>
          <w:color w:val="000000"/>
          <w:sz w:val="72"/>
          <w:szCs w:val="72"/>
        </w:rPr>
        <w:t>攀枝花市医疗保障局</w:t>
      </w:r>
    </w:p>
    <w:p>
      <w:pPr>
        <w:jc w:val="center"/>
        <w:rPr>
          <w:rFonts w:eastAsia="方正小标宋_GBK"/>
          <w:color w:val="000000"/>
          <w:sz w:val="72"/>
          <w:szCs w:val="72"/>
        </w:rPr>
      </w:pPr>
      <w:r>
        <w:rPr>
          <w:rFonts w:eastAsia="方正小标宋_GBK" w:hint="eastAsia"/>
          <w:color w:val="000000"/>
          <w:sz w:val="72"/>
          <w:szCs w:val="72"/>
          <w:lang w:eastAsia="zh-CN"/>
        </w:rPr>
        <w:t>单位</w:t>
      </w:r>
      <w:r>
        <w:rPr>
          <w:rFonts w:eastAsia="方正小标宋_GBK"/>
          <w:color w:val="000000"/>
          <w:sz w:val="72"/>
          <w:szCs w:val="72"/>
        </w:rPr>
        <w:t>决算</w:t>
      </w:r>
      <w:bookmarkEnd w:id="7"/>
      <w:bookmarkEnd w:id="8"/>
      <w:bookmarkEnd w:id="9"/>
      <w:bookmarkEnd w:id="10"/>
      <w:bookmarkEnd w:id="11"/>
      <w:bookmarkEnd w:id="12"/>
    </w:p>
    <w:p>
      <w:pPr>
        <w:adjustRightInd w:val="0"/>
        <w:snapToGrid w:val="0"/>
        <w:spacing w:line="360" w:lineRule="auto"/>
        <w:jc w:val="center"/>
        <w:outlineLvl w:val="0"/>
        <w:rPr>
          <w:rFonts w:eastAsia="方正小标宋简体"/>
          <w:color w:val="000000"/>
          <w:sz w:val="52"/>
          <w:szCs w:val="52"/>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pStyle w:val="46"/>
        <w:rPr>
          <w:rFonts w:ascii="Times New Roman" w:eastAsia="黑体" w:cs="Times New Roman" w:hAnsi="Times New Roman"/>
          <w:b w:val="0"/>
          <w:bCs w:val="0"/>
          <w:color w:val="000000"/>
          <w:kern w:val="2"/>
          <w:sz w:val="48"/>
          <w:szCs w:val="48"/>
        </w:rPr>
      </w:pPr>
    </w:p>
    <w:p>
      <w:pPr>
        <w:rPr>
          <w:b/>
          <w:bCs/>
          <w:lang w:val="zh-CN"/>
        </w:rPr>
      </w:pPr>
    </w:p>
    <w:sdt>
      <w:sdtPr>
        <w:rPr>
          <w:b/>
          <w:bCs/>
          <w:lang w:val="zh-CN"/>
        </w:rPr>
        <w:id w:val="-703352873"/>
        <w:docPartObj>
          <w:docPartGallery w:val="Table of Contents"/>
          <w:docPartUnique/>
        </w:docPartObj>
      </w:sdtPr>
      <w:sdtEndPr>
        <w:rPr>
          <w:rFonts w:ascii="仿宋_GB2312" w:eastAsia="仿宋_GB2312" w:hint="eastAsia"/>
          <w:b w:val="0"/>
          <w:bCs w:val="0"/>
          <w:sz w:val="32"/>
          <w:szCs w:val="32"/>
          <w:lang w:val="en-US"/>
        </w:rPr>
      </w:sdtEndPr>
      <w:sdtContent>
        <w:p/>
        <w:p>
          <w:pPr>
            <w:pStyle w:val="25"/>
            <w:jc w:val="center"/>
            <w:rPr>
              <w:rFonts w:eastAsia="黑体"/>
              <w:b w:val="0"/>
              <w:sz w:val="32"/>
              <w:szCs w:val="32"/>
            </w:rPr>
          </w:pPr>
          <w:r>
            <w:rPr>
              <w:rFonts w:eastAsia="黑体" w:hAnsi="黑体"/>
              <w:b w:val="0"/>
              <w:sz w:val="32"/>
              <w:szCs w:val="32"/>
            </w:rPr>
            <w:t>目录</w:t>
          </w:r>
        </w:p>
        <w:p>
          <w:pPr>
            <w:pStyle w:val="25"/>
            <w:jc w:val="center"/>
            <w:rPr>
              <w:rFonts w:eastAsia="仿宋"/>
              <w:b w:val="0"/>
              <w:sz w:val="32"/>
              <w:szCs w:val="32"/>
            </w:rPr>
          </w:pPr>
          <w:r>
            <w:rPr>
              <w:rFonts w:eastAsia="仿宋"/>
              <w:b w:val="0"/>
              <w:sz w:val="32"/>
              <w:szCs w:val="32"/>
            </w:rPr>
            <w:t>公开时间：202</w:t>
          </w:r>
          <w:r>
            <w:rPr>
              <w:rFonts w:eastAsia="仿宋" w:hint="eastAsia"/>
              <w:b w:val="0"/>
              <w:sz w:val="32"/>
              <w:szCs w:val="32"/>
            </w:rPr>
            <w:t>4</w:t>
          </w:r>
          <w:r>
            <w:rPr>
              <w:rFonts w:eastAsia="仿宋"/>
              <w:b w:val="0"/>
              <w:sz w:val="32"/>
              <w:szCs w:val="32"/>
            </w:rPr>
            <w:t>年9月</w:t>
          </w:r>
          <w:r>
            <w:rPr>
              <w:rFonts w:eastAsia="仿宋" w:hint="eastAsia"/>
              <w:b w:val="0"/>
              <w:sz w:val="32"/>
              <w:szCs w:val="32"/>
              <w:lang w:val="en-US" w:eastAsia="zh-CN"/>
            </w:rPr>
            <w:t>20</w:t>
          </w:r>
          <w:r>
            <w:rPr>
              <w:rFonts w:eastAsia="仿宋"/>
              <w:b w:val="0"/>
              <w:sz w:val="32"/>
              <w:szCs w:val="32"/>
            </w:rPr>
            <w:t>日</w:t>
          </w:r>
        </w:p>
        <w:p>
          <w:pPr>
            <w:rPr>
              <w:sz w:val="32"/>
              <w:szCs w:val="32"/>
              <w:lang w:val="zh-CN"/>
            </w:rPr>
          </w:pPr>
        </w:p>
        <w:p>
          <w:pPr>
            <w:pStyle w:val="25"/>
            <w:tabs>
              <w:tab w:val="right" w:leader="dot" w:pos="8834"/>
            </w:tabs>
            <w:rPr>
              <w:rFonts w:eastAsia="仿宋_GB2312"/>
              <w:b w:val="0"/>
              <w:bCs w:val="0"/>
              <w:caps w:val="0"/>
              <w:smallCaps w:val="0"/>
              <w:sz w:val="32"/>
              <w:szCs w:val="32"/>
            </w:rPr>
          </w:pPr>
          <w:r>
            <w:rPr>
              <w:rFonts w:eastAsia="仿宋_GB2312"/>
              <w:b w:val="0"/>
              <w:sz w:val="32"/>
              <w:szCs w:val="32"/>
            </w:rPr>
            <w:fldChar w:fldCharType="begin"/>
          </w:r>
          <w:r>
            <w:rPr>
              <w:rFonts w:eastAsia="仿宋_GB2312"/>
              <w:b w:val="0"/>
              <w:sz w:val="32"/>
              <w:szCs w:val="32"/>
            </w:rPr>
            <w:instrText xml:space="preserve"> TOC \o "1-3" \h \z \u </w:instrText>
          </w:r>
          <w:r>
            <w:rPr>
              <w:rFonts w:eastAsia="仿宋_GB2312"/>
              <w:b w:val="0"/>
              <w:sz w:val="32"/>
              <w:szCs w:val="32"/>
            </w:rPr>
            <w:fldChar w:fldCharType="separate"/>
          </w:r>
          <w:r>
            <w:fldChar w:fldCharType="begin"/>
          </w:r>
          <w:r>
            <w:instrText>Hyperlink \l "_Toc145437057"</w:instrText>
          </w:r>
          <w:r>
            <w:fldChar w:fldCharType="separate"/>
          </w:r>
          <w:r>
            <w:rPr>
              <w:rFonts w:eastAsia="仿宋_GB2312"/>
              <w:b w:val="0"/>
              <w:sz w:val="32"/>
              <w:szCs w:val="32"/>
            </w:rPr>
            <w:t xml:space="preserve">第一部分 </w:t>
          </w:r>
          <w:r>
            <w:rPr>
              <w:rFonts w:eastAsia="仿宋_GB2312" w:hint="eastAsia"/>
              <w:b w:val="0"/>
              <w:sz w:val="32"/>
              <w:szCs w:val="32"/>
              <w:lang w:eastAsia="zh-CN"/>
            </w:rPr>
            <w:t>单位</w:t>
          </w:r>
          <w:r>
            <w:rPr>
              <w:rFonts w:eastAsia="仿宋_GB2312"/>
              <w:b w:val="0"/>
              <w:sz w:val="32"/>
              <w:szCs w:val="32"/>
            </w:rPr>
            <w:t>概况</w:t>
            <w:tab/>
          </w:r>
          <w:r>
            <w:rPr>
              <w:rFonts w:eastAsia="仿宋_GB2312"/>
              <w:b w:val="0"/>
              <w:sz w:val="32"/>
              <w:szCs w:val="32"/>
            </w:rPr>
            <w:fldChar w:fldCharType="begin"/>
          </w:r>
          <w:r>
            <w:rPr>
              <w:rFonts w:eastAsia="仿宋_GB2312"/>
              <w:b w:val="0"/>
              <w:sz w:val="32"/>
              <w:szCs w:val="32"/>
            </w:rPr>
            <w:instrText xml:space="preserve"> PAGEREF _Toc145437057 \h </w:instrText>
          </w:r>
          <w:r>
            <w:rPr>
              <w:rFonts w:eastAsia="仿宋_GB2312"/>
              <w:b w:val="0"/>
              <w:sz w:val="32"/>
              <w:szCs w:val="32"/>
            </w:rPr>
            <w:fldChar w:fldCharType="separate"/>
          </w:r>
          <w:r>
            <w:rPr>
              <w:rFonts w:eastAsia="仿宋_GB2312"/>
              <w:b w:val="0"/>
              <w:sz w:val="32"/>
              <w:szCs w:val="32"/>
            </w:rPr>
            <w:t>3</w:t>
          </w:r>
          <w:r>
            <w:rPr>
              <w:rFonts w:eastAsia="仿宋_GB2312"/>
              <w:b w:val="0"/>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"_Toc145437058"</w:instrText>
          </w:r>
          <w:r>
            <w:fldChar w:fldCharType="separate"/>
          </w:r>
          <w:r>
            <w:rPr>
              <w:rFonts w:eastAsia="仿宋_GB2312"/>
              <w:sz w:val="32"/>
              <w:szCs w:val="32"/>
            </w:rPr>
            <w:t>一、</w:t>
          </w:r>
          <w:r>
            <w:rPr>
              <w:rFonts w:eastAsia="仿宋_GB2312" w:hint="eastAsia"/>
              <w:sz w:val="32"/>
              <w:szCs w:val="32"/>
              <w:lang w:eastAsia="zh-CN"/>
            </w:rPr>
            <w:t>单位</w:t>
          </w:r>
          <w:r>
            <w:rPr>
              <w:rFonts w:eastAsia="仿宋_GB2312"/>
              <w:sz w:val="32"/>
              <w:szCs w:val="32"/>
            </w:rPr>
            <w:t>职责</w:t>
            <w:tab/>
          </w:r>
          <w:r>
            <w:rPr>
              <w:rFonts w:eastAsia="仿宋_GB2312"/>
              <w:sz w:val="32"/>
              <w:szCs w:val="32"/>
            </w:rPr>
            <w:fldChar w:fldCharType="begin"/>
          </w:r>
          <w:r>
            <w:rPr>
              <w:rFonts w:eastAsia="仿宋_GB2312"/>
              <w:sz w:val="32"/>
              <w:szCs w:val="32"/>
            </w:rPr>
            <w:instrText xml:space="preserve"> PAGEREF _Toc145437058 \h </w:instrText>
          </w:r>
          <w:r>
            <w:rPr>
              <w:rFonts w:eastAsia="仿宋_GB2312"/>
              <w:sz w:val="32"/>
              <w:szCs w:val="32"/>
            </w:rPr>
            <w:fldChar w:fldCharType="separate"/>
          </w:r>
          <w:r>
            <w:rPr>
              <w:rFonts w:eastAsia="仿宋_GB2312"/>
              <w:sz w:val="32"/>
              <w:szCs w:val="32"/>
            </w:rPr>
            <w:t>3</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"_Toc145437059"</w:instrText>
          </w:r>
          <w:r>
            <w:fldChar w:fldCharType="separate"/>
          </w:r>
          <w:r>
            <w:rPr>
              <w:rFonts w:eastAsia="仿宋_GB2312"/>
              <w:sz w:val="32"/>
              <w:szCs w:val="32"/>
            </w:rPr>
            <w:t>二、机构设置</w:t>
            <w:tab/>
          </w:r>
          <w:r>
            <w:rPr>
              <w:rFonts w:eastAsia="仿宋_GB2312"/>
              <w:sz w:val="32"/>
              <w:szCs w:val="32"/>
            </w:rPr>
            <w:fldChar w:fldCharType="begin"/>
          </w:r>
          <w:r>
            <w:rPr>
              <w:rFonts w:eastAsia="仿宋_GB2312"/>
              <w:sz w:val="32"/>
              <w:szCs w:val="32"/>
            </w:rPr>
            <w:instrText xml:space="preserve"> PAGEREF _Toc145437059 \h </w:instrText>
          </w:r>
          <w:r>
            <w:rPr>
              <w:rFonts w:eastAsia="仿宋_GB2312"/>
              <w:sz w:val="32"/>
              <w:szCs w:val="32"/>
            </w:rPr>
            <w:fldChar w:fldCharType="separate"/>
          </w:r>
          <w:r>
            <w:rPr>
              <w:rFonts w:eastAsia="仿宋_GB2312"/>
              <w:sz w:val="32"/>
              <w:szCs w:val="32"/>
            </w:rPr>
            <w:t>5</w:t>
          </w:r>
          <w:r>
            <w:rPr>
              <w:rFonts w:eastAsia="仿宋_GB2312"/>
              <w:sz w:val="32"/>
              <w:szCs w:val="32"/>
            </w:rPr>
            <w:fldChar w:fldCharType="end"/>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"_Toc145437060"</w:instrText>
          </w:r>
          <w:r>
            <w:fldChar w:fldCharType="separate"/>
          </w:r>
          <w:r>
            <w:rPr>
              <w:rFonts w:eastAsia="仿宋_GB2312"/>
              <w:b w:val="0"/>
              <w:sz w:val="32"/>
              <w:szCs w:val="32"/>
            </w:rPr>
            <w:t>第二部分 202</w:t>
          </w:r>
          <w:r>
            <w:rPr>
              <w:rFonts w:eastAsia="仿宋_GB2312" w:hint="eastAsia"/>
              <w:b w:val="0"/>
              <w:sz w:val="32"/>
              <w:szCs w:val="32"/>
            </w:rPr>
            <w:t>3</w:t>
          </w:r>
          <w:r>
            <w:rPr>
              <w:rFonts w:eastAsia="仿宋_GB2312"/>
              <w:b w:val="0"/>
              <w:sz w:val="32"/>
              <w:szCs w:val="32"/>
            </w:rPr>
            <w:t>年度</w:t>
          </w:r>
          <w:r>
            <w:rPr>
              <w:rFonts w:eastAsia="仿宋_GB2312" w:hint="eastAsia"/>
              <w:b w:val="0"/>
              <w:sz w:val="32"/>
              <w:szCs w:val="32"/>
              <w:lang w:eastAsia="zh-CN"/>
            </w:rPr>
            <w:t>单位</w:t>
          </w:r>
          <w:r>
            <w:rPr>
              <w:rFonts w:eastAsia="仿宋_GB2312"/>
              <w:b w:val="0"/>
              <w:sz w:val="32"/>
              <w:szCs w:val="32"/>
            </w:rPr>
            <w:t>决算情况说明</w:t>
            <w:tab/>
          </w:r>
          <w:r>
            <w:rPr>
              <w:rFonts w:eastAsia="仿宋_GB2312"/>
              <w:b w:val="0"/>
              <w:sz w:val="32"/>
              <w:szCs w:val="32"/>
            </w:rPr>
            <w:fldChar w:fldCharType="begin"/>
          </w:r>
          <w:r>
            <w:rPr>
              <w:rFonts w:eastAsia="仿宋_GB2312"/>
              <w:b w:val="0"/>
              <w:sz w:val="32"/>
              <w:szCs w:val="32"/>
            </w:rPr>
            <w:instrText xml:space="preserve"> PAGEREF _Toc145437060 \h </w:instrText>
          </w:r>
          <w:r>
            <w:rPr>
              <w:rFonts w:eastAsia="仿宋_GB2312"/>
              <w:b w:val="0"/>
              <w:sz w:val="32"/>
              <w:szCs w:val="32"/>
            </w:rPr>
            <w:fldChar w:fldCharType="separate"/>
          </w:r>
          <w:r>
            <w:rPr>
              <w:rFonts w:eastAsia="仿宋_GB2312"/>
              <w:b w:val="0"/>
              <w:sz w:val="32"/>
              <w:szCs w:val="32"/>
            </w:rPr>
            <w:t>6</w:t>
          </w:r>
          <w:r>
            <w:rPr>
              <w:rFonts w:eastAsia="仿宋_GB2312"/>
              <w:b w:val="0"/>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"_Toc145437061"</w:instrText>
          </w:r>
          <w:r>
            <w:fldChar w:fldCharType="separate"/>
          </w:r>
          <w:r>
            <w:rPr>
              <w:rFonts w:eastAsia="仿宋_GB2312"/>
              <w:sz w:val="32"/>
              <w:szCs w:val="32"/>
            </w:rPr>
            <w:t>一、收入支出决算总体情况说明</w:t>
            <w:tab/>
          </w:r>
          <w:r>
            <w:rPr>
              <w:rFonts w:eastAsia="仿宋_GB2312"/>
              <w:sz w:val="32"/>
              <w:szCs w:val="32"/>
            </w:rPr>
            <w:fldChar w:fldCharType="begin"/>
          </w:r>
          <w:r>
            <w:rPr>
              <w:rFonts w:eastAsia="仿宋_GB2312"/>
              <w:sz w:val="32"/>
              <w:szCs w:val="32"/>
            </w:rPr>
            <w:instrText xml:space="preserve"> PAGEREF _Toc145437061 \h </w:instrText>
          </w:r>
          <w:r>
            <w:rPr>
              <w:rFonts w:eastAsia="仿宋_GB2312"/>
              <w:sz w:val="32"/>
              <w:szCs w:val="32"/>
            </w:rPr>
            <w:fldChar w:fldCharType="separate"/>
          </w:r>
          <w:r>
            <w:rPr>
              <w:rFonts w:eastAsia="仿宋_GB2312"/>
              <w:sz w:val="32"/>
              <w:szCs w:val="32"/>
            </w:rPr>
            <w:t>6</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"_Toc145437062"</w:instrText>
          </w:r>
          <w:r>
            <w:fldChar w:fldCharType="separate"/>
          </w:r>
          <w:r>
            <w:rPr>
              <w:rFonts w:eastAsia="仿宋_GB2312"/>
              <w:sz w:val="32"/>
              <w:szCs w:val="32"/>
            </w:rPr>
            <w:t>二、收入决算情况说明</w:t>
            <w:tab/>
          </w:r>
          <w:r>
            <w:rPr>
              <w:rFonts w:eastAsia="仿宋_GB2312"/>
              <w:sz w:val="32"/>
              <w:szCs w:val="32"/>
            </w:rPr>
            <w:fldChar w:fldCharType="begin"/>
          </w:r>
          <w:r>
            <w:rPr>
              <w:rFonts w:eastAsia="仿宋_GB2312"/>
              <w:sz w:val="32"/>
              <w:szCs w:val="32"/>
            </w:rPr>
            <w:instrText xml:space="preserve"> PAGEREF _Toc145437062 \h </w:instrText>
          </w:r>
          <w:r>
            <w:rPr>
              <w:rFonts w:eastAsia="仿宋_GB2312"/>
              <w:sz w:val="32"/>
              <w:szCs w:val="32"/>
            </w:rPr>
            <w:fldChar w:fldCharType="separate"/>
          </w:r>
          <w:r>
            <w:rPr>
              <w:rFonts w:eastAsia="仿宋_GB2312"/>
              <w:sz w:val="32"/>
              <w:szCs w:val="32"/>
            </w:rPr>
            <w:t>6</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"_Toc145437063"</w:instrText>
          </w:r>
          <w:r>
            <w:fldChar w:fldCharType="separate"/>
          </w:r>
          <w:r>
            <w:rPr>
              <w:rFonts w:eastAsia="仿宋_GB2312"/>
              <w:sz w:val="32"/>
              <w:szCs w:val="32"/>
            </w:rPr>
            <w:t>三、支出决算情况说明</w:t>
            <w:tab/>
          </w:r>
          <w:r>
            <w:rPr>
              <w:rFonts w:eastAsia="仿宋_GB2312"/>
              <w:sz w:val="32"/>
              <w:szCs w:val="32"/>
            </w:rPr>
            <w:fldChar w:fldCharType="begin"/>
          </w:r>
          <w:r>
            <w:rPr>
              <w:rFonts w:eastAsia="仿宋_GB2312"/>
              <w:sz w:val="32"/>
              <w:szCs w:val="32"/>
            </w:rPr>
            <w:instrText xml:space="preserve"> PAGEREF _Toc145437063 \h </w:instrText>
          </w:r>
          <w:r>
            <w:rPr>
              <w:rFonts w:eastAsia="仿宋_GB2312"/>
              <w:sz w:val="32"/>
              <w:szCs w:val="32"/>
            </w:rPr>
            <w:fldChar w:fldCharType="separate"/>
          </w:r>
          <w:r>
            <w:rPr>
              <w:rFonts w:eastAsia="仿宋_GB2312"/>
              <w:sz w:val="32"/>
              <w:szCs w:val="32"/>
            </w:rPr>
            <w:t>7</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"_Toc145437064"</w:instrText>
          </w:r>
          <w:r>
            <w:fldChar w:fldCharType="separate"/>
          </w:r>
          <w:r>
            <w:rPr>
              <w:rFonts w:eastAsia="仿宋_GB2312"/>
              <w:sz w:val="32"/>
              <w:szCs w:val="32"/>
            </w:rPr>
            <w:t>四、财政拨款收入支出决算总体情况说明</w:t>
            <w:tab/>
          </w:r>
          <w:r>
            <w:rPr>
              <w:rFonts w:eastAsia="仿宋_GB2312" w:hint="eastAsia"/>
              <w:sz w:val="32"/>
              <w:szCs w:val="32"/>
            </w:rPr>
            <w:t>8</w:t>
          </w:r>
          <w:r>
            <w:fldChar w:fldCharType="end"/>
          </w:r>
        </w:p>
        <w:p>
          <w:pPr>
            <w:pStyle w:val="28"/>
            <w:tabs>
              <w:tab w:val="right" w:leader="dot" w:pos="8834"/>
            </w:tabs>
            <w:rPr>
              <w:rFonts w:eastAsia="仿宋_GB2312"/>
              <w:caps w:val="0"/>
              <w:smallCaps w:val="0"/>
              <w:sz w:val="32"/>
              <w:szCs w:val="32"/>
            </w:rPr>
          </w:pPr>
          <w:r>
            <w:fldChar w:fldCharType="begin"/>
          </w:r>
          <w:r>
            <w:instrText>Hyperlink \l "_Toc145437065"</w:instrText>
          </w:r>
          <w:r>
            <w:fldChar w:fldCharType="separate"/>
          </w:r>
          <w:r>
            <w:rPr>
              <w:rFonts w:eastAsia="仿宋_GB2312"/>
              <w:sz w:val="32"/>
              <w:szCs w:val="32"/>
            </w:rPr>
            <w:t>五、一般公共预算财政拨款支出决算情况说明</w:t>
            <w:tab/>
          </w:r>
          <w:r>
            <w:rPr>
              <w:rFonts w:eastAsia="仿宋_GB2312"/>
              <w:sz w:val="32"/>
              <w:szCs w:val="32"/>
            </w:rPr>
            <w:fldChar w:fldCharType="begin"/>
          </w:r>
          <w:r>
            <w:rPr>
              <w:rFonts w:eastAsia="仿宋_GB2312"/>
              <w:sz w:val="32"/>
              <w:szCs w:val="32"/>
            </w:rPr>
            <w:instrText xml:space="preserve"> PAGEREF _Toc145437065 \h </w:instrText>
          </w:r>
          <w:r>
            <w:rPr>
              <w:rFonts w:eastAsia="仿宋_GB2312"/>
              <w:sz w:val="32"/>
              <w:szCs w:val="32"/>
            </w:rPr>
            <w:fldChar w:fldCharType="separate"/>
          </w:r>
          <w:r>
            <w:rPr>
              <w:rFonts w:eastAsia="仿宋_GB2312"/>
              <w:sz w:val="32"/>
              <w:szCs w:val="32"/>
            </w:rPr>
            <w:t>8</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"_Toc145437066"</w:instrText>
          </w:r>
          <w:r>
            <w:fldChar w:fldCharType="separate"/>
          </w:r>
          <w:r>
            <w:rPr>
              <w:rFonts w:eastAsia="仿宋_GB2312"/>
              <w:sz w:val="32"/>
              <w:szCs w:val="32"/>
            </w:rPr>
            <w:t>六、一般公共预算财政拨款基本支出决算情况说明</w:t>
            <w:tab/>
          </w:r>
          <w:r>
            <w:rPr>
              <w:rFonts w:eastAsia="仿宋_GB2312"/>
              <w:sz w:val="32"/>
              <w:szCs w:val="32"/>
            </w:rPr>
            <w:fldChar w:fldCharType="begin"/>
          </w:r>
          <w:r>
            <w:rPr>
              <w:rFonts w:eastAsia="仿宋_GB2312"/>
              <w:sz w:val="32"/>
              <w:szCs w:val="32"/>
            </w:rPr>
            <w:instrText xml:space="preserve"> PAGEREF _Toc145437066 \h </w:instrText>
          </w:r>
          <w:r>
            <w:rPr>
              <w:rFonts w:eastAsia="仿宋_GB2312"/>
              <w:sz w:val="32"/>
              <w:szCs w:val="32"/>
            </w:rPr>
            <w:fldChar w:fldCharType="separate"/>
          </w:r>
          <w:r>
            <w:rPr>
              <w:rFonts w:eastAsia="仿宋_GB2312"/>
              <w:sz w:val="32"/>
              <w:szCs w:val="32"/>
            </w:rPr>
            <w:t>1</w:t>
          </w:r>
          <w:r>
            <w:rPr>
              <w:rFonts w:eastAsia="仿宋_GB2312" w:hint="eastAsia"/>
              <w:sz w:val="32"/>
              <w:szCs w:val="32"/>
            </w:rPr>
            <w:t>1</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"_Toc145437067"</w:instrText>
          </w:r>
          <w:r>
            <w:fldChar w:fldCharType="separate"/>
          </w:r>
          <w:r>
            <w:rPr>
              <w:rFonts w:eastAsia="仿宋_GB2312"/>
              <w:sz w:val="32"/>
              <w:szCs w:val="32"/>
            </w:rPr>
            <w:t>七、财政拨款“三公”经费支出决算情况说明</w:t>
            <w:tab/>
          </w:r>
          <w:r>
            <w:rPr>
              <w:rFonts w:eastAsia="仿宋_GB2312"/>
              <w:sz w:val="32"/>
              <w:szCs w:val="32"/>
            </w:rPr>
            <w:fldChar w:fldCharType="begin"/>
          </w:r>
          <w:r>
            <w:rPr>
              <w:rFonts w:eastAsia="仿宋_GB2312"/>
              <w:sz w:val="32"/>
              <w:szCs w:val="32"/>
            </w:rPr>
            <w:instrText xml:space="preserve"> PAGEREF _Toc145437067 \h </w:instrText>
          </w:r>
          <w:r>
            <w:rPr>
              <w:rFonts w:eastAsia="仿宋_GB2312"/>
              <w:sz w:val="32"/>
              <w:szCs w:val="32"/>
            </w:rPr>
            <w:fldChar w:fldCharType="separate"/>
          </w:r>
          <w:r>
            <w:rPr>
              <w:rFonts w:eastAsia="仿宋_GB2312"/>
              <w:sz w:val="32"/>
              <w:szCs w:val="32"/>
            </w:rPr>
            <w:t>1</w:t>
          </w:r>
          <w:r>
            <w:rPr>
              <w:rFonts w:eastAsia="仿宋_GB2312" w:hint="eastAsia"/>
              <w:sz w:val="32"/>
              <w:szCs w:val="32"/>
            </w:rPr>
            <w:t>2</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"_Toc145437068"</w:instrText>
          </w:r>
          <w:r>
            <w:fldChar w:fldCharType="separate"/>
          </w:r>
          <w:r>
            <w:rPr>
              <w:rFonts w:eastAsia="仿宋_GB2312"/>
              <w:sz w:val="32"/>
              <w:szCs w:val="32"/>
            </w:rPr>
            <w:t>八、政府性基金预算支出决算情况说明</w:t>
            <w:tab/>
          </w:r>
          <w:r>
            <w:rPr>
              <w:rFonts w:eastAsia="仿宋_GB2312"/>
              <w:sz w:val="32"/>
              <w:szCs w:val="32"/>
            </w:rPr>
            <w:fldChar w:fldCharType="begin"/>
          </w:r>
          <w:r>
            <w:rPr>
              <w:rFonts w:eastAsia="仿宋_GB2312"/>
              <w:sz w:val="32"/>
              <w:szCs w:val="32"/>
            </w:rPr>
            <w:instrText xml:space="preserve"> PAGEREF _Toc145437068 \h </w:instrText>
          </w:r>
          <w:r>
            <w:rPr>
              <w:rFonts w:eastAsia="仿宋_GB2312"/>
              <w:sz w:val="32"/>
              <w:szCs w:val="32"/>
            </w:rPr>
            <w:fldChar w:fldCharType="separate"/>
          </w:r>
          <w:r>
            <w:rPr>
              <w:rFonts w:eastAsia="仿宋_GB2312"/>
              <w:sz w:val="32"/>
              <w:szCs w:val="32"/>
            </w:rPr>
            <w:t>1</w:t>
          </w:r>
          <w:r>
            <w:rPr>
              <w:rFonts w:eastAsia="仿宋_GB2312" w:hint="eastAsia"/>
              <w:sz w:val="32"/>
              <w:szCs w:val="32"/>
            </w:rPr>
            <w:t>5</w:t>
          </w:r>
          <w:r>
            <w:rPr>
              <w:rFonts w:eastAsia="仿宋_GB2312"/>
              <w:sz w:val="32"/>
              <w:szCs w:val="32"/>
            </w:rPr>
            <w:fldChar w:fldCharType="end"/>
          </w:r>
          <w:r>
            <w:fldChar w:fldCharType="end"/>
          </w:r>
        </w:p>
        <w:p>
          <w:pPr>
            <w:pStyle w:val="28"/>
            <w:tabs>
              <w:tab w:val="right" w:leader="dot" w:pos="8834"/>
            </w:tabs>
            <w:rPr>
              <w:rFonts w:eastAsia="仿宋_GB2312"/>
              <w:sz w:val="32"/>
              <w:szCs w:val="32"/>
            </w:rPr>
          </w:pPr>
          <w:r>
            <w:fldChar w:fldCharType="begin"/>
          </w:r>
          <w:r>
            <w:instrText>Hyperlink \l "_Toc145437069"</w:instrText>
          </w:r>
          <w:r>
            <w:fldChar w:fldCharType="separate"/>
          </w:r>
          <w:r>
            <w:rPr>
              <w:rFonts w:eastAsia="仿宋_GB2312"/>
              <w:sz w:val="32"/>
              <w:szCs w:val="32"/>
            </w:rPr>
            <w:t>九、国有资本经营预算支出决算情况说明</w:t>
            <w:tab/>
          </w:r>
          <w:r>
            <w:rPr>
              <w:rFonts w:eastAsia="仿宋_GB2312"/>
              <w:sz w:val="32"/>
              <w:szCs w:val="32"/>
            </w:rPr>
            <w:fldChar w:fldCharType="begin"/>
          </w:r>
          <w:r>
            <w:rPr>
              <w:rFonts w:eastAsia="仿宋_GB2312"/>
              <w:sz w:val="32"/>
              <w:szCs w:val="32"/>
            </w:rPr>
            <w:instrText xml:space="preserve"> PAGEREF _Toc145437069 \h </w:instrText>
          </w:r>
          <w:r>
            <w:rPr>
              <w:rFonts w:eastAsia="仿宋_GB2312"/>
              <w:sz w:val="32"/>
              <w:szCs w:val="32"/>
            </w:rPr>
            <w:fldChar w:fldCharType="separate"/>
          </w:r>
          <w:r>
            <w:rPr>
              <w:rFonts w:eastAsia="仿宋_GB2312"/>
              <w:sz w:val="32"/>
              <w:szCs w:val="32"/>
            </w:rPr>
            <w:t>1</w:t>
          </w:r>
          <w:r>
            <w:rPr>
              <w:rFonts w:eastAsia="仿宋_GB2312" w:hint="eastAsia"/>
              <w:sz w:val="32"/>
              <w:szCs w:val="32"/>
            </w:rPr>
            <w:t>5</w:t>
          </w:r>
          <w:r>
            <w:rPr>
              <w:rFonts w:eastAsia="仿宋_GB2312"/>
              <w:sz w:val="32"/>
              <w:szCs w:val="32"/>
            </w:rPr>
            <w:fldChar w:fldCharType="end"/>
          </w:r>
          <w:r>
            <w:fldChar w:fldCharType="end"/>
          </w:r>
        </w:p>
        <w:p>
          <w:pPr>
            <w:pStyle w:val="28"/>
            <w:tabs>
              <w:tab w:val="right" w:leader="dot" w:pos="8834"/>
            </w:tabs>
            <w:rPr>
              <w:rFonts w:eastAsia="仿宋_GB2312"/>
              <w:sz w:val="32"/>
              <w:szCs w:val="32"/>
            </w:rPr>
          </w:pPr>
          <w:r>
            <w:fldChar w:fldCharType="begin"/>
          </w:r>
          <w:r>
            <w:instrText>Hyperlink \l "_Toc145437069"</w:instrText>
          </w:r>
          <w:r>
            <w:fldChar w:fldCharType="separate"/>
          </w:r>
          <w:r>
            <w:rPr>
              <w:rFonts w:eastAsia="仿宋_GB2312" w:hint="eastAsia"/>
              <w:sz w:val="32"/>
              <w:szCs w:val="32"/>
            </w:rPr>
            <w:t>十</w:t>
          </w:r>
          <w:r>
            <w:rPr>
              <w:rFonts w:eastAsia="仿宋_GB2312"/>
              <w:sz w:val="32"/>
              <w:szCs w:val="32"/>
            </w:rPr>
            <w:t>、</w:t>
          </w:r>
          <w:r>
            <w:rPr>
              <w:rFonts w:eastAsia="仿宋_GB2312" w:hint="eastAsia"/>
              <w:sz w:val="32"/>
              <w:szCs w:val="32"/>
            </w:rPr>
            <w:t>其他重要事项的</w:t>
          </w:r>
          <w:r>
            <w:rPr>
              <w:rFonts w:eastAsia="仿宋_GB2312"/>
              <w:sz w:val="32"/>
              <w:szCs w:val="32"/>
            </w:rPr>
            <w:t>情况说明</w:t>
            <w:tab/>
          </w:r>
          <w:r>
            <w:rPr>
              <w:rFonts w:eastAsia="仿宋_GB2312"/>
              <w:sz w:val="32"/>
              <w:szCs w:val="32"/>
            </w:rPr>
            <w:fldChar w:fldCharType="begin"/>
          </w:r>
          <w:r>
            <w:rPr>
              <w:rFonts w:eastAsia="仿宋_GB2312"/>
              <w:sz w:val="32"/>
              <w:szCs w:val="32"/>
            </w:rPr>
            <w:instrText xml:space="preserve"> PAGEREF _Toc145437069 \h </w:instrText>
          </w:r>
          <w:r>
            <w:rPr>
              <w:rFonts w:eastAsia="仿宋_GB2312"/>
              <w:sz w:val="32"/>
              <w:szCs w:val="32"/>
            </w:rPr>
            <w:fldChar w:fldCharType="separate"/>
          </w:r>
          <w:r>
            <w:rPr>
              <w:rFonts w:eastAsia="仿宋_GB2312"/>
              <w:sz w:val="32"/>
              <w:szCs w:val="32"/>
            </w:rPr>
            <w:t>1</w:t>
          </w:r>
          <w:r>
            <w:rPr>
              <w:rFonts w:eastAsia="仿宋_GB2312" w:hint="eastAsia"/>
              <w:sz w:val="32"/>
              <w:szCs w:val="32"/>
            </w:rPr>
            <w:t>5</w:t>
          </w:r>
          <w:r>
            <w:rPr>
              <w:rFonts w:eastAsia="仿宋_GB2312"/>
              <w:sz w:val="32"/>
              <w:szCs w:val="32"/>
            </w:rPr>
            <w:fldChar w:fldCharType="end"/>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"_Toc145437070"</w:instrText>
          </w:r>
          <w:r>
            <w:fldChar w:fldCharType="separate"/>
          </w:r>
          <w:r>
            <w:rPr>
              <w:rFonts w:eastAsia="仿宋_GB2312"/>
              <w:b w:val="0"/>
              <w:kern w:val="44"/>
              <w:sz w:val="32"/>
              <w:szCs w:val="32"/>
            </w:rPr>
            <w:t>第三部分</w:t>
          </w:r>
          <w:r>
            <w:rPr>
              <w:rFonts w:eastAsia="仿宋_GB2312"/>
              <w:b w:val="0"/>
              <w:sz w:val="32"/>
              <w:szCs w:val="32"/>
            </w:rPr>
            <w:t xml:space="preserve"> 名</w:t>
          </w:r>
          <w:r>
            <w:rPr>
              <w:rFonts w:eastAsia="仿宋_GB2312"/>
              <w:b w:val="0"/>
              <w:kern w:val="44"/>
              <w:sz w:val="32"/>
              <w:szCs w:val="32"/>
            </w:rPr>
            <w:t>词解释</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_Toc145437070 \h </w:instrText>
          </w:r>
          <w:r>
            <w:rPr>
              <w:rFonts w:eastAsia="仿宋_GB2312"/>
              <w:b w:val="0"/>
              <w:sz w:val="32"/>
              <w:szCs w:val="32"/>
            </w:rPr>
            <w:fldChar w:fldCharType="separate"/>
          </w:r>
          <w:r>
            <w:rPr>
              <w:rFonts w:eastAsia="仿宋_GB2312"/>
              <w:b w:val="0"/>
              <w:sz w:val="32"/>
              <w:szCs w:val="32"/>
            </w:rPr>
            <w:t>1</w:t>
          </w:r>
          <w:r>
            <w:rPr>
              <w:rFonts w:eastAsia="仿宋_GB2312" w:hint="eastAsia"/>
              <w:b w:val="0"/>
              <w:sz w:val="32"/>
              <w:szCs w:val="32"/>
            </w:rPr>
            <w:t>9</w:t>
          </w:r>
          <w:r>
            <w:rPr>
              <w:rFonts w:eastAsia="仿宋_GB2312"/>
              <w:b w:val="0"/>
              <w:sz w:val="32"/>
              <w:szCs w:val="32"/>
            </w:rPr>
            <w:fldChar w:fldCharType="end"/>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"_Toc145437071"</w:instrText>
          </w:r>
          <w:r>
            <w:fldChar w:fldCharType="separate"/>
          </w:r>
          <w:r>
            <w:rPr>
              <w:rFonts w:eastAsia="仿宋_GB2312"/>
              <w:b w:val="0"/>
              <w:sz w:val="32"/>
              <w:szCs w:val="32"/>
            </w:rPr>
            <w:t>第</w:t>
          </w:r>
          <w:r>
            <w:rPr>
              <w:rFonts w:eastAsia="仿宋_GB2312"/>
              <w:b w:val="0"/>
              <w:kern w:val="44"/>
              <w:sz w:val="32"/>
              <w:szCs w:val="32"/>
            </w:rPr>
            <w:t>四部分 附件</w:t>
          </w:r>
          <w:r>
            <w:rPr>
              <w:rFonts w:eastAsia="仿宋_GB2312"/>
              <w:b w:val="0"/>
              <w:sz w:val="32"/>
              <w:szCs w:val="32"/>
            </w:rPr>
            <w:tab/>
          </w:r>
          <w:r>
            <w:rPr>
              <w:rFonts w:eastAsia="仿宋_GB2312" w:hint="eastAsia"/>
              <w:b w:val="0"/>
              <w:sz w:val="32"/>
              <w:szCs w:val="32"/>
            </w:rPr>
            <w:t>21</w:t>
          </w:r>
          <w:r>
            <w:fldChar w:fldCharType="end"/>
          </w:r>
        </w:p>
        <w:p>
          <w:pPr>
            <w:pStyle w:val="28"/>
            <w:tabs>
              <w:tab w:val="right" w:leader="dot" w:pos="8834"/>
            </w:tabs>
            <w:rPr>
              <w:rFonts w:eastAsia="仿宋_GB2312"/>
              <w:caps w:val="0"/>
              <w:smallCaps w:val="0"/>
              <w:sz w:val="32"/>
              <w:szCs w:val="32"/>
            </w:rPr>
          </w:pPr>
          <w:r>
            <w:fldChar w:fldCharType="begin"/>
          </w:r>
          <w:r>
            <w:instrText>Hyperlink \l "_Toc145437072"</w:instrText>
          </w:r>
          <w:r>
            <w:fldChar w:fldCharType="separate"/>
          </w:r>
          <w:r>
            <w:rPr>
              <w:rFonts w:eastAsia="仿宋_GB2312"/>
              <w:sz w:val="32"/>
              <w:szCs w:val="32"/>
            </w:rPr>
            <w:t>附件1</w:t>
            <w:tab/>
          </w:r>
          <w:r>
            <w:rPr>
              <w:rFonts w:eastAsia="仿宋_GB2312" w:hint="eastAsia"/>
              <w:sz w:val="32"/>
              <w:szCs w:val="32"/>
            </w:rPr>
            <w:t>21</w:t>
          </w:r>
          <w:r>
            <w:fldChar w:fldCharType="end"/>
          </w:r>
        </w:p>
        <w:p>
          <w:pPr>
            <w:pStyle w:val="28"/>
            <w:tabs>
              <w:tab w:val="right" w:leader="dot" w:pos="8834"/>
            </w:tabs>
            <w:rPr>
              <w:rFonts w:eastAsia="仿宋_GB2312"/>
              <w:caps w:val="0"/>
              <w:smallCaps w:val="0"/>
              <w:sz w:val="32"/>
              <w:szCs w:val="32"/>
            </w:rPr>
          </w:pPr>
          <w:r>
            <w:fldChar w:fldCharType="begin"/>
          </w:r>
          <w:r>
            <w:instrText>Hyperlink \l "_Toc145437073"</w:instrText>
          </w:r>
          <w:r>
            <w:fldChar w:fldCharType="separate"/>
          </w:r>
          <w:r>
            <w:rPr>
              <w:rFonts w:eastAsia="仿宋_GB2312"/>
              <w:sz w:val="32"/>
              <w:szCs w:val="32"/>
            </w:rPr>
            <w:t>附件2</w:t>
            <w:tab/>
          </w:r>
          <w:r>
            <w:rPr>
              <w:rFonts w:eastAsia="仿宋_GB2312" w:hint="eastAsia"/>
              <w:sz w:val="32"/>
              <w:szCs w:val="32"/>
            </w:rPr>
            <w:t>28</w:t>
          </w:r>
          <w:r>
            <w:fldChar w:fldCharType="end"/>
          </w:r>
        </w:p>
        <w:p>
          <w:pPr>
            <w:pStyle w:val="28"/>
            <w:tabs>
              <w:tab w:val="right" w:leader="dot" w:pos="8834"/>
            </w:tabs>
            <w:rPr>
              <w:rFonts w:eastAsia="仿宋_GB2312"/>
              <w:sz w:val="32"/>
              <w:szCs w:val="32"/>
            </w:rPr>
          </w:pPr>
          <w:r>
            <w:fldChar w:fldCharType="begin"/>
          </w:r>
          <w:r>
            <w:instrText>Hyperlink \l "_Toc145437074"</w:instrText>
          </w:r>
          <w:r>
            <w:fldChar w:fldCharType="separate"/>
          </w:r>
          <w:r>
            <w:rPr>
              <w:rFonts w:eastAsia="仿宋_GB2312"/>
              <w:sz w:val="32"/>
              <w:szCs w:val="32"/>
            </w:rPr>
            <w:t>附件3</w:t>
            <w:tab/>
          </w:r>
          <w:r>
            <w:rPr>
              <w:rFonts w:eastAsia="仿宋_GB2312" w:hint="eastAsia"/>
              <w:sz w:val="32"/>
              <w:szCs w:val="32"/>
            </w:rPr>
            <w:t>32</w:t>
          </w:r>
          <w:r>
            <w:fldChar w:fldCharType="end"/>
          </w:r>
        </w:p>
        <w:p>
          <w:pPr>
            <w:pStyle w:val="28"/>
            <w:tabs>
              <w:tab w:val="right" w:leader="dot" w:pos="8834"/>
            </w:tabs>
            <w:rPr>
              <w:rFonts w:eastAsia="仿宋_GB2312" w:hint="eastAsia"/>
              <w:sz w:val="32"/>
              <w:szCs w:val="32"/>
            </w:rPr>
          </w:pPr>
          <w:r>
            <w:fldChar w:fldCharType="begin"/>
          </w:r>
          <w:r>
            <w:instrText>Hyperlink \l "_Toc145437074"</w:instrText>
          </w:r>
          <w:r>
            <w:fldChar w:fldCharType="separate"/>
          </w:r>
          <w:r>
            <w:rPr>
              <w:rFonts w:eastAsia="仿宋_GB2312"/>
              <w:sz w:val="32"/>
              <w:szCs w:val="32"/>
            </w:rPr>
            <w:t>附件</w:t>
          </w:r>
          <w:r>
            <w:rPr>
              <w:rFonts w:eastAsia="仿宋_GB2312" w:hint="eastAsia"/>
              <w:sz w:val="32"/>
              <w:szCs w:val="32"/>
            </w:rPr>
            <w:t>4</w:t>
          </w:r>
          <w:r>
            <w:rPr>
              <w:rFonts w:eastAsia="仿宋_GB2312"/>
              <w:sz w:val="32"/>
              <w:szCs w:val="32"/>
            </w:rPr>
            <w:tab/>
          </w:r>
          <w:r>
            <w:rPr>
              <w:rFonts w:eastAsia="仿宋_GB2312" w:hint="eastAsia"/>
              <w:sz w:val="32"/>
              <w:szCs w:val="32"/>
            </w:rPr>
            <w:t>35</w:t>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"_Toc145437075"</w:instrText>
          </w:r>
          <w:r>
            <w:fldChar w:fldCharType="separate"/>
          </w:r>
          <w:r>
            <w:rPr>
              <w:rFonts w:eastAsia="仿宋_GB2312"/>
              <w:b w:val="0"/>
              <w:sz w:val="32"/>
              <w:szCs w:val="32"/>
            </w:rPr>
            <w:t>第</w:t>
          </w:r>
          <w:r>
            <w:rPr>
              <w:rFonts w:eastAsia="仿宋_GB2312"/>
              <w:b w:val="0"/>
              <w:kern w:val="44"/>
              <w:sz w:val="32"/>
              <w:szCs w:val="32"/>
            </w:rPr>
            <w:t>五部分 附表</w:t>
          </w:r>
          <w:r>
            <w:rPr>
              <w:rFonts w:eastAsia="仿宋_GB2312"/>
              <w:b w:val="0"/>
              <w:sz w:val="32"/>
              <w:szCs w:val="32"/>
            </w:rPr>
            <w:tab/>
          </w:r>
          <w:r>
            <w:rPr>
              <w:rFonts w:eastAsia="仿宋_GB2312" w:hint="eastAsia"/>
              <w:b w:val="0"/>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"_Toc145437076"</w:instrText>
          </w:r>
          <w:r>
            <w:fldChar w:fldCharType="separate"/>
          </w:r>
          <w:r>
            <w:rPr>
              <w:rFonts w:eastAsia="仿宋_GB2312"/>
              <w:sz w:val="32"/>
              <w:szCs w:val="32"/>
            </w:rPr>
            <w:t>一、收入支出决算总表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"_Toc145437077"</w:instrText>
          </w:r>
          <w:r>
            <w:fldChar w:fldCharType="separate"/>
          </w:r>
          <w:r>
            <w:rPr>
              <w:rFonts w:eastAsia="仿宋_GB2312"/>
              <w:sz w:val="32"/>
              <w:szCs w:val="32"/>
            </w:rPr>
            <w:t>二、收入决算表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"_Toc145437078"</w:instrText>
          </w:r>
          <w:r>
            <w:fldChar w:fldCharType="separate"/>
          </w:r>
          <w:r>
            <w:rPr>
              <w:rFonts w:eastAsia="仿宋_GB2312"/>
              <w:sz w:val="32"/>
              <w:szCs w:val="32"/>
            </w:rPr>
            <w:t>三、支出决算表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"_Toc145437079"</w:instrText>
          </w:r>
          <w:r>
            <w:fldChar w:fldCharType="separate"/>
          </w:r>
          <w:r>
            <w:rPr>
              <w:rFonts w:eastAsia="仿宋_GB2312"/>
              <w:sz w:val="32"/>
              <w:szCs w:val="32"/>
            </w:rPr>
            <w:t>四、财政拨款收入支出决算总表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"_Toc145437080"</w:instrText>
          </w:r>
          <w:r>
            <w:fldChar w:fldCharType="separate"/>
          </w:r>
          <w:r>
            <w:rPr>
              <w:rFonts w:eastAsia="仿宋_GB2312"/>
              <w:sz w:val="32"/>
              <w:szCs w:val="32"/>
            </w:rPr>
            <w:t>五、财政拨款支出决算明细表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"_Toc145437081"</w:instrText>
          </w:r>
          <w:r>
            <w:fldChar w:fldCharType="separate"/>
          </w:r>
          <w:r>
            <w:rPr>
              <w:rFonts w:eastAsia="仿宋_GB2312"/>
              <w:sz w:val="32"/>
              <w:szCs w:val="32"/>
            </w:rPr>
            <w:t>六、一般公共预算财政拨款支出决算表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"_Toc145437082"</w:instrText>
          </w:r>
          <w:r>
            <w:fldChar w:fldCharType="separate"/>
          </w:r>
          <w:r>
            <w:rPr>
              <w:rFonts w:eastAsia="仿宋_GB2312"/>
              <w:sz w:val="32"/>
              <w:szCs w:val="32"/>
            </w:rPr>
            <w:t>七、一般公共预算财政拨款支出决算明细表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"_Toc145437083"</w:instrText>
          </w:r>
          <w:r>
            <w:fldChar w:fldCharType="separate"/>
          </w:r>
          <w:r>
            <w:rPr>
              <w:rFonts w:eastAsia="仿宋_GB2312"/>
              <w:sz w:val="32"/>
              <w:szCs w:val="32"/>
            </w:rPr>
            <w:t>八、一般公共预算财政拨款基本支出决算表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"_Toc145437084"</w:instrText>
          </w:r>
          <w:r>
            <w:fldChar w:fldCharType="separate"/>
          </w:r>
          <w:r>
            <w:rPr>
              <w:rFonts w:eastAsia="仿宋_GB2312"/>
              <w:sz w:val="32"/>
              <w:szCs w:val="32"/>
            </w:rPr>
            <w:t>九、一般公共预算财政拨款项目支出决算表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"_Toc145437085"</w:instrText>
          </w:r>
          <w:r>
            <w:fldChar w:fldCharType="separate"/>
          </w:r>
          <w:r>
            <w:rPr>
              <w:rFonts w:eastAsia="仿宋_GB2312"/>
              <w:sz w:val="32"/>
              <w:szCs w:val="32"/>
            </w:rPr>
            <w:t>十、政府性基金预算财政拨款收入支出决算表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"_Toc145437086"</w:instrText>
          </w:r>
          <w:r>
            <w:fldChar w:fldCharType="separate"/>
          </w:r>
          <w:r>
            <w:rPr>
              <w:rFonts w:eastAsia="仿宋_GB2312"/>
              <w:sz w:val="32"/>
              <w:szCs w:val="32"/>
            </w:rPr>
            <w:t>十一、国有资本经营预算财政拨款收入支出决算表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"_Toc145437087"</w:instrText>
          </w:r>
          <w:r>
            <w:fldChar w:fldCharType="separate"/>
          </w:r>
          <w:r>
            <w:rPr>
              <w:rFonts w:eastAsia="仿宋_GB2312"/>
              <w:sz w:val="32"/>
              <w:szCs w:val="32"/>
            </w:rPr>
            <w:t>十二、国有资本经营预算财政拨款支出决算表</w:t>
            <w:tab/>
          </w:r>
          <w:r>
            <w:rPr>
              <w:rFonts w:eastAsia="仿宋_GB2312" w:hint="eastAsia"/>
              <w:sz w:val="32"/>
              <w:szCs w:val="32"/>
            </w:rPr>
            <w:t>39</w:t>
          </w:r>
          <w:r>
            <w:fldChar w:fldCharType="end"/>
          </w:r>
        </w:p>
        <w:p>
          <w:pPr>
            <w:pStyle w:val="28"/>
            <w:tabs>
              <w:tab w:val="right" w:leader="dot" w:pos="8834"/>
            </w:tabs>
            <w:spacing w:before="93"/>
            <w:rPr>
              <w:rFonts w:eastAsia="仿宋_GB2312"/>
              <w:caps w:val="0"/>
              <w:smallCaps w:val="0"/>
              <w:sz w:val="32"/>
              <w:szCs w:val="32"/>
            </w:rPr>
          </w:pPr>
          <w:r>
            <w:fldChar w:fldCharType="begin"/>
          </w:r>
          <w:r>
            <w:instrText>Hyperlink \l "_Toc145437088"</w:instrText>
          </w:r>
          <w:r>
            <w:fldChar w:fldCharType="separate"/>
          </w:r>
          <w:r>
            <w:rPr>
              <w:rFonts w:eastAsia="仿宋_GB2312"/>
              <w:sz w:val="32"/>
              <w:szCs w:val="32"/>
            </w:rPr>
            <w:t>十三、财政拨款“三公”经费支出决算表</w:t>
            <w:tab/>
          </w:r>
          <w:r>
            <w:rPr>
              <w:rFonts w:eastAsia="仿宋_GB2312" w:hint="eastAsia"/>
              <w:sz w:val="32"/>
              <w:szCs w:val="32"/>
            </w:rPr>
            <w:t>39</w:t>
          </w:r>
          <w:r>
            <w:fldChar w:fldCharType="end"/>
          </w:r>
        </w:p>
        <w:p>
          <w:pPr>
            <w:rPr>
              <w:rFonts w:ascii="仿宋_GB2312" w:eastAsia="仿宋_GB2312"/>
              <w:sz w:val="32"/>
              <w:szCs w:val="32"/>
            </w:rPr>
          </w:pPr>
          <w:r>
            <w:rPr>
              <w:rFonts w:eastAsia="仿宋_GB2312"/>
              <w:sz w:val="32"/>
              <w:szCs w:val="32"/>
            </w:rPr>
            <w:fldChar w:fldCharType="end"/>
          </w:r>
        </w:p>
      </w:sdtContent>
    </w:sdt>
    <w:p/>
    <w:p>
      <w:pPr>
        <w:tabs>
          <w:tab w:val="left" w:pos="2760"/>
        </w:tabs>
      </w:pPr>
      <w:bookmarkStart w:id="13" w:name="_Toc15396599"/>
      <w:bookmarkStart w:id="14" w:name="_Toc15377196"/>
    </w:p>
    <w:p>
      <w:pPr>
        <w:pStyle w:val="1"/>
        <w:jc w:val="center"/>
        <w:rPr>
          <w:rFonts w:eastAsia="黑体"/>
          <w:bCs w:val="0"/>
        </w:rPr>
      </w:pPr>
      <w:bookmarkStart w:id="15" w:name="_Toc145434810"/>
      <w:bookmarkStart w:id="16" w:name="_Toc145437057"/>
      <w:bookmarkEnd w:id="13"/>
      <w:bookmarkEnd w:id="14"/>
      <w:r>
        <w:rPr>
          <w:rFonts w:eastAsia="黑体"/>
          <w:b w:val="0"/>
        </w:rPr>
        <w:t>第一部分</w:t>
      </w:r>
      <w:r>
        <w:rPr>
          <w:rFonts w:eastAsia="黑体" w:hint="eastAsia"/>
          <w:b w:val="0"/>
        </w:rPr>
        <w:t xml:space="preserve"> </w:t>
      </w:r>
      <w:r>
        <w:rPr>
          <w:rStyle w:val="1Char"/>
          <w:rFonts w:eastAsia="黑体" w:hint="eastAsia"/>
          <w:b w:val="0"/>
          <w:bCs w:val="0"/>
        </w:rPr>
        <w:t>单位</w:t>
      </w:r>
      <w:r>
        <w:rPr>
          <w:rStyle w:val="1Char"/>
          <w:rFonts w:eastAsia="黑体"/>
          <w:b w:val="0"/>
          <w:bCs w:val="0"/>
        </w:rPr>
        <w:t>概况</w:t>
      </w:r>
      <w:bookmarkEnd w:id="15"/>
      <w:bookmarkEnd w:id="16"/>
    </w:p>
    <w:p>
      <w:pPr>
        <w:pStyle w:val="2"/>
        <w:rPr>
          <w:rFonts w:ascii="Times New Roman" w:eastAsia="黑体" w:hAnsi="Times New Roman"/>
          <w:b w:val="0"/>
        </w:rPr>
      </w:pPr>
      <w:bookmarkStart w:id="17" w:name="_Toc145437058"/>
      <w:bookmarkStart w:id="18" w:name="_Toc145434811"/>
      <w:bookmarkStart w:id="19" w:name="_Toc82085531"/>
      <w:bookmarkStart w:id="20" w:name="_Toc15377204"/>
      <w:bookmarkStart w:id="21" w:name="_Toc15396602"/>
      <w:bookmarkStart w:id="22" w:name="_Toc82085418"/>
      <w:r>
        <w:rPr>
          <w:rFonts w:ascii="Times New Roman" w:eastAsia="黑体" w:hAnsi="Times New Roman"/>
          <w:b w:val="0"/>
        </w:rPr>
        <w:t>一、</w:t>
      </w:r>
      <w:r>
        <w:rPr>
          <w:rFonts w:ascii="Times New Roman" w:eastAsia="黑体" w:hAnsi="Times New Roman" w:hint="eastAsia"/>
          <w:b w:val="0"/>
          <w:lang w:eastAsia="zh-CN"/>
        </w:rPr>
        <w:t>单位</w:t>
      </w:r>
      <w:r>
        <w:rPr>
          <w:rFonts w:ascii="Times New Roman" w:eastAsia="黑体" w:hAnsi="Times New Roman"/>
          <w:b w:val="0"/>
        </w:rPr>
        <w:t>职责</w:t>
      </w:r>
      <w:bookmarkEnd w:id="17"/>
      <w:bookmarkEnd w:id="18"/>
    </w:p>
    <w:p>
      <w:pPr>
        <w:snapToGrid w:val="0"/>
        <w:spacing w:line="360" w:lineRule="auto"/>
        <w:ind w:firstLineChars="200" w:firstLine="640"/>
        <w:rPr>
          <w:rFonts w:eastAsia="仿宋_GB2312"/>
          <w:sz w:val="32"/>
          <w:szCs w:val="32"/>
        </w:rPr>
      </w:pPr>
      <w:r>
        <w:rPr>
          <w:rFonts w:eastAsia="仿宋_GB2312"/>
          <w:sz w:val="32"/>
          <w:szCs w:val="32"/>
        </w:rPr>
        <w:t>（一）贯彻执行医疗保险、生育保险、医疗救助等医疗保障法律、法规、规章。拟订全市医疗保障事业发展规划、政策和标准，并组织实施和监督检查。</w:t>
      </w:r>
    </w:p>
    <w:p>
      <w:pPr>
        <w:snapToGrid w:val="0"/>
        <w:spacing w:line="360" w:lineRule="auto"/>
        <w:ind w:firstLineChars="200" w:firstLine="640"/>
        <w:rPr>
          <w:rFonts w:eastAsia="仿宋_GB2312"/>
          <w:sz w:val="32"/>
          <w:szCs w:val="32"/>
        </w:rPr>
      </w:pPr>
      <w:r>
        <w:rPr>
          <w:rFonts w:eastAsia="仿宋_GB2312"/>
          <w:sz w:val="32"/>
          <w:szCs w:val="32"/>
        </w:rPr>
        <w:t>（二）组织拟订并实施医疗保障基金监督管理制度，建立健全医疗保障基金安全防控机制，监督强化全市医疗保障基金运行管理。</w:t>
      </w:r>
    </w:p>
    <w:p>
      <w:pPr>
        <w:snapToGrid w:val="0"/>
        <w:spacing w:line="360" w:lineRule="auto"/>
        <w:ind w:firstLineChars="200" w:firstLine="640"/>
        <w:rPr>
          <w:rFonts w:eastAsia="仿宋_GB2312"/>
          <w:sz w:val="32"/>
          <w:szCs w:val="32"/>
        </w:rPr>
      </w:pPr>
      <w:r>
        <w:rPr>
          <w:rFonts w:eastAsia="仿宋_GB2312"/>
          <w:sz w:val="32"/>
          <w:szCs w:val="32"/>
        </w:rPr>
        <w:t>（三）组织拟订并实施医疗保障筹资和待遇政策，完善全市医疗保障筹资标准动态调整机制，统筹城乡医疗保障待遇标准，建立健全与筹资水平相适应的待遇调整机制。组织拟订并实施长期护理保险制度改革方案。</w:t>
      </w:r>
    </w:p>
    <w:p>
      <w:pPr>
        <w:snapToGrid w:val="0"/>
        <w:spacing w:line="360" w:lineRule="auto"/>
        <w:ind w:firstLineChars="200" w:firstLine="640"/>
        <w:rPr>
          <w:rFonts w:eastAsia="仿宋_GB2312"/>
          <w:sz w:val="32"/>
          <w:szCs w:val="32"/>
        </w:rPr>
      </w:pPr>
      <w:r>
        <w:rPr>
          <w:rFonts w:eastAsia="仿宋_GB2312"/>
          <w:sz w:val="32"/>
          <w:szCs w:val="32"/>
        </w:rPr>
        <w:t>（四）组织实施全省城乡统一的药品、医用耗材、医疗服务项目、医疗服务设施等医疗保障目录和支付标准，根据授权在医疗保障目录准入谈判规则下进行目录增补和支付标准的调整。</w:t>
      </w:r>
    </w:p>
    <w:p>
      <w:pPr>
        <w:snapToGrid w:val="0"/>
        <w:spacing w:line="360" w:lineRule="auto"/>
        <w:ind w:firstLineChars="200" w:firstLine="640"/>
        <w:rPr>
          <w:rFonts w:eastAsia="仿宋_GB2312"/>
          <w:sz w:val="32"/>
          <w:szCs w:val="32"/>
        </w:rPr>
      </w:pPr>
      <w:r>
        <w:rPr>
          <w:rFonts w:eastAsia="仿宋_GB2312"/>
          <w:sz w:val="32"/>
          <w:szCs w:val="32"/>
        </w:rPr>
        <w:t>（五）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snapToGrid w:val="0"/>
        <w:spacing w:line="360" w:lineRule="auto"/>
        <w:ind w:firstLineChars="200" w:firstLine="640"/>
        <w:rPr>
          <w:rFonts w:eastAsia="仿宋_GB2312"/>
          <w:sz w:val="32"/>
          <w:szCs w:val="32"/>
        </w:rPr>
      </w:pPr>
      <w:r>
        <w:rPr>
          <w:rFonts w:eastAsia="仿宋_GB2312"/>
          <w:sz w:val="32"/>
          <w:szCs w:val="32"/>
        </w:rPr>
        <w:t>（六）贯彻执行全省药品、医用耗材的招标采购政策并监督实施，根据省上统一安排部署，参与全省药品、医用耗材招标采购平台建设，承担相关工作任务。</w:t>
      </w:r>
    </w:p>
    <w:p>
      <w:pPr>
        <w:snapToGrid w:val="0"/>
        <w:spacing w:line="360" w:lineRule="auto"/>
        <w:ind w:firstLineChars="200" w:firstLine="640"/>
        <w:rPr>
          <w:rFonts w:eastAsia="仿宋_GB2312"/>
          <w:sz w:val="32"/>
          <w:szCs w:val="32"/>
        </w:rPr>
      </w:pPr>
      <w:r>
        <w:rPr>
          <w:rFonts w:eastAsia="仿宋_GB2312"/>
          <w:sz w:val="32"/>
          <w:szCs w:val="32"/>
        </w:rPr>
        <w:t>（七）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pPr>
        <w:snapToGrid w:val="0"/>
        <w:spacing w:line="360" w:lineRule="auto"/>
        <w:ind w:firstLineChars="200" w:firstLine="640"/>
        <w:rPr>
          <w:rFonts w:eastAsia="仿宋_GB2312"/>
          <w:sz w:val="32"/>
          <w:szCs w:val="32"/>
        </w:rPr>
      </w:pPr>
      <w:r>
        <w:rPr>
          <w:rFonts w:eastAsia="仿宋_GB2312"/>
          <w:sz w:val="32"/>
          <w:szCs w:val="32"/>
        </w:rPr>
        <w:t>（八）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pPr>
        <w:tabs>
          <w:tab w:val="right" w:pos="8306"/>
        </w:tabs>
        <w:snapToGrid w:val="0"/>
        <w:spacing w:line="360" w:lineRule="auto"/>
        <w:ind w:firstLineChars="200" w:firstLine="640"/>
        <w:rPr>
          <w:rFonts w:eastAsia="仿宋_GB2312"/>
          <w:sz w:val="32"/>
          <w:szCs w:val="32"/>
        </w:rPr>
      </w:pPr>
      <w:r>
        <w:rPr>
          <w:rFonts w:eastAsia="仿宋_GB2312"/>
          <w:sz w:val="32"/>
          <w:szCs w:val="32"/>
        </w:rPr>
        <w:t>（九）拟订全市医疗保障信息化建设规划并参与全省医疗保障信息化建设。组织开展医疗保障大数据管理和应用。</w:t>
      </w:r>
    </w:p>
    <w:p>
      <w:pPr>
        <w:snapToGrid w:val="0"/>
        <w:spacing w:line="360" w:lineRule="auto"/>
        <w:ind w:firstLineChars="200" w:firstLine="640"/>
        <w:rPr>
          <w:rFonts w:eastAsia="仿宋_GB2312"/>
          <w:sz w:val="32"/>
          <w:szCs w:val="32"/>
        </w:rPr>
      </w:pPr>
      <w:r>
        <w:rPr>
          <w:rFonts w:eastAsia="仿宋_GB2312"/>
          <w:sz w:val="32"/>
          <w:szCs w:val="32"/>
        </w:rPr>
        <w:t>（十）组织拟订市本级离休干部、六级以上革命伤残军人的医疗保障政策和厅级干部、县级干部、高级知识分子的医疗照顾政策。</w:t>
      </w:r>
    </w:p>
    <w:p>
      <w:pPr>
        <w:snapToGrid w:val="0"/>
        <w:spacing w:line="360" w:lineRule="auto"/>
        <w:ind w:firstLineChars="200" w:firstLine="640"/>
        <w:rPr>
          <w:rFonts w:eastAsia="仿宋_GB2312"/>
          <w:sz w:val="32"/>
          <w:szCs w:val="32"/>
        </w:rPr>
      </w:pPr>
      <w:r>
        <w:rPr>
          <w:rFonts w:eastAsia="仿宋_GB2312"/>
          <w:sz w:val="32"/>
          <w:szCs w:val="32"/>
        </w:rPr>
        <w:t>（十一）负责职责范围内的安全生产和职业健康、生态环境保护、审批服务便民化等工作。</w:t>
      </w:r>
    </w:p>
    <w:p>
      <w:pPr>
        <w:snapToGrid w:val="0"/>
        <w:spacing w:line="360" w:lineRule="auto"/>
        <w:ind w:firstLineChars="200" w:firstLine="640"/>
        <w:rPr>
          <w:rFonts w:eastAsia="仿宋_GB2312"/>
          <w:sz w:val="32"/>
          <w:szCs w:val="32"/>
        </w:rPr>
      </w:pPr>
      <w:r>
        <w:rPr>
          <w:rFonts w:eastAsia="仿宋_GB2312"/>
          <w:sz w:val="32"/>
          <w:szCs w:val="32"/>
        </w:rPr>
        <w:t>（十二）完成市委、市政府交办的其他任务。</w:t>
      </w:r>
    </w:p>
    <w:p>
      <w:pPr>
        <w:pStyle w:val="2"/>
        <w:rPr>
          <w:rStyle w:val="2Char"/>
          <w:rFonts w:ascii="Times New Roman" w:hAnsi="Times New Roman"/>
          <w:b w:val="0"/>
          <w:bCs w:val="0"/>
        </w:rPr>
      </w:pPr>
      <w:bookmarkStart w:id="23" w:name="_Toc15377200"/>
      <w:bookmarkStart w:id="24" w:name="_Toc15396601"/>
      <w:bookmarkStart w:id="25" w:name="_Toc145437059"/>
      <w:bookmarkStart w:id="26" w:name="_Toc145434812"/>
      <w:r>
        <w:rPr>
          <w:rFonts w:ascii="Times New Roman" w:eastAsia="黑体" w:hAnsi="Times New Roman"/>
          <w:b w:val="0"/>
        </w:rPr>
        <w:t>二、机</w:t>
      </w:r>
      <w:r>
        <w:rPr>
          <w:rStyle w:val="2Char"/>
          <w:rFonts w:ascii="Times New Roman" w:eastAsia="黑体" w:hAnsi="Times New Roman"/>
          <w:b w:val="0"/>
          <w:bCs w:val="0"/>
        </w:rPr>
        <w:t>构设置</w:t>
      </w:r>
      <w:bookmarkEnd w:id="23"/>
      <w:bookmarkEnd w:id="24"/>
      <w:bookmarkEnd w:id="25"/>
      <w:bookmarkEnd w:id="26"/>
    </w:p>
    <w:p>
      <w:pPr>
        <w:snapToGrid w:val="0"/>
        <w:spacing w:line="578" w:lineRule="exact"/>
        <w:ind w:firstLineChars="200" w:firstLine="640"/>
        <w:rPr>
          <w:rFonts w:eastAsia="仿宋_GB2312"/>
          <w:color w:val="000000"/>
          <w:sz w:val="32"/>
          <w:szCs w:val="32"/>
        </w:rPr>
      </w:pPr>
      <w:r>
        <w:rPr>
          <w:rFonts w:eastAsia="仿宋_GB2312"/>
          <w:color w:val="000000"/>
          <w:sz w:val="32"/>
          <w:szCs w:val="32"/>
        </w:rPr>
        <w:t>攀枝花市医疗保障局（以下简称“市医保局”）下属事业单位2个，其中</w:t>
      </w:r>
      <w:r>
        <w:rPr>
          <w:rFonts w:eastAsia="仿宋"/>
          <w:color w:val="000000"/>
          <w:sz w:val="32"/>
          <w:szCs w:val="32"/>
        </w:rPr>
        <w:t>参照公务员法管理的事业单位</w:t>
      </w:r>
      <w:r>
        <w:rPr>
          <w:rFonts w:eastAsia="仿宋"/>
          <w:bCs/>
          <w:color w:val="000000"/>
          <w:sz w:val="32"/>
          <w:szCs w:val="32"/>
        </w:rPr>
        <w:t>1</w:t>
      </w:r>
      <w:r>
        <w:rPr>
          <w:rFonts w:eastAsia="仿宋"/>
          <w:color w:val="000000"/>
          <w:sz w:val="32"/>
          <w:szCs w:val="32"/>
        </w:rPr>
        <w:t>个，其他事业单位1个</w:t>
      </w:r>
      <w:r>
        <w:rPr>
          <w:rFonts w:eastAsia="仿宋_GB2312"/>
          <w:color w:val="000000"/>
          <w:sz w:val="32"/>
          <w:szCs w:val="32"/>
        </w:rPr>
        <w:t>。</w:t>
      </w:r>
    </w:p>
    <w:p>
      <w:pPr>
        <w:snapToGrid w:val="0"/>
        <w:spacing w:line="578" w:lineRule="exact"/>
        <w:ind w:firstLineChars="200" w:firstLine="640"/>
        <w:rPr>
          <w:rStyle w:val="1Char"/>
          <w:rFonts w:eastAsia="仿宋_GB2312"/>
          <w:b w:val="0"/>
          <w:bCs w:val="0"/>
          <w:color w:val="000000"/>
          <w:szCs w:val="32"/>
        </w:rPr>
      </w:pPr>
      <w:r>
        <w:rPr>
          <w:rFonts w:eastAsia="仿宋"/>
          <w:color w:val="000000"/>
          <w:sz w:val="32"/>
          <w:szCs w:val="32"/>
        </w:rPr>
        <w:t>纳入市医保局202</w:t>
      </w:r>
      <w:r>
        <w:rPr>
          <w:rFonts w:eastAsia="仿宋" w:hint="eastAsia"/>
          <w:color w:val="000000"/>
          <w:sz w:val="32"/>
          <w:szCs w:val="32"/>
        </w:rPr>
        <w:t>3</w:t>
      </w:r>
      <w:r>
        <w:rPr>
          <w:rFonts w:eastAsia="仿宋"/>
          <w:color w:val="000000"/>
          <w:sz w:val="32"/>
          <w:szCs w:val="32"/>
        </w:rPr>
        <w:t>年度</w:t>
      </w:r>
      <w:r>
        <w:rPr>
          <w:rFonts w:eastAsia="仿宋" w:hint="eastAsia"/>
          <w:color w:val="000000"/>
          <w:sz w:val="32"/>
          <w:szCs w:val="32"/>
          <w:lang w:eastAsia="zh-CN"/>
        </w:rPr>
        <w:t>单位</w:t>
      </w:r>
      <w:r>
        <w:rPr>
          <w:rFonts w:eastAsia="仿宋"/>
          <w:color w:val="000000"/>
          <w:sz w:val="32"/>
          <w:szCs w:val="32"/>
        </w:rPr>
        <w:t>决算编制范围的二级预算单位为攀枝花市医疗保障信息中心（以下简称“市医保信息中心”）</w:t>
      </w: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rPr>
          <w:rStyle w:val="1Char"/>
          <w:rFonts w:eastAsia="黑体"/>
          <w:b w:val="0"/>
          <w:color w:val="000000"/>
        </w:rPr>
      </w:pPr>
    </w:p>
    <w:p>
      <w:pPr>
        <w:widowControl/>
        <w:spacing w:line="578" w:lineRule="exact"/>
        <w:rPr>
          <w:rStyle w:val="1Char"/>
          <w:rFonts w:eastAsia="黑体"/>
          <w:b w:val="0"/>
          <w:color w:val="000000"/>
        </w:rPr>
      </w:pPr>
    </w:p>
    <w:p>
      <w:pPr>
        <w:widowControl/>
        <w:spacing w:line="578" w:lineRule="exact"/>
        <w:jc w:val="center"/>
        <w:rPr>
          <w:rStyle w:val="1Char"/>
          <w:rFonts w:eastAsia="黑体"/>
          <w:b w:val="0"/>
          <w:bCs w:val="0"/>
          <w:color w:val="000000"/>
          <w:kern w:val="0"/>
          <w:sz w:val="32"/>
          <w:szCs w:val="32"/>
        </w:rPr>
      </w:pPr>
      <w:bookmarkStart w:id="27" w:name="_Toc113574856"/>
      <w:bookmarkStart w:id="28" w:name="_Toc145434813"/>
      <w:bookmarkStart w:id="29" w:name="_Toc145437060"/>
      <w:r>
        <w:rPr>
          <w:rStyle w:val="1Char"/>
          <w:rFonts w:eastAsia="黑体"/>
          <w:b w:val="0"/>
          <w:color w:val="000000"/>
        </w:rPr>
        <w:t>第二部分</w:t>
      </w:r>
      <w:r>
        <w:rPr>
          <w:rStyle w:val="1Char"/>
          <w:rFonts w:eastAsia="黑体" w:hint="eastAsia"/>
          <w:b w:val="0"/>
          <w:color w:val="000000"/>
        </w:rPr>
        <w:t xml:space="preserve"> </w:t>
      </w:r>
      <w:r>
        <w:rPr>
          <w:rStyle w:val="1Char"/>
          <w:rFonts w:eastAsia="黑体"/>
          <w:b w:val="0"/>
          <w:bCs w:val="0"/>
          <w:color w:val="000000"/>
        </w:rPr>
        <w:t>202</w:t>
      </w:r>
      <w:r>
        <w:rPr>
          <w:rStyle w:val="1Char"/>
          <w:rFonts w:eastAsia="黑体" w:hint="eastAsia"/>
          <w:b w:val="0"/>
          <w:bCs w:val="0"/>
          <w:color w:val="000000"/>
        </w:rPr>
        <w:t>3</w:t>
      </w:r>
      <w:r>
        <w:rPr>
          <w:rStyle w:val="1Char"/>
          <w:rFonts w:eastAsia="黑体"/>
          <w:b w:val="0"/>
          <w:bCs w:val="0"/>
          <w:color w:val="000000"/>
        </w:rPr>
        <w:t>年度</w:t>
      </w:r>
      <w:r>
        <w:rPr>
          <w:rStyle w:val="1Char"/>
          <w:rFonts w:eastAsia="黑体" w:hint="eastAsia"/>
          <w:b w:val="0"/>
          <w:bCs w:val="0"/>
          <w:color w:val="000000"/>
        </w:rPr>
        <w:t>单位</w:t>
      </w:r>
      <w:r>
        <w:rPr>
          <w:rStyle w:val="1Char"/>
          <w:rFonts w:eastAsia="黑体"/>
          <w:b w:val="0"/>
          <w:bCs w:val="0"/>
          <w:color w:val="000000"/>
        </w:rPr>
        <w:t>决算情况说明</w:t>
      </w:r>
      <w:bookmarkEnd w:id="19"/>
      <w:bookmarkEnd w:id="20"/>
      <w:bookmarkEnd w:id="21"/>
      <w:bookmarkEnd w:id="22"/>
      <w:bookmarkEnd w:id="27"/>
      <w:bookmarkEnd w:id="28"/>
      <w:bookmarkEnd w:id="29"/>
    </w:p>
    <w:p>
      <w:pPr>
        <w:spacing w:line="578" w:lineRule="exact"/>
        <w:ind w:firstLineChars="200" w:firstLine="640"/>
        <w:rPr>
          <w:rFonts w:eastAsia="仿宋_GB2312"/>
          <w:color w:val="000000"/>
          <w:sz w:val="32"/>
          <w:szCs w:val="32"/>
        </w:rPr>
      </w:pPr>
    </w:p>
    <w:p>
      <w:pPr>
        <w:ind w:firstLineChars="200" w:firstLine="640"/>
        <w:outlineLvl w:val="1"/>
        <w:rPr>
          <w:rFonts w:eastAsia="黑体"/>
          <w:color w:val="000000"/>
          <w:sz w:val="32"/>
          <w:szCs w:val="32"/>
        </w:rPr>
      </w:pPr>
      <w:bookmarkStart w:id="30" w:name="_Toc145434814"/>
      <w:bookmarkStart w:id="31" w:name="_Toc82085532"/>
      <w:bookmarkStart w:id="32" w:name="_Toc145437061"/>
      <w:bookmarkStart w:id="33" w:name="_Toc82085419"/>
      <w:bookmarkStart w:id="34" w:name="_Toc15377205"/>
      <w:bookmarkStart w:id="35" w:name="_Toc113574857"/>
      <w:bookmarkStart w:id="36" w:name="_Toc15396603"/>
      <w:r>
        <w:rPr>
          <w:rFonts w:eastAsia="黑体"/>
          <w:color w:val="000000"/>
          <w:sz w:val="32"/>
          <w:szCs w:val="32"/>
        </w:rPr>
        <w:t>一、收入支出决算总体情况说明</w:t>
      </w:r>
      <w:bookmarkEnd w:id="30"/>
      <w:bookmarkEnd w:id="31"/>
      <w:bookmarkEnd w:id="32"/>
      <w:bookmarkEnd w:id="33"/>
      <w:bookmarkEnd w:id="34"/>
      <w:bookmarkEnd w:id="35"/>
      <w:bookmarkEnd w:id="36"/>
    </w:p>
    <w:p>
      <w:pPr>
        <w:spacing w:line="360" w:lineRule="auto"/>
        <w:ind w:firstLineChars="196" w:firstLine="627"/>
        <w:rPr>
          <w:rFonts w:eastAsia="仿宋_GB2312"/>
          <w:color w:val="000000"/>
          <w:sz w:val="32"/>
          <w:szCs w:val="32"/>
        </w:rPr>
      </w:pPr>
      <w:r>
        <w:rPr>
          <w:rFonts w:eastAsia="仿宋"/>
          <w:sz w:val="32"/>
          <w:szCs w:val="32"/>
        </w:rPr>
        <w:t>202</w:t>
      </w:r>
      <w:r>
        <w:rPr>
          <w:rFonts w:eastAsia="仿宋" w:hint="eastAsia"/>
          <w:sz w:val="32"/>
          <w:szCs w:val="32"/>
        </w:rPr>
        <w:t>3</w:t>
      </w:r>
      <w:r>
        <w:rPr>
          <w:rFonts w:eastAsia="仿宋"/>
          <w:sz w:val="32"/>
          <w:szCs w:val="32"/>
        </w:rPr>
        <w:t>年度收、支总计</w:t>
      </w:r>
      <w:r>
        <w:rPr>
          <w:rFonts w:eastAsia="仿宋" w:hint="eastAsia"/>
          <w:sz w:val="32"/>
          <w:szCs w:val="32"/>
        </w:rPr>
        <w:t>1027.22</w:t>
      </w:r>
      <w:r>
        <w:rPr>
          <w:rFonts w:eastAsia="仿宋"/>
          <w:sz w:val="32"/>
          <w:szCs w:val="32"/>
        </w:rPr>
        <w:t>万元。与202</w:t>
      </w:r>
      <w:r>
        <w:rPr>
          <w:rFonts w:eastAsia="仿宋" w:hint="eastAsia"/>
          <w:sz w:val="32"/>
          <w:szCs w:val="32"/>
        </w:rPr>
        <w:t>2</w:t>
      </w:r>
      <w:r>
        <w:rPr>
          <w:rFonts w:eastAsia="仿宋"/>
          <w:sz w:val="32"/>
          <w:szCs w:val="32"/>
        </w:rPr>
        <w:t>年相比，收、支总计各增加</w:t>
      </w:r>
      <w:r>
        <w:rPr>
          <w:rFonts w:eastAsia="仿宋" w:hint="eastAsia"/>
          <w:sz w:val="32"/>
          <w:szCs w:val="32"/>
        </w:rPr>
        <w:t>251.73</w:t>
      </w:r>
      <w:r>
        <w:rPr>
          <w:rFonts w:eastAsia="仿宋"/>
          <w:sz w:val="32"/>
          <w:szCs w:val="32"/>
        </w:rPr>
        <w:t>万元，增长</w:t>
      </w:r>
      <w:r>
        <w:rPr>
          <w:rFonts w:eastAsia="仿宋" w:hint="eastAsia"/>
          <w:sz w:val="32"/>
          <w:szCs w:val="32"/>
        </w:rPr>
        <w:t>32.46</w:t>
      </w:r>
      <w:r>
        <w:rPr>
          <w:rFonts w:eastAsia="仿宋"/>
          <w:sz w:val="32"/>
          <w:szCs w:val="32"/>
        </w:rPr>
        <w:t>%。</w:t>
      </w:r>
      <w:r>
        <w:rPr>
          <w:rFonts w:eastAsia="仿宋_GB2312"/>
          <w:sz w:val="32"/>
        </w:rPr>
        <w:t>原因</w:t>
      </w:r>
      <w:r>
        <w:rPr>
          <w:rFonts w:eastAsia="仿宋_GB2312" w:hint="eastAsia"/>
          <w:sz w:val="32"/>
        </w:rPr>
        <w:t>：</w:t>
      </w:r>
      <w:r>
        <w:rPr>
          <w:rFonts w:eastAsia="仿宋_GB2312"/>
          <w:sz w:val="32"/>
          <w:szCs w:val="32"/>
        </w:rPr>
        <w:t>一是</w:t>
      </w:r>
      <w:r>
        <w:rPr>
          <w:rFonts w:eastAsia="仿宋_GB2312" w:hint="eastAsia"/>
          <w:sz w:val="32"/>
          <w:szCs w:val="32"/>
        </w:rPr>
        <w:t>在职人员</w:t>
      </w:r>
      <w:r>
        <w:rPr>
          <w:rFonts w:eastAsia="仿宋_GB2312"/>
          <w:sz w:val="32"/>
          <w:szCs w:val="32"/>
        </w:rPr>
        <w:t>职务晋级晋档，</w:t>
      </w:r>
      <w:r>
        <w:rPr>
          <w:rFonts w:eastAsia="仿宋_GB2312"/>
          <w:color w:val="000000"/>
          <w:sz w:val="32"/>
          <w:szCs w:val="32"/>
        </w:rPr>
        <w:t>人员经费</w:t>
      </w:r>
      <w:r>
        <w:rPr>
          <w:rFonts w:eastAsia="仿宋_GB2312" w:hint="eastAsia"/>
          <w:color w:val="000000"/>
          <w:sz w:val="32"/>
          <w:szCs w:val="32"/>
        </w:rPr>
        <w:t>增加</w:t>
      </w:r>
      <w:r>
        <w:rPr>
          <w:rFonts w:eastAsia="仿宋_GB2312"/>
          <w:color w:val="000000"/>
          <w:sz w:val="32"/>
          <w:szCs w:val="32"/>
        </w:rPr>
        <w:t>79.68万元，二是新增行政退休人员经费18.18万元，三是医保信息化建设项目经费</w:t>
      </w:r>
      <w:r>
        <w:rPr>
          <w:rFonts w:eastAsia="仿宋_GB2312" w:hint="eastAsia"/>
          <w:color w:val="000000"/>
          <w:sz w:val="32"/>
          <w:szCs w:val="32"/>
        </w:rPr>
        <w:t>增加</w:t>
      </w:r>
      <w:r>
        <w:rPr>
          <w:rFonts w:eastAsia="仿宋_GB2312"/>
          <w:color w:val="000000"/>
          <w:sz w:val="32"/>
          <w:szCs w:val="32"/>
        </w:rPr>
        <w:t>172.67万元</w:t>
      </w:r>
      <w:r>
        <w:rPr>
          <w:rFonts w:eastAsia="仿宋_GB2312"/>
          <w:sz w:val="32"/>
        </w:rPr>
        <w:t>。</w:t>
      </w:r>
    </w:p>
    <w:p>
      <w:pPr>
        <w:ind w:left="1280" w:hangingChars="400" w:hanging="1280"/>
        <w:jc w:val="left"/>
        <w:rPr>
          <w:rFonts w:eastAsia="仿宋_GB2312"/>
          <w:color w:val="000000"/>
          <w:sz w:val="32"/>
          <w:szCs w:val="32"/>
        </w:rPr>
      </w:pPr>
      <w:r>
        <w:rPr>
          <w:rFonts w:eastAsia="仿宋_GB2312"/>
          <w:color w:val="000000"/>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84.9pt;margin-top:0.55pt;width:250.2pt;height:204.6pt;z-index:28;mso-position-horizontal:absolute;mso-position-vertical:absolute;" o:ole="">
            <v:stroke color="#000000"/>
            <v:imagedata r:id="rId5" o:title="image1"/>
            <o:lock aspectratio="t"/>
            <w10:wrap type="square" side="right"/>
          </v:shape>
          <o:OLEObject Type="Embed" ProgID="Package" ShapeID="_x0000_i1" DrawAspect="Content" ObjectID="_1393063351" r:id="rId6"/>
        </w:object>
      </w:r>
      <w:r>
        <w:rPr>
          <w:rFonts w:eastAsia="仿宋_GB2312"/>
          <w:color w:val="000000"/>
          <w:sz w:val="32"/>
          <w:szCs w:val="32"/>
        </w:rPr>
        <w:br w:type="textWrapping" w:clear="all"/>
      </w:r>
      <w:bookmarkStart w:id="37" w:name="_Toc82085533"/>
      <w:bookmarkStart w:id="38" w:name="_Toc15396604"/>
      <w:bookmarkStart w:id="39" w:name="_Toc82085420"/>
      <w:bookmarkStart w:id="40" w:name="_Toc15377206"/>
      <w:r>
        <w:rPr>
          <w:rFonts w:eastAsia="仿宋_GB2312"/>
          <w:color w:val="000000"/>
          <w:sz w:val="32"/>
          <w:szCs w:val="32"/>
        </w:rPr>
        <w:t>（图1：收、支决算总计变动情况图）</w:t>
      </w:r>
    </w:p>
    <w:p>
      <w:pPr>
        <w:tabs>
          <w:tab w:val="right" w:pos="8844"/>
        </w:tabs>
        <w:ind w:firstLineChars="200" w:firstLine="640"/>
        <w:outlineLvl w:val="1"/>
        <w:rPr>
          <w:rFonts w:eastAsia="黑体"/>
          <w:color w:val="000000"/>
          <w:sz w:val="32"/>
          <w:szCs w:val="32"/>
        </w:rPr>
      </w:pPr>
      <w:bookmarkStart w:id="41" w:name="_Toc145437062"/>
      <w:bookmarkStart w:id="42" w:name="_Toc113574858"/>
      <w:bookmarkStart w:id="43" w:name="_Toc145434815"/>
      <w:r>
        <w:rPr>
          <w:rFonts w:eastAsia="黑体"/>
          <w:color w:val="000000"/>
          <w:sz w:val="32"/>
          <w:szCs w:val="32"/>
        </w:rPr>
        <w:t>二、收入决算情况说明</w:t>
      </w:r>
      <w:bookmarkEnd w:id="37"/>
      <w:bookmarkEnd w:id="38"/>
      <w:bookmarkEnd w:id="39"/>
      <w:bookmarkEnd w:id="40"/>
      <w:bookmarkEnd w:id="41"/>
      <w:bookmarkEnd w:id="42"/>
      <w:bookmarkEnd w:id="43"/>
      <w:r>
        <w:rPr>
          <w:rFonts w:eastAsia="黑体"/>
          <w:color w:val="000000"/>
          <w:sz w:val="32"/>
          <w:szCs w:val="32"/>
        </w:rPr>
        <w:tab/>
      </w:r>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年本年收入合计</w:t>
      </w:r>
      <w:r>
        <w:rPr>
          <w:rFonts w:eastAsia="仿宋_GB2312" w:hint="eastAsia"/>
          <w:color w:val="000000"/>
          <w:sz w:val="32"/>
          <w:szCs w:val="32"/>
        </w:rPr>
        <w:t>1027.22</w:t>
      </w:r>
      <w:r>
        <w:rPr>
          <w:rFonts w:eastAsia="仿宋_GB2312"/>
          <w:color w:val="000000"/>
          <w:sz w:val="32"/>
          <w:szCs w:val="32"/>
        </w:rPr>
        <w:t>万元，其中：一般公共预算财政拨款收入</w:t>
      </w:r>
      <w:r>
        <w:rPr>
          <w:rFonts w:eastAsia="仿宋_GB2312" w:hint="eastAsia"/>
          <w:color w:val="000000"/>
          <w:sz w:val="32"/>
          <w:szCs w:val="32"/>
        </w:rPr>
        <w:t>1027.22</w:t>
      </w:r>
      <w:r>
        <w:rPr>
          <w:rFonts w:eastAsia="仿宋_GB2312"/>
          <w:color w:val="000000"/>
          <w:sz w:val="32"/>
          <w:szCs w:val="32"/>
        </w:rPr>
        <w:t>万元，占100%；政府性基金预算财政拨款收入0万元，占0%；</w:t>
      </w:r>
      <w:r>
        <w:rPr>
          <w:rFonts w:eastAsia="仿宋_GB2312"/>
          <w:sz w:val="32"/>
          <w:szCs w:val="32"/>
        </w:rPr>
        <w:t>国有资本经营预算财政拨款收入0万元，占0%；</w:t>
      </w:r>
      <w:r>
        <w:rPr>
          <w:rFonts w:eastAsia="仿宋_GB2312"/>
          <w:color w:val="000000"/>
          <w:sz w:val="32"/>
          <w:szCs w:val="32"/>
        </w:rPr>
        <w:t>上级补助收入0万元，占0%；事业收入0万元，占0%；经营收入0万元，占0%；附属单位上缴收入0万元，占0%；其他收入0万元，占0%。</w:t>
      </w:r>
    </w:p>
    <w:p>
      <w:pPr>
        <w:jc w:val="center"/>
        <w:rPr>
          <w:rFonts w:eastAsia="仿宋_GB2312"/>
          <w:color w:val="000000"/>
          <w:sz w:val="32"/>
          <w:szCs w:val="32"/>
        </w:rPr>
      </w:pPr>
      <w:bookmarkStart w:id="44" w:name="_MON_1723881745"/>
      <w:bookmarkEnd w:id="44"/>
      <w:r>
        <w:rPr>
          <w:rFonts w:eastAsia="仿宋_GB2312"/>
          <w:color w:val="000000"/>
          <w:sz w:val="32"/>
          <w:szCs w:val="32"/>
        </w:rPr>
        <w:object>
          <v:shape id="_x0000_i2" type="#_x0000_t75" filled="f" stroked="f" style="width:273.75pt;height:182.25pt;" o:ole="">
            <v:stroke color="#000000"/>
            <v:imagedata r:id="rId7" o:title="image2" cropbottom="-53f"/>
            <o:lock aspectratio="t"/>
            <w10:anchorLock/>
          </v:shape>
          <o:OLEObject Type="Embed" ProgID="Package" ShapeID="_x0000_i2" DrawAspect="Content" ObjectID="_1393063352" r:id="rId8"/>
        </w:object>
      </w:r>
    </w:p>
    <w:p>
      <w:pPr>
        <w:spacing w:line="578" w:lineRule="exact"/>
        <w:jc w:val="center"/>
        <w:rPr>
          <w:rFonts w:eastAsia="仿宋_GB2312"/>
          <w:color w:val="000000"/>
          <w:sz w:val="32"/>
          <w:szCs w:val="32"/>
        </w:rPr>
      </w:pPr>
      <w:r>
        <w:rPr>
          <w:rFonts w:eastAsia="仿宋_GB2312"/>
          <w:color w:val="000000"/>
          <w:sz w:val="32"/>
          <w:szCs w:val="32"/>
        </w:rPr>
        <w:t>（图2</w:t>
      </w:r>
      <w:bookmarkStart w:id="45" w:name="_Toc82085421"/>
      <w:bookmarkStart w:id="46" w:name="_Toc15377207"/>
      <w:bookmarkStart w:id="47" w:name="_Toc82085534"/>
      <w:bookmarkStart w:id="48" w:name="_Toc15396605"/>
      <w:r>
        <w:rPr>
          <w:rFonts w:eastAsia="仿宋_GB2312"/>
          <w:color w:val="000000"/>
          <w:sz w:val="32"/>
          <w:szCs w:val="32"/>
        </w:rPr>
        <w:t>：收入决算结构图）</w:t>
      </w:r>
    </w:p>
    <w:p>
      <w:pPr>
        <w:ind w:firstLineChars="200" w:firstLine="640"/>
        <w:outlineLvl w:val="1"/>
        <w:rPr>
          <w:rFonts w:eastAsia="黑体"/>
          <w:color w:val="000000"/>
          <w:sz w:val="32"/>
          <w:szCs w:val="32"/>
        </w:rPr>
      </w:pPr>
      <w:bookmarkStart w:id="49" w:name="_Toc145434816"/>
      <w:bookmarkStart w:id="50" w:name="_Toc144464237"/>
      <w:bookmarkStart w:id="51" w:name="_Toc113574859"/>
      <w:bookmarkStart w:id="52" w:name="_Toc145437063"/>
      <w:r>
        <w:rPr>
          <w:rFonts w:eastAsia="黑体"/>
          <w:color w:val="000000"/>
          <w:sz w:val="32"/>
          <w:szCs w:val="32"/>
        </w:rPr>
        <w:t>三、支出决算情况说明</w:t>
      </w:r>
      <w:bookmarkEnd w:id="45"/>
      <w:bookmarkEnd w:id="46"/>
      <w:bookmarkEnd w:id="47"/>
      <w:bookmarkEnd w:id="48"/>
      <w:bookmarkEnd w:id="49"/>
      <w:bookmarkEnd w:id="50"/>
      <w:bookmarkEnd w:id="51"/>
      <w:bookmarkEnd w:id="52"/>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年本年支出合计</w:t>
      </w:r>
      <w:r>
        <w:rPr>
          <w:rFonts w:eastAsia="仿宋_GB2312" w:hint="eastAsia"/>
          <w:color w:val="000000"/>
          <w:sz w:val="32"/>
          <w:szCs w:val="32"/>
        </w:rPr>
        <w:t>1027.22</w:t>
      </w:r>
      <w:r>
        <w:rPr>
          <w:rFonts w:eastAsia="仿宋_GB2312"/>
          <w:color w:val="000000"/>
          <w:sz w:val="32"/>
          <w:szCs w:val="32"/>
        </w:rPr>
        <w:t>万元，其中：基本支出</w:t>
      </w:r>
      <w:r>
        <w:rPr>
          <w:rFonts w:eastAsia="仿宋_GB2312" w:hint="eastAsia"/>
          <w:color w:val="000000"/>
          <w:sz w:val="32"/>
          <w:szCs w:val="32"/>
        </w:rPr>
        <w:t>522.39</w:t>
      </w:r>
      <w:r>
        <w:rPr>
          <w:rFonts w:eastAsia="仿宋_GB2312"/>
          <w:color w:val="000000"/>
          <w:sz w:val="32"/>
          <w:szCs w:val="32"/>
        </w:rPr>
        <w:t>万元，占</w:t>
      </w:r>
      <w:r>
        <w:rPr>
          <w:rFonts w:eastAsia="仿宋_GB2312" w:hint="eastAsia"/>
          <w:color w:val="000000"/>
          <w:sz w:val="32"/>
          <w:szCs w:val="32"/>
        </w:rPr>
        <w:t>50.85</w:t>
      </w:r>
      <w:r>
        <w:rPr>
          <w:rFonts w:eastAsia="仿宋_GB2312"/>
          <w:color w:val="000000"/>
          <w:sz w:val="32"/>
          <w:szCs w:val="32"/>
        </w:rPr>
        <w:t>%；项目支出</w:t>
      </w:r>
      <w:r>
        <w:rPr>
          <w:rFonts w:eastAsia="仿宋_GB2312" w:hint="eastAsia"/>
          <w:color w:val="000000"/>
          <w:sz w:val="32"/>
          <w:szCs w:val="32"/>
        </w:rPr>
        <w:t>504.84</w:t>
      </w:r>
      <w:r>
        <w:rPr>
          <w:rFonts w:eastAsia="仿宋_GB2312"/>
          <w:color w:val="000000"/>
          <w:sz w:val="32"/>
          <w:szCs w:val="32"/>
        </w:rPr>
        <w:t>万元，占</w:t>
      </w:r>
      <w:r>
        <w:rPr>
          <w:rFonts w:eastAsia="仿宋_GB2312" w:hint="eastAsia"/>
          <w:color w:val="000000"/>
          <w:sz w:val="32"/>
          <w:szCs w:val="32"/>
        </w:rPr>
        <w:t>49.15</w:t>
      </w:r>
      <w:r>
        <w:rPr>
          <w:rFonts w:eastAsia="仿宋_GB2312"/>
          <w:color w:val="000000"/>
          <w:sz w:val="32"/>
          <w:szCs w:val="32"/>
        </w:rPr>
        <w:t>%；上缴上级支出0万元，占0%；经营支出0万元，占0%；对附属单位补助支出0万元，占0%。</w:t>
      </w:r>
    </w:p>
    <w:p>
      <w:pPr>
        <w:jc w:val="left"/>
        <w:rPr>
          <w:rFonts w:eastAsia="仿宋_GB2312"/>
          <w:color w:val="000000"/>
          <w:sz w:val="32"/>
          <w:szCs w:val="32"/>
          <w:shd w:val="pct10" w:color="auto" w:fill="FFFFFF"/>
        </w:rPr>
      </w:pPr>
      <w:bookmarkStart w:id="53" w:name="_MON_1723881722"/>
      <w:bookmarkEnd w:id="53"/>
      <w:r>
        <w:rPr>
          <w:rFonts w:eastAsia="仿宋_GB2312"/>
          <w:color w:val="000000"/>
          <w:sz w:val="32"/>
          <w:szCs w:val="32"/>
        </w:rPr>
        <w:object>
          <v:shape id="_x0000_i3" type="#_x0000_t75" filled="f" stroked="f" style="position:absolute;margin-left:82.85pt;margin-top:0.45000002pt;width:262.05pt;height:181.2pt;z-index:30;mso-position-horizontal:absolute;mso-position-vertical:absolute;" o:ole="">
            <v:stroke color="#000000"/>
            <v:imagedata r:id="rId9" o:title="image3" cropbottom="-53f"/>
            <o:lock aspectratio="t"/>
            <w10:wrap type="square" side="right"/>
          </v:shape>
          <o:OLEObject Type="Embed" ProgID="Package" ShapeID="_x0000_i3" DrawAspect="Content" ObjectID="_1393063353" r:id="rId10"/>
        </w:object>
      </w:r>
      <w:r>
        <w:rPr>
          <w:rFonts w:eastAsia="仿宋_GB2312"/>
          <w:color w:val="000000"/>
          <w:sz w:val="32"/>
          <w:szCs w:val="32"/>
          <w:shd w:val="pct10" w:color="auto" w:fill="FFFFFF"/>
        </w:rPr>
        <w:br w:type="textWrapping" w:clear="all"/>
      </w:r>
    </w:p>
    <w:p>
      <w:pPr>
        <w:spacing w:line="578" w:lineRule="exact"/>
        <w:jc w:val="center"/>
        <w:rPr>
          <w:rFonts w:eastAsia="仿宋_GB2312"/>
          <w:color w:val="000000"/>
          <w:sz w:val="32"/>
          <w:szCs w:val="32"/>
        </w:rPr>
      </w:pPr>
      <w:r>
        <w:rPr>
          <w:rFonts w:eastAsia="仿宋_GB2312"/>
          <w:color w:val="000000"/>
          <w:sz w:val="32"/>
          <w:szCs w:val="32"/>
        </w:rPr>
        <w:t>（图3：支出决算结构图）</w:t>
      </w:r>
    </w:p>
    <w:p>
      <w:pPr>
        <w:ind w:firstLineChars="200" w:firstLine="640"/>
        <w:outlineLvl w:val="1"/>
        <w:rPr>
          <w:rFonts w:eastAsia="黑体"/>
          <w:color w:val="000000"/>
          <w:sz w:val="32"/>
          <w:szCs w:val="32"/>
        </w:rPr>
      </w:pPr>
      <w:bookmarkStart w:id="54" w:name="_Toc145434817"/>
      <w:bookmarkStart w:id="55" w:name="_Toc113574860"/>
      <w:bookmarkStart w:id="56" w:name="_Toc15377208"/>
      <w:bookmarkStart w:id="57" w:name="_Toc82085422"/>
      <w:bookmarkStart w:id="58" w:name="_Toc15396606"/>
      <w:bookmarkStart w:id="59" w:name="_Toc82085535"/>
      <w:bookmarkStart w:id="60" w:name="_Toc144464238"/>
      <w:bookmarkStart w:id="61" w:name="_Toc145437064"/>
      <w:r>
        <w:rPr>
          <w:rFonts w:eastAsia="黑体"/>
          <w:color w:val="000000"/>
          <w:sz w:val="32"/>
          <w:szCs w:val="32"/>
        </w:rPr>
        <w:t>四、财政拨款收入支出决算总体情况说明</w:t>
      </w:r>
      <w:bookmarkEnd w:id="54"/>
      <w:bookmarkEnd w:id="55"/>
      <w:bookmarkEnd w:id="56"/>
      <w:bookmarkEnd w:id="57"/>
      <w:bookmarkEnd w:id="58"/>
      <w:bookmarkEnd w:id="59"/>
      <w:bookmarkEnd w:id="60"/>
      <w:bookmarkEnd w:id="61"/>
    </w:p>
    <w:p>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年财政拨款收、支总计</w:t>
      </w:r>
      <w:r>
        <w:rPr>
          <w:rFonts w:eastAsia="仿宋_GB2312" w:hint="eastAsia"/>
          <w:color w:val="000000"/>
          <w:sz w:val="32"/>
          <w:szCs w:val="32"/>
        </w:rPr>
        <w:t>1027.22</w:t>
      </w:r>
      <w:r>
        <w:rPr>
          <w:rFonts w:eastAsia="仿宋_GB2312"/>
          <w:color w:val="000000"/>
          <w:sz w:val="32"/>
          <w:szCs w:val="32"/>
        </w:rPr>
        <w:t>万元。与202</w:t>
      </w:r>
      <w:r>
        <w:rPr>
          <w:rFonts w:eastAsia="仿宋_GB2312" w:hint="eastAsia"/>
          <w:color w:val="000000"/>
          <w:sz w:val="32"/>
          <w:szCs w:val="32"/>
        </w:rPr>
        <w:t>2</w:t>
      </w:r>
      <w:r>
        <w:rPr>
          <w:rFonts w:eastAsia="仿宋_GB2312"/>
          <w:color w:val="000000"/>
          <w:sz w:val="32"/>
          <w:szCs w:val="32"/>
        </w:rPr>
        <w:t>年相比，财政拨款收、支总计各增加</w:t>
      </w:r>
      <w:r>
        <w:rPr>
          <w:rFonts w:eastAsia="仿宋" w:hint="eastAsia"/>
          <w:sz w:val="32"/>
          <w:szCs w:val="32"/>
        </w:rPr>
        <w:t>251.73</w:t>
      </w:r>
      <w:r>
        <w:rPr>
          <w:rFonts w:eastAsia="仿宋"/>
          <w:sz w:val="32"/>
          <w:szCs w:val="32"/>
        </w:rPr>
        <w:t>万元，增长</w:t>
      </w:r>
      <w:r>
        <w:rPr>
          <w:rFonts w:eastAsia="仿宋" w:hint="eastAsia"/>
          <w:sz w:val="32"/>
          <w:szCs w:val="32"/>
        </w:rPr>
        <w:t>32.46</w:t>
      </w:r>
      <w:r>
        <w:rPr>
          <w:rFonts w:eastAsia="仿宋"/>
          <w:sz w:val="32"/>
          <w:szCs w:val="32"/>
        </w:rPr>
        <w:t>%。</w:t>
      </w:r>
      <w:r>
        <w:rPr>
          <w:rFonts w:eastAsia="仿宋_GB2312"/>
          <w:sz w:val="32"/>
        </w:rPr>
        <w:t>，原因</w:t>
      </w:r>
      <w:r>
        <w:rPr>
          <w:rFonts w:eastAsia="仿宋_GB2312" w:hint="eastAsia"/>
          <w:sz w:val="32"/>
        </w:rPr>
        <w:t>：</w:t>
      </w:r>
      <w:r>
        <w:rPr>
          <w:rFonts w:eastAsia="仿宋_GB2312"/>
          <w:sz w:val="32"/>
          <w:szCs w:val="32"/>
        </w:rPr>
        <w:t>一是</w:t>
      </w:r>
      <w:r>
        <w:rPr>
          <w:rFonts w:eastAsia="仿宋_GB2312" w:hint="eastAsia"/>
          <w:sz w:val="32"/>
          <w:szCs w:val="32"/>
        </w:rPr>
        <w:t>在职人员</w:t>
      </w:r>
      <w:r>
        <w:rPr>
          <w:rFonts w:eastAsia="仿宋_GB2312"/>
          <w:sz w:val="32"/>
          <w:szCs w:val="32"/>
        </w:rPr>
        <w:t>职务晋级晋档，</w:t>
      </w:r>
      <w:r>
        <w:rPr>
          <w:rFonts w:eastAsia="仿宋_GB2312"/>
          <w:color w:val="000000"/>
          <w:sz w:val="32"/>
          <w:szCs w:val="32"/>
        </w:rPr>
        <w:t>人员经费</w:t>
      </w:r>
      <w:r>
        <w:rPr>
          <w:rFonts w:eastAsia="仿宋_GB2312" w:hint="eastAsia"/>
          <w:color w:val="000000"/>
          <w:sz w:val="32"/>
          <w:szCs w:val="32"/>
        </w:rPr>
        <w:t>增加</w:t>
      </w:r>
      <w:r>
        <w:rPr>
          <w:rFonts w:eastAsia="仿宋_GB2312"/>
          <w:color w:val="000000"/>
          <w:sz w:val="32"/>
          <w:szCs w:val="32"/>
        </w:rPr>
        <w:t>79.68万元，二是新增行政退休人员经费18.18万元，三是医保信息化建设项目经费</w:t>
      </w:r>
      <w:r>
        <w:rPr>
          <w:rFonts w:eastAsia="仿宋_GB2312" w:hint="eastAsia"/>
          <w:color w:val="000000"/>
          <w:sz w:val="32"/>
          <w:szCs w:val="32"/>
        </w:rPr>
        <w:t>增加</w:t>
      </w:r>
      <w:r>
        <w:rPr>
          <w:rFonts w:eastAsia="仿宋_GB2312"/>
          <w:color w:val="000000"/>
          <w:sz w:val="32"/>
          <w:szCs w:val="32"/>
        </w:rPr>
        <w:t>172.67万元</w:t>
      </w:r>
      <w:r>
        <w:rPr>
          <w:rFonts w:eastAsia="仿宋_GB2312"/>
          <w:sz w:val="32"/>
        </w:rPr>
        <w:t>。</w:t>
      </w:r>
    </w:p>
    <w:p>
      <w:pPr>
        <w:spacing w:line="578" w:lineRule="exact"/>
        <w:ind w:firstLineChars="200" w:firstLine="640"/>
        <w:rPr>
          <w:rFonts w:eastAsia="仿宋_GB2312"/>
          <w:color w:val="000000"/>
          <w:sz w:val="32"/>
          <w:szCs w:val="32"/>
        </w:rPr>
      </w:pPr>
    </w:p>
    <w:p>
      <w:pPr>
        <w:jc w:val="center"/>
        <w:rPr>
          <w:rFonts w:eastAsia="仿宋_GB2312"/>
          <w:color w:val="000000"/>
          <w:sz w:val="32"/>
          <w:szCs w:val="32"/>
        </w:rPr>
      </w:pPr>
      <w:bookmarkStart w:id="62" w:name="_MON_1723882531"/>
      <w:bookmarkEnd w:id="62"/>
      <w:r>
        <w:rPr>
          <w:rFonts w:eastAsia="仿宋"/>
          <w:color w:val="000000"/>
          <w:sz w:val="32"/>
          <w:szCs w:val="32"/>
        </w:rPr>
        <w:object>
          <v:shape id="_x0000_i4" type="#_x0000_t75" filled="f" stroked="f" style="width:247.5pt;height:187.5pt;" o:ole="">
            <v:stroke color="#000000"/>
            <v:imagedata r:id="rId11" o:title="image4" cropbottom="-73f"/>
            <o:lock aspectratio="t"/>
            <w10:anchorLock/>
          </v:shape>
          <o:OLEObject Type="Embed" ProgID="Package" ShapeID="_x0000_i4" DrawAspect="Content" ObjectID="_1393063354" r:id="rId12"/>
        </w:object>
      </w:r>
    </w:p>
    <w:p>
      <w:pPr>
        <w:spacing w:line="578" w:lineRule="exact"/>
        <w:ind w:firstLineChars="200" w:firstLine="640"/>
        <w:rPr>
          <w:rFonts w:eastAsia="仿宋_GB2312"/>
          <w:color w:val="000000"/>
          <w:sz w:val="32"/>
          <w:szCs w:val="32"/>
        </w:rPr>
      </w:pPr>
      <w:r>
        <w:rPr>
          <w:rFonts w:eastAsia="仿宋_GB2312"/>
          <w:color w:val="000000"/>
          <w:sz w:val="32"/>
          <w:szCs w:val="32"/>
        </w:rPr>
        <w:t>（图4：财政拨款收、支决算总计变动情况）</w:t>
      </w:r>
    </w:p>
    <w:p>
      <w:pPr>
        <w:spacing w:line="578" w:lineRule="exact"/>
        <w:ind w:firstLineChars="200" w:firstLine="640"/>
        <w:rPr>
          <w:rFonts w:eastAsia="仿宋_GB2312"/>
          <w:color w:val="000000"/>
          <w:sz w:val="32"/>
          <w:szCs w:val="32"/>
        </w:rPr>
      </w:pPr>
    </w:p>
    <w:p>
      <w:pPr>
        <w:ind w:firstLineChars="200" w:firstLine="640"/>
        <w:outlineLvl w:val="1"/>
        <w:rPr>
          <w:rFonts w:eastAsia="黑体"/>
          <w:color w:val="000000"/>
          <w:sz w:val="32"/>
          <w:szCs w:val="32"/>
        </w:rPr>
      </w:pPr>
      <w:bookmarkStart w:id="63" w:name="_Toc144464239"/>
      <w:bookmarkStart w:id="64" w:name="_Toc15377209"/>
      <w:bookmarkStart w:id="65" w:name="_Toc82085536"/>
      <w:bookmarkStart w:id="66" w:name="_Toc15396607"/>
      <w:bookmarkStart w:id="67" w:name="_Toc82085423"/>
      <w:bookmarkStart w:id="68" w:name="_Toc145437065"/>
      <w:bookmarkStart w:id="69" w:name="_Toc145434818"/>
      <w:bookmarkStart w:id="70" w:name="_Toc113574861"/>
      <w:r>
        <w:rPr>
          <w:rFonts w:eastAsia="黑体"/>
          <w:color w:val="000000"/>
          <w:sz w:val="32"/>
          <w:szCs w:val="32"/>
        </w:rPr>
        <w:t>五、一般公共预算财政拨款支出决算情况说明</w:t>
      </w:r>
      <w:bookmarkEnd w:id="63"/>
      <w:bookmarkEnd w:id="64"/>
      <w:bookmarkEnd w:id="65"/>
      <w:bookmarkEnd w:id="66"/>
      <w:bookmarkEnd w:id="67"/>
      <w:bookmarkEnd w:id="68"/>
      <w:bookmarkEnd w:id="69"/>
      <w:bookmarkEnd w:id="70"/>
    </w:p>
    <w:p>
      <w:pPr>
        <w:spacing w:line="578" w:lineRule="exact"/>
        <w:ind w:firstLineChars="200" w:firstLine="640"/>
        <w:rPr>
          <w:rFonts w:eastAsia="楷体_GB2312"/>
          <w:b/>
          <w:color w:val="000000"/>
          <w:sz w:val="32"/>
          <w:szCs w:val="32"/>
        </w:rPr>
      </w:pPr>
      <w:bookmarkStart w:id="71" w:name="_Toc15377210"/>
      <w:r>
        <w:rPr>
          <w:rFonts w:eastAsia="楷体_GB2312"/>
          <w:b/>
          <w:color w:val="000000"/>
          <w:sz w:val="32"/>
          <w:szCs w:val="32"/>
        </w:rPr>
        <w:t>（一）一般公共预算财政拨款支出决算总体情况</w:t>
      </w:r>
      <w:bookmarkEnd w:id="71"/>
    </w:p>
    <w:p>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年一般公共预算财政拨款支出</w:t>
      </w:r>
      <w:r>
        <w:rPr>
          <w:rFonts w:eastAsia="仿宋_GB2312" w:hint="eastAsia"/>
          <w:color w:val="000000"/>
          <w:sz w:val="32"/>
          <w:szCs w:val="32"/>
        </w:rPr>
        <w:t>1027.22</w:t>
      </w:r>
      <w:r>
        <w:rPr>
          <w:rFonts w:eastAsia="仿宋_GB2312"/>
          <w:color w:val="000000"/>
          <w:sz w:val="32"/>
          <w:szCs w:val="32"/>
        </w:rPr>
        <w:t>万元，占本年支出合计的100%。与202</w:t>
      </w:r>
      <w:r>
        <w:rPr>
          <w:rFonts w:eastAsia="仿宋_GB2312" w:hint="eastAsia"/>
          <w:color w:val="000000"/>
          <w:sz w:val="32"/>
          <w:szCs w:val="32"/>
        </w:rPr>
        <w:t>2</w:t>
      </w:r>
      <w:r>
        <w:rPr>
          <w:rFonts w:eastAsia="仿宋_GB2312"/>
          <w:color w:val="000000"/>
          <w:sz w:val="32"/>
          <w:szCs w:val="32"/>
        </w:rPr>
        <w:t>年相比，一般公共预算财政拨款增加</w:t>
      </w:r>
      <w:r>
        <w:rPr>
          <w:rFonts w:eastAsia="仿宋" w:hint="eastAsia"/>
          <w:sz w:val="32"/>
          <w:szCs w:val="32"/>
        </w:rPr>
        <w:t>251.73</w:t>
      </w:r>
      <w:r>
        <w:rPr>
          <w:rFonts w:eastAsia="仿宋"/>
          <w:sz w:val="32"/>
          <w:szCs w:val="32"/>
        </w:rPr>
        <w:t>万元，增长</w:t>
      </w:r>
      <w:r>
        <w:rPr>
          <w:rFonts w:eastAsia="仿宋" w:hint="eastAsia"/>
          <w:sz w:val="32"/>
          <w:szCs w:val="32"/>
        </w:rPr>
        <w:t>32.46</w:t>
      </w:r>
      <w:r>
        <w:rPr>
          <w:rFonts w:eastAsia="仿宋"/>
          <w:sz w:val="32"/>
          <w:szCs w:val="32"/>
        </w:rPr>
        <w:t>%。</w:t>
      </w:r>
      <w:r>
        <w:rPr>
          <w:rFonts w:eastAsia="仿宋_GB2312"/>
          <w:sz w:val="32"/>
        </w:rPr>
        <w:t>，原因</w:t>
      </w:r>
      <w:r>
        <w:rPr>
          <w:rFonts w:eastAsia="仿宋_GB2312" w:hint="eastAsia"/>
          <w:sz w:val="32"/>
        </w:rPr>
        <w:t>：</w:t>
      </w:r>
      <w:r>
        <w:rPr>
          <w:rFonts w:eastAsia="仿宋_GB2312"/>
          <w:sz w:val="32"/>
          <w:szCs w:val="32"/>
        </w:rPr>
        <w:t>一是</w:t>
      </w:r>
      <w:r>
        <w:rPr>
          <w:rFonts w:eastAsia="仿宋_GB2312" w:hint="eastAsia"/>
          <w:sz w:val="32"/>
          <w:szCs w:val="32"/>
        </w:rPr>
        <w:t>在职人员</w:t>
      </w:r>
      <w:r>
        <w:rPr>
          <w:rFonts w:eastAsia="仿宋_GB2312"/>
          <w:sz w:val="32"/>
          <w:szCs w:val="32"/>
        </w:rPr>
        <w:t>职务晋级晋档，</w:t>
      </w:r>
      <w:r>
        <w:rPr>
          <w:rFonts w:eastAsia="仿宋_GB2312"/>
          <w:color w:val="000000"/>
          <w:sz w:val="32"/>
          <w:szCs w:val="32"/>
        </w:rPr>
        <w:t>人员经费</w:t>
      </w:r>
      <w:r>
        <w:rPr>
          <w:rFonts w:eastAsia="仿宋_GB2312" w:hint="eastAsia"/>
          <w:color w:val="000000"/>
          <w:sz w:val="32"/>
          <w:szCs w:val="32"/>
        </w:rPr>
        <w:t>增加</w:t>
      </w:r>
      <w:r>
        <w:rPr>
          <w:rFonts w:eastAsia="仿宋_GB2312"/>
          <w:color w:val="000000"/>
          <w:sz w:val="32"/>
          <w:szCs w:val="32"/>
        </w:rPr>
        <w:t>79.68万元，二是新增行政退休人员经费18.18万元，三是医保信息化建设项目经费</w:t>
      </w:r>
      <w:r>
        <w:rPr>
          <w:rFonts w:eastAsia="仿宋_GB2312" w:hint="eastAsia"/>
          <w:color w:val="000000"/>
          <w:sz w:val="32"/>
          <w:szCs w:val="32"/>
        </w:rPr>
        <w:t>增加</w:t>
      </w:r>
      <w:r>
        <w:rPr>
          <w:rFonts w:eastAsia="仿宋_GB2312"/>
          <w:color w:val="000000"/>
          <w:sz w:val="32"/>
          <w:szCs w:val="32"/>
        </w:rPr>
        <w:t>172.67万元</w:t>
      </w:r>
      <w:r>
        <w:rPr>
          <w:rFonts w:eastAsia="仿宋_GB2312"/>
          <w:sz w:val="32"/>
        </w:rPr>
        <w:t>。</w:t>
      </w:r>
    </w:p>
    <w:p>
      <w:pPr>
        <w:jc w:val="center"/>
        <w:rPr>
          <w:rFonts w:eastAsia="仿宋_GB2312"/>
          <w:color w:val="000000"/>
          <w:sz w:val="32"/>
          <w:szCs w:val="32"/>
        </w:rPr>
      </w:pPr>
      <w:bookmarkStart w:id="72" w:name="_MON_1723882884"/>
      <w:bookmarkEnd w:id="72"/>
      <w:r>
        <w:rPr>
          <w:rFonts w:eastAsia="仿宋"/>
          <w:color w:val="000000"/>
          <w:sz w:val="32"/>
          <w:szCs w:val="32"/>
        </w:rPr>
        <w:object>
          <v:shape id="_x0000_i5" type="#_x0000_t75" filled="f" stroked="f" style="width:225.75pt;height:189.75pt;" o:ole="">
            <v:stroke color="#000000"/>
            <v:imagedata r:id="rId13" o:title="image5" cropbottom="-34f"/>
            <o:lock aspectratio="t"/>
            <w10:anchorLock/>
          </v:shape>
          <o:OLEObject Type="Embed" ProgID="Package" ShapeID="_x0000_i5" DrawAspect="Content" ObjectID="_1393063355" r:id="rId14"/>
        </w:object>
      </w:r>
    </w:p>
    <w:p>
      <w:pPr>
        <w:spacing w:line="578" w:lineRule="exact"/>
        <w:jc w:val="center"/>
        <w:rPr>
          <w:rFonts w:eastAsia="仿宋_GB2312"/>
          <w:color w:val="000000"/>
          <w:spacing w:val="-10"/>
          <w:sz w:val="32"/>
          <w:szCs w:val="32"/>
        </w:rPr>
      </w:pPr>
      <w:r>
        <w:rPr>
          <w:rFonts w:eastAsia="仿宋_GB2312"/>
          <w:color w:val="000000"/>
          <w:spacing w:val="-10"/>
          <w:sz w:val="32"/>
          <w:szCs w:val="32"/>
        </w:rPr>
        <w:t>（图5：一般公共预算财政拨款支出决算变动情况）</w:t>
      </w:r>
    </w:p>
    <w:p>
      <w:pPr>
        <w:spacing w:line="578" w:lineRule="exact"/>
        <w:ind w:firstLineChars="200" w:firstLine="640"/>
        <w:rPr>
          <w:rFonts w:eastAsia="楷体_GB2312"/>
          <w:b/>
          <w:color w:val="000000"/>
          <w:sz w:val="32"/>
          <w:szCs w:val="32"/>
        </w:rPr>
      </w:pPr>
      <w:bookmarkStart w:id="73" w:name="_Toc15377211"/>
    </w:p>
    <w:p>
      <w:pPr>
        <w:spacing w:line="578" w:lineRule="exact"/>
        <w:ind w:firstLineChars="200" w:firstLine="640"/>
        <w:rPr>
          <w:rFonts w:eastAsia="楷体_GB2312"/>
          <w:b/>
          <w:color w:val="000000"/>
          <w:sz w:val="32"/>
          <w:szCs w:val="32"/>
        </w:rPr>
      </w:pPr>
      <w:r>
        <w:rPr>
          <w:rFonts w:eastAsia="楷体_GB2312"/>
          <w:b/>
          <w:color w:val="000000"/>
          <w:sz w:val="32"/>
          <w:szCs w:val="32"/>
        </w:rPr>
        <w:t>（二）一般公共预算财政拨款支出决算结构情况</w:t>
      </w:r>
      <w:bookmarkEnd w:id="73"/>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年一般公共预算财政拨款支出</w:t>
      </w:r>
      <w:r>
        <w:rPr>
          <w:rFonts w:eastAsia="仿宋_GB2312" w:hint="eastAsia"/>
          <w:color w:val="000000"/>
          <w:sz w:val="32"/>
          <w:szCs w:val="32"/>
        </w:rPr>
        <w:t>1027.22</w:t>
      </w:r>
      <w:r>
        <w:rPr>
          <w:rFonts w:eastAsia="仿宋_GB2312"/>
          <w:color w:val="000000"/>
          <w:sz w:val="32"/>
          <w:szCs w:val="32"/>
        </w:rPr>
        <w:t>万元，主要用于以下方面:</w:t>
      </w:r>
      <w:r>
        <w:rPr>
          <w:rFonts w:eastAsia="仿宋_GB2312"/>
          <w:b/>
          <w:color w:val="000000"/>
          <w:sz w:val="32"/>
          <w:szCs w:val="32"/>
        </w:rPr>
        <w:t>一般公共服务支出</w:t>
      </w:r>
      <w:r>
        <w:rPr>
          <w:rFonts w:eastAsia="仿宋_GB2312"/>
          <w:color w:val="000000"/>
          <w:sz w:val="32"/>
          <w:szCs w:val="32"/>
        </w:rPr>
        <w:t>0万元，占0%；</w:t>
      </w:r>
      <w:r>
        <w:rPr>
          <w:rFonts w:eastAsia="仿宋_GB2312"/>
          <w:b/>
          <w:color w:val="000000"/>
          <w:sz w:val="32"/>
          <w:szCs w:val="32"/>
        </w:rPr>
        <w:t>教育支出</w:t>
      </w:r>
      <w:r>
        <w:rPr>
          <w:rFonts w:eastAsia="仿宋_GB2312"/>
          <w:color w:val="000000"/>
          <w:sz w:val="32"/>
          <w:szCs w:val="32"/>
        </w:rPr>
        <w:t>0万元，占0%；</w:t>
      </w:r>
      <w:r>
        <w:rPr>
          <w:rFonts w:eastAsia="仿宋_GB2312"/>
          <w:b/>
          <w:color w:val="000000"/>
          <w:sz w:val="32"/>
          <w:szCs w:val="32"/>
        </w:rPr>
        <w:t>科学技术支出</w:t>
      </w:r>
      <w:r>
        <w:rPr>
          <w:rFonts w:eastAsia="仿宋_GB2312"/>
          <w:color w:val="000000"/>
          <w:sz w:val="32"/>
          <w:szCs w:val="32"/>
        </w:rPr>
        <w:t>0万元，占0%；</w:t>
      </w:r>
      <w:r>
        <w:rPr>
          <w:rFonts w:eastAsia="仿宋_GB2312"/>
          <w:b/>
          <w:bCs/>
          <w:color w:val="000000"/>
          <w:sz w:val="32"/>
          <w:szCs w:val="32"/>
        </w:rPr>
        <w:t>文化旅游体育与传媒支出0万元，占0%</w:t>
      </w:r>
      <w:r>
        <w:rPr>
          <w:rFonts w:eastAsia="仿宋_GB2312"/>
          <w:color w:val="000000"/>
          <w:sz w:val="32"/>
          <w:szCs w:val="32"/>
        </w:rPr>
        <w:t>；</w:t>
      </w:r>
      <w:r>
        <w:rPr>
          <w:rFonts w:eastAsia="仿宋_GB2312"/>
          <w:b/>
          <w:color w:val="000000"/>
          <w:sz w:val="32"/>
          <w:szCs w:val="32"/>
        </w:rPr>
        <w:t>社会保障和就业支出</w:t>
      </w:r>
      <w:r>
        <w:rPr>
          <w:rFonts w:eastAsia="仿宋_GB2312" w:hint="eastAsia"/>
          <w:color w:val="000000"/>
          <w:sz w:val="32"/>
          <w:szCs w:val="32"/>
        </w:rPr>
        <w:t>73.49</w:t>
      </w:r>
      <w:r>
        <w:rPr>
          <w:rFonts w:eastAsia="仿宋_GB2312"/>
          <w:color w:val="000000"/>
          <w:sz w:val="32"/>
          <w:szCs w:val="32"/>
        </w:rPr>
        <w:t>万元，占</w:t>
      </w:r>
      <w:r>
        <w:rPr>
          <w:rFonts w:eastAsia="仿宋_GB2312" w:hint="eastAsia"/>
          <w:color w:val="000000"/>
          <w:sz w:val="32"/>
          <w:szCs w:val="32"/>
        </w:rPr>
        <w:t>7.15</w:t>
      </w:r>
      <w:r>
        <w:rPr>
          <w:rFonts w:eastAsia="仿宋_GB2312"/>
          <w:color w:val="000000"/>
          <w:sz w:val="32"/>
          <w:szCs w:val="32"/>
        </w:rPr>
        <w:t>%；</w:t>
      </w:r>
      <w:r>
        <w:rPr>
          <w:rFonts w:eastAsia="仿宋_GB2312"/>
          <w:b/>
          <w:bCs/>
          <w:color w:val="000000"/>
          <w:sz w:val="32"/>
          <w:szCs w:val="32"/>
        </w:rPr>
        <w:t>卫生健康支出</w:t>
      </w:r>
      <w:r>
        <w:rPr>
          <w:rFonts w:eastAsia="仿宋_GB2312" w:hint="eastAsia"/>
          <w:color w:val="000000"/>
          <w:sz w:val="32"/>
          <w:szCs w:val="32"/>
        </w:rPr>
        <w:t>918.80</w:t>
      </w:r>
      <w:r>
        <w:rPr>
          <w:rFonts w:eastAsia="仿宋_GB2312"/>
          <w:color w:val="000000"/>
          <w:sz w:val="32"/>
          <w:szCs w:val="32"/>
        </w:rPr>
        <w:t>万元，占</w:t>
      </w:r>
      <w:r>
        <w:rPr>
          <w:rFonts w:eastAsia="仿宋_GB2312" w:hint="eastAsia"/>
          <w:color w:val="000000"/>
          <w:sz w:val="32"/>
          <w:szCs w:val="32"/>
        </w:rPr>
        <w:t>89.45</w:t>
      </w:r>
      <w:r>
        <w:rPr>
          <w:rFonts w:eastAsia="仿宋_GB2312"/>
          <w:color w:val="000000"/>
          <w:sz w:val="32"/>
          <w:szCs w:val="32"/>
        </w:rPr>
        <w:t>%；</w:t>
      </w:r>
      <w:r>
        <w:rPr>
          <w:rFonts w:eastAsia="仿宋_GB2312"/>
          <w:b/>
          <w:bCs/>
          <w:color w:val="000000"/>
          <w:sz w:val="32"/>
          <w:szCs w:val="32"/>
        </w:rPr>
        <w:t>住房保障支出</w:t>
      </w:r>
      <w:r>
        <w:rPr>
          <w:rFonts w:eastAsia="仿宋_GB2312" w:hint="eastAsia"/>
          <w:color w:val="000000"/>
          <w:sz w:val="32"/>
          <w:szCs w:val="32"/>
        </w:rPr>
        <w:t>34.93</w:t>
      </w:r>
      <w:r>
        <w:rPr>
          <w:rFonts w:eastAsia="仿宋_GB2312"/>
          <w:color w:val="000000"/>
          <w:sz w:val="32"/>
          <w:szCs w:val="32"/>
        </w:rPr>
        <w:t>万元，占</w:t>
      </w:r>
      <w:r>
        <w:rPr>
          <w:rFonts w:eastAsia="仿宋_GB2312" w:hint="eastAsia"/>
          <w:color w:val="000000"/>
          <w:sz w:val="32"/>
          <w:szCs w:val="32"/>
        </w:rPr>
        <w:t>3.40</w:t>
      </w:r>
      <w:r>
        <w:rPr>
          <w:rFonts w:eastAsia="仿宋_GB2312"/>
          <w:color w:val="000000"/>
          <w:sz w:val="32"/>
          <w:szCs w:val="32"/>
        </w:rPr>
        <w:t>%。</w:t>
      </w:r>
    </w:p>
    <w:p>
      <w:pPr>
        <w:jc w:val="center"/>
        <w:rPr>
          <w:rFonts w:eastAsia="仿宋_GB2312"/>
          <w:color w:val="000000"/>
          <w:sz w:val="32"/>
          <w:szCs w:val="32"/>
        </w:rPr>
      </w:pPr>
      <w:bookmarkStart w:id="74" w:name="_MON_1723883329"/>
      <w:bookmarkEnd w:id="74"/>
      <w:r>
        <w:rPr>
          <w:rFonts w:eastAsia="仿宋"/>
          <w:color w:val="000000"/>
          <w:sz w:val="32"/>
          <w:szCs w:val="32"/>
        </w:rPr>
        <w:object>
          <v:shape id="_x0000_i6" type="#_x0000_t75" filled="f" stroked="f" style="width:271.5pt;height:186.0pt;" o:ole="">
            <v:stroke color="#000000"/>
            <v:imagedata r:id="rId15" o:title="image6" cropbottom="-13f"/>
            <o:lock aspectratio="t"/>
            <w10:anchorLock/>
          </v:shape>
          <o:OLEObject Type="Embed" ProgID="Package" ShapeID="_x0000_i6" DrawAspect="Content" ObjectID="_1393063356" r:id="rId16"/>
        </w:object>
      </w:r>
    </w:p>
    <w:p>
      <w:pPr>
        <w:spacing w:line="578" w:lineRule="exact"/>
        <w:ind w:firstLineChars="200" w:firstLine="640"/>
        <w:rPr>
          <w:rFonts w:eastAsia="仿宋_GB2312"/>
          <w:color w:val="000000"/>
          <w:sz w:val="32"/>
          <w:szCs w:val="32"/>
        </w:rPr>
      </w:pPr>
      <w:r>
        <w:rPr>
          <w:rFonts w:eastAsia="仿宋_GB2312"/>
          <w:color w:val="000000"/>
          <w:sz w:val="32"/>
          <w:szCs w:val="32"/>
        </w:rPr>
        <w:t>（图6：一般公共预算财政拨款支出决算结构）</w:t>
      </w:r>
    </w:p>
    <w:p>
      <w:pPr>
        <w:tabs>
          <w:tab w:val="right" w:pos="8844"/>
        </w:tabs>
        <w:spacing w:line="578" w:lineRule="exact"/>
        <w:ind w:firstLineChars="200" w:firstLine="640"/>
        <w:rPr>
          <w:rFonts w:eastAsia="楷体_GB2312"/>
          <w:bCs/>
          <w:color w:val="000000"/>
          <w:sz w:val="32"/>
          <w:szCs w:val="32"/>
        </w:rPr>
      </w:pPr>
      <w:bookmarkStart w:id="75" w:name="_Toc15377212"/>
      <w:r>
        <w:rPr>
          <w:rFonts w:eastAsia="楷体_GB2312"/>
          <w:bCs/>
          <w:color w:val="000000"/>
          <w:sz w:val="32"/>
          <w:szCs w:val="32"/>
        </w:rPr>
        <w:t>（三）一般公共预算财政拨款支出决算具体情况</w:t>
      </w:r>
      <w:bookmarkEnd w:id="75"/>
      <w:r>
        <w:rPr>
          <w:rFonts w:eastAsia="楷体_GB2312"/>
          <w:bCs/>
          <w:color w:val="000000"/>
          <w:sz w:val="32"/>
          <w:szCs w:val="32"/>
        </w:rPr>
        <w:tab/>
      </w:r>
    </w:p>
    <w:p>
      <w:pPr>
        <w:spacing w:line="578" w:lineRule="exact"/>
        <w:ind w:firstLineChars="200" w:firstLine="640"/>
        <w:rPr>
          <w:rFonts w:eastAsia="仿宋_GB2312"/>
          <w:bCs/>
          <w:color w:val="000000"/>
          <w:sz w:val="32"/>
          <w:szCs w:val="32"/>
        </w:rPr>
      </w:pPr>
      <w:bookmarkStart w:id="76" w:name="_Toc15378460"/>
      <w:bookmarkStart w:id="77" w:name="_Toc15377213"/>
      <w:bookmarkStart w:id="78" w:name="_Toc15377444"/>
      <w:r>
        <w:rPr>
          <w:rFonts w:eastAsia="仿宋_GB2312"/>
          <w:bCs/>
          <w:color w:val="000000"/>
          <w:sz w:val="32"/>
          <w:szCs w:val="32"/>
        </w:rPr>
        <w:t>202</w:t>
      </w:r>
      <w:r>
        <w:rPr>
          <w:rFonts w:eastAsia="仿宋_GB2312" w:hint="eastAsia"/>
          <w:bCs/>
          <w:color w:val="000000"/>
          <w:sz w:val="32"/>
          <w:szCs w:val="32"/>
        </w:rPr>
        <w:t>3</w:t>
      </w:r>
      <w:r>
        <w:rPr>
          <w:rFonts w:eastAsia="仿宋_GB2312"/>
          <w:bCs/>
          <w:color w:val="000000"/>
          <w:sz w:val="32"/>
          <w:szCs w:val="32"/>
        </w:rPr>
        <w:t>年一般公共预算支出决算数为</w:t>
      </w:r>
      <w:r>
        <w:rPr>
          <w:rFonts w:eastAsia="仿宋_GB2312" w:hint="eastAsia"/>
          <w:bCs/>
          <w:color w:val="000000"/>
          <w:sz w:val="32"/>
          <w:szCs w:val="32"/>
        </w:rPr>
        <w:t>1027.22</w:t>
      </w:r>
      <w:r>
        <w:rPr>
          <w:rFonts w:eastAsia="仿宋_GB2312"/>
          <w:bCs/>
          <w:color w:val="000000"/>
          <w:sz w:val="32"/>
          <w:szCs w:val="32"/>
        </w:rPr>
        <w:t>万元，</w:t>
      </w:r>
      <w:r>
        <w:rPr>
          <w:rStyle w:val="32"/>
          <w:rFonts w:eastAsia="仿宋_GB2312"/>
          <w:b w:val="0"/>
          <w:bCs/>
          <w:color w:val="000000"/>
          <w:sz w:val="32"/>
          <w:szCs w:val="32"/>
        </w:rPr>
        <w:t>完成预算</w:t>
      </w:r>
      <w:r>
        <w:rPr>
          <w:rStyle w:val="32"/>
          <w:rFonts w:eastAsia="仿宋_GB2312" w:hint="eastAsia"/>
          <w:b w:val="0"/>
          <w:bCs/>
          <w:color w:val="000000"/>
          <w:sz w:val="32"/>
          <w:szCs w:val="32"/>
        </w:rPr>
        <w:t>98.15</w:t>
      </w:r>
      <w:r>
        <w:rPr>
          <w:rStyle w:val="32"/>
          <w:rFonts w:eastAsia="仿宋_GB2312"/>
          <w:b w:val="0"/>
          <w:bCs/>
          <w:color w:val="000000"/>
          <w:sz w:val="32"/>
          <w:szCs w:val="32"/>
        </w:rPr>
        <w:t>%。其中：</w:t>
      </w:r>
      <w:bookmarkEnd w:id="76"/>
      <w:bookmarkEnd w:id="77"/>
      <w:bookmarkEnd w:id="78"/>
    </w:p>
    <w:p>
      <w:pPr>
        <w:spacing w:line="578" w:lineRule="exact"/>
        <w:ind w:firstLineChars="200" w:firstLine="640"/>
        <w:rPr>
          <w:rStyle w:val="32"/>
          <w:rFonts w:eastAsia="仿宋_GB2312"/>
          <w:b w:val="0"/>
          <w:bCs/>
          <w:color w:val="000000"/>
          <w:sz w:val="32"/>
          <w:szCs w:val="32"/>
        </w:rPr>
      </w:pPr>
      <w:r>
        <w:rPr>
          <w:rStyle w:val="32"/>
          <w:rFonts w:eastAsia="仿宋_GB2312"/>
          <w:b w:val="0"/>
          <w:bCs/>
          <w:color w:val="000000"/>
          <w:sz w:val="32"/>
          <w:szCs w:val="32"/>
        </w:rPr>
        <w:t>1.社会保障和就业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（类）行政事业单位养老（款）机关事业单位基本养老保险缴费支出（项）:支出决算为</w:t>
      </w:r>
      <w:r>
        <w:rPr>
          <w:rStyle w:val="32"/>
          <w:rFonts w:eastAsia="仿宋_GB2312" w:hint="eastAsia"/>
          <w:b w:val="0"/>
          <w:bCs/>
          <w:color w:val="000000"/>
          <w:sz w:val="32"/>
          <w:szCs w:val="32"/>
        </w:rPr>
        <w:t>50.58</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b w:val="0"/>
          <w:bCs/>
          <w:color w:val="000000"/>
          <w:sz w:val="32"/>
          <w:szCs w:val="32"/>
        </w:rPr>
        <w:t>2.社会保障和就业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（类）行政事业单位养老（款）行政单位离退休（项）:支出决算为</w:t>
      </w:r>
      <w:r>
        <w:rPr>
          <w:rStyle w:val="32"/>
          <w:rFonts w:eastAsia="仿宋_GB2312" w:hint="eastAsia"/>
          <w:b w:val="0"/>
          <w:bCs/>
          <w:color w:val="000000"/>
          <w:sz w:val="32"/>
          <w:szCs w:val="32"/>
        </w:rPr>
        <w:t>12.80</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3</w:t>
      </w:r>
      <w:r>
        <w:rPr>
          <w:rStyle w:val="32"/>
          <w:rFonts w:eastAsia="仿宋_GB2312"/>
          <w:b w:val="0"/>
          <w:bCs/>
          <w:color w:val="000000"/>
          <w:sz w:val="32"/>
          <w:szCs w:val="32"/>
        </w:rPr>
        <w:t>.社会保障和就业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（类）行政事业单位养老（款）机关事业单位</w:t>
      </w:r>
      <w:r>
        <w:rPr>
          <w:rStyle w:val="32"/>
          <w:rFonts w:eastAsia="仿宋_GB2312" w:hint="eastAsia"/>
          <w:b w:val="0"/>
          <w:bCs/>
          <w:color w:val="000000"/>
          <w:sz w:val="32"/>
          <w:szCs w:val="32"/>
        </w:rPr>
        <w:t>职业年金缴费支出</w:t>
      </w:r>
      <w:r>
        <w:rPr>
          <w:rStyle w:val="32"/>
          <w:rFonts w:eastAsia="仿宋_GB2312"/>
          <w:b w:val="0"/>
          <w:bCs/>
          <w:color w:val="000000"/>
          <w:sz w:val="32"/>
          <w:szCs w:val="32"/>
        </w:rPr>
        <w:t>（项）:支出决算为</w:t>
      </w:r>
      <w:r>
        <w:rPr>
          <w:rStyle w:val="32"/>
          <w:rFonts w:eastAsia="仿宋_GB2312" w:hint="eastAsia"/>
          <w:b w:val="0"/>
          <w:bCs/>
          <w:color w:val="000000"/>
          <w:sz w:val="32"/>
          <w:szCs w:val="32"/>
        </w:rPr>
        <w:t>9.53</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4</w:t>
      </w:r>
      <w:r>
        <w:rPr>
          <w:rStyle w:val="32"/>
          <w:rFonts w:eastAsia="仿宋_GB2312"/>
          <w:b w:val="0"/>
          <w:bCs/>
          <w:color w:val="000000"/>
          <w:sz w:val="32"/>
          <w:szCs w:val="32"/>
        </w:rPr>
        <w:t>.社会保障和就业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（类）社会福利（款）儿童福利（项）:支出决算为0.</w:t>
      </w:r>
      <w:r>
        <w:rPr>
          <w:rStyle w:val="32"/>
          <w:rFonts w:eastAsia="仿宋_GB2312" w:hint="eastAsia"/>
          <w:b w:val="0"/>
          <w:bCs/>
          <w:color w:val="000000"/>
          <w:sz w:val="32"/>
          <w:szCs w:val="32"/>
        </w:rPr>
        <w:t>58</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5</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（类）医疗保障管理事务（款）行政运行（项）:支出决算为</w:t>
      </w:r>
      <w:r>
        <w:rPr>
          <w:rStyle w:val="32"/>
          <w:rFonts w:eastAsia="仿宋_GB2312" w:hint="eastAsia"/>
          <w:b w:val="0"/>
          <w:bCs/>
          <w:color w:val="000000"/>
          <w:sz w:val="32"/>
          <w:szCs w:val="32"/>
        </w:rPr>
        <w:t>268.14</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6</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（类）医疗保障管理事务（款）事业运行（项）:支出决算为</w:t>
      </w:r>
      <w:r>
        <w:rPr>
          <w:rStyle w:val="32"/>
          <w:rFonts w:eastAsia="仿宋_GB2312" w:hint="eastAsia"/>
          <w:b w:val="0"/>
          <w:bCs/>
          <w:color w:val="000000"/>
          <w:sz w:val="32"/>
          <w:szCs w:val="32"/>
        </w:rPr>
        <w:t>117.74</w:t>
      </w:r>
      <w:r>
        <w:rPr>
          <w:rStyle w:val="32"/>
          <w:rFonts w:eastAsia="仿宋_GB2312"/>
          <w:b w:val="0"/>
          <w:bCs/>
          <w:color w:val="000000"/>
          <w:sz w:val="32"/>
          <w:szCs w:val="32"/>
        </w:rPr>
        <w:t>万元，完成预算100%。</w:t>
      </w:r>
    </w:p>
    <w:p>
      <w:pPr>
        <w:spacing w:line="578" w:lineRule="exact"/>
        <w:ind w:firstLineChars="200" w:firstLine="640"/>
        <w:rPr>
          <w:rStyle w:val="32"/>
          <w:rFonts w:ascii="仿宋" w:eastAsia="仿宋" w:hAnsi="仿宋"/>
          <w:b w:val="0"/>
          <w:bCs/>
          <w:sz w:val="32"/>
          <w:szCs w:val="32"/>
        </w:rPr>
      </w:pPr>
      <w:r>
        <w:rPr>
          <w:rStyle w:val="32"/>
          <w:rFonts w:eastAsia="仿宋_GB2312" w:hint="eastAsia"/>
          <w:b w:val="0"/>
          <w:bCs/>
          <w:color w:val="000000"/>
          <w:sz w:val="32"/>
          <w:szCs w:val="32"/>
        </w:rPr>
        <w:t>7</w:t>
      </w:r>
      <w:r>
        <w:rPr>
          <w:rStyle w:val="32"/>
          <w:rFonts w:eastAsia="仿宋_GB2312"/>
          <w:b w:val="0"/>
          <w:bCs/>
          <w:color w:val="000000"/>
          <w:sz w:val="32"/>
          <w:szCs w:val="32"/>
        </w:rPr>
        <w:t>.</w:t>
      </w:r>
      <w:r>
        <w:rPr>
          <w:rFonts w:eastAsia="仿宋_GB2312"/>
          <w:bCs/>
          <w:color w:val="000000"/>
          <w:sz w:val="32"/>
          <w:szCs w:val="32"/>
        </w:rPr>
        <w:t>卫生健康</w:t>
      </w:r>
      <w:r>
        <w:rPr>
          <w:rFonts w:eastAsia="仿宋_GB2312" w:hint="eastAsia"/>
          <w:bCs/>
          <w:color w:val="000000"/>
          <w:sz w:val="32"/>
          <w:szCs w:val="32"/>
        </w:rPr>
        <w:t>支出</w:t>
      </w:r>
      <w:r>
        <w:rPr>
          <w:rStyle w:val="32"/>
          <w:rFonts w:eastAsia="仿宋_GB2312"/>
          <w:b w:val="0"/>
          <w:bCs/>
          <w:color w:val="000000"/>
          <w:sz w:val="32"/>
          <w:szCs w:val="32"/>
        </w:rPr>
        <w:t>（类）医疗保障管理事务（款）其他医疗保障管理事务支出（项）:支出决算为</w:t>
      </w:r>
      <w:r>
        <w:rPr>
          <w:rStyle w:val="32"/>
          <w:rFonts w:eastAsia="仿宋_GB2312" w:hint="eastAsia"/>
          <w:b w:val="0"/>
          <w:bCs/>
          <w:color w:val="000000"/>
          <w:sz w:val="32"/>
          <w:szCs w:val="32"/>
        </w:rPr>
        <w:t>504.26</w:t>
      </w:r>
      <w:r>
        <w:rPr>
          <w:rStyle w:val="32"/>
          <w:rFonts w:eastAsia="仿宋_GB2312"/>
          <w:b w:val="0"/>
          <w:bCs/>
          <w:color w:val="000000"/>
          <w:sz w:val="32"/>
          <w:szCs w:val="32"/>
        </w:rPr>
        <w:t>万元，完成预算</w:t>
      </w:r>
      <w:r>
        <w:rPr>
          <w:rStyle w:val="32"/>
          <w:rFonts w:eastAsia="仿宋_GB2312" w:hint="eastAsia"/>
          <w:b w:val="0"/>
          <w:bCs/>
          <w:color w:val="000000"/>
          <w:sz w:val="32"/>
          <w:szCs w:val="32"/>
        </w:rPr>
        <w:t>96.63</w:t>
      </w:r>
      <w:r>
        <w:rPr>
          <w:rStyle w:val="32"/>
          <w:rFonts w:eastAsia="仿宋_GB2312"/>
          <w:b w:val="0"/>
          <w:bCs/>
          <w:color w:val="000000"/>
          <w:sz w:val="32"/>
          <w:szCs w:val="32"/>
        </w:rPr>
        <w:t>%。</w:t>
      </w:r>
      <w:r>
        <w:rPr>
          <w:rStyle w:val="32"/>
          <w:rFonts w:ascii="仿宋" w:eastAsia="仿宋" w:hAnsi="仿宋" w:hint="eastAsia"/>
          <w:b w:val="0"/>
          <w:bCs/>
          <w:sz w:val="32"/>
          <w:szCs w:val="32"/>
        </w:rPr>
        <w:t>决算数小于预算数的主要原因是:医疗服务与保障能力提升项目部分工作年末才开展，19.31万元未完成支付,结转下年支付。</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8.</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行政单位医疗</w:t>
      </w:r>
      <w:r>
        <w:rPr>
          <w:rStyle w:val="32"/>
          <w:rFonts w:eastAsia="仿宋_GB2312"/>
          <w:b w:val="0"/>
          <w:bCs/>
          <w:color w:val="000000"/>
          <w:sz w:val="32"/>
          <w:szCs w:val="32"/>
        </w:rPr>
        <w:t>（项）:支出决算为</w:t>
      </w:r>
      <w:r>
        <w:rPr>
          <w:rStyle w:val="32"/>
          <w:rFonts w:eastAsia="仿宋_GB2312" w:hint="eastAsia"/>
          <w:b w:val="0"/>
          <w:bCs/>
          <w:color w:val="000000"/>
          <w:sz w:val="32"/>
          <w:szCs w:val="32"/>
        </w:rPr>
        <w:t>19.16</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9.</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事业单位医疗</w:t>
      </w:r>
      <w:r>
        <w:rPr>
          <w:rStyle w:val="32"/>
          <w:rFonts w:eastAsia="仿宋_GB2312"/>
          <w:b w:val="0"/>
          <w:bCs/>
          <w:color w:val="000000"/>
          <w:sz w:val="32"/>
          <w:szCs w:val="32"/>
        </w:rPr>
        <w:t>（项）:支出决算为</w:t>
      </w:r>
      <w:r>
        <w:rPr>
          <w:rStyle w:val="32"/>
          <w:rFonts w:eastAsia="仿宋_GB2312" w:hint="eastAsia"/>
          <w:b w:val="0"/>
          <w:bCs/>
          <w:color w:val="000000"/>
          <w:sz w:val="32"/>
          <w:szCs w:val="32"/>
        </w:rPr>
        <w:t>5.83</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10.</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公务员医疗补助</w:t>
      </w:r>
      <w:r>
        <w:rPr>
          <w:rStyle w:val="32"/>
          <w:rFonts w:eastAsia="仿宋_GB2312"/>
          <w:b w:val="0"/>
          <w:bCs/>
          <w:color w:val="000000"/>
          <w:sz w:val="32"/>
          <w:szCs w:val="32"/>
        </w:rPr>
        <w:t>（项）:支出决算为</w:t>
      </w:r>
      <w:r>
        <w:rPr>
          <w:rStyle w:val="32"/>
          <w:rFonts w:eastAsia="仿宋_GB2312" w:hint="eastAsia"/>
          <w:b w:val="0"/>
          <w:bCs/>
          <w:color w:val="000000"/>
          <w:sz w:val="32"/>
          <w:szCs w:val="32"/>
        </w:rPr>
        <w:t>0.91</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11.</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其他行政事业单位医疗</w:t>
      </w:r>
      <w:r>
        <w:rPr>
          <w:rStyle w:val="32"/>
          <w:rFonts w:eastAsia="仿宋_GB2312"/>
          <w:b w:val="0"/>
          <w:bCs/>
          <w:color w:val="000000"/>
          <w:sz w:val="32"/>
          <w:szCs w:val="32"/>
        </w:rPr>
        <w:t>（项）:支出决算为</w:t>
      </w:r>
      <w:r>
        <w:rPr>
          <w:rStyle w:val="32"/>
          <w:rFonts w:eastAsia="仿宋_GB2312" w:hint="eastAsia"/>
          <w:b w:val="0"/>
          <w:bCs/>
          <w:color w:val="000000"/>
          <w:sz w:val="32"/>
          <w:szCs w:val="32"/>
        </w:rPr>
        <w:t>2.76</w:t>
      </w:r>
      <w:r>
        <w:rPr>
          <w:rStyle w:val="32"/>
          <w:rFonts w:eastAsia="仿宋_GB2312"/>
          <w:b w:val="0"/>
          <w:bCs/>
          <w:color w:val="000000"/>
          <w:sz w:val="32"/>
          <w:szCs w:val="32"/>
        </w:rPr>
        <w:t>万元，完成预算100%。</w:t>
      </w:r>
    </w:p>
    <w:p>
      <w:pPr>
        <w:spacing w:line="578" w:lineRule="exact"/>
        <w:ind w:firstLineChars="200" w:firstLine="640"/>
        <w:rPr>
          <w:rFonts w:eastAsia="仿宋_GB2312"/>
          <w:bCs/>
          <w:color w:val="000000"/>
          <w:sz w:val="32"/>
          <w:szCs w:val="32"/>
        </w:rPr>
      </w:pPr>
      <w:r>
        <w:rPr>
          <w:rStyle w:val="32"/>
          <w:rFonts w:eastAsia="仿宋_GB2312" w:hint="eastAsia"/>
          <w:b w:val="0"/>
          <w:bCs/>
          <w:color w:val="000000"/>
          <w:sz w:val="32"/>
          <w:szCs w:val="32"/>
        </w:rPr>
        <w:t>12</w:t>
      </w:r>
      <w:r>
        <w:rPr>
          <w:rStyle w:val="32"/>
          <w:rFonts w:eastAsia="仿宋_GB2312"/>
          <w:b w:val="0"/>
          <w:bCs/>
          <w:color w:val="000000"/>
          <w:sz w:val="32"/>
          <w:szCs w:val="32"/>
        </w:rPr>
        <w:t>.</w:t>
      </w:r>
      <w:r>
        <w:rPr>
          <w:rFonts w:eastAsia="仿宋_GB2312"/>
          <w:bCs/>
          <w:color w:val="000000"/>
          <w:sz w:val="32"/>
          <w:szCs w:val="32"/>
        </w:rPr>
        <w:t>住房保障支出</w:t>
      </w:r>
      <w:r>
        <w:rPr>
          <w:rStyle w:val="32"/>
          <w:rFonts w:eastAsia="仿宋_GB2312"/>
          <w:b w:val="0"/>
          <w:bCs/>
          <w:color w:val="000000"/>
          <w:sz w:val="32"/>
          <w:szCs w:val="32"/>
        </w:rPr>
        <w:t>（类）住房改革支出（款）住房公积金（项）:支出决算为</w:t>
      </w:r>
      <w:r>
        <w:rPr>
          <w:rStyle w:val="32"/>
          <w:rFonts w:eastAsia="仿宋_GB2312" w:hint="eastAsia"/>
          <w:b w:val="0"/>
          <w:bCs/>
          <w:color w:val="000000"/>
          <w:sz w:val="32"/>
          <w:szCs w:val="32"/>
        </w:rPr>
        <w:t>34.93</w:t>
      </w:r>
      <w:r>
        <w:rPr>
          <w:rStyle w:val="32"/>
          <w:rFonts w:eastAsia="仿宋_GB2312"/>
          <w:b w:val="0"/>
          <w:bCs/>
          <w:color w:val="000000"/>
          <w:sz w:val="32"/>
          <w:szCs w:val="32"/>
        </w:rPr>
        <w:t>万元，完成预算100%。</w:t>
      </w:r>
    </w:p>
    <w:p>
      <w:pPr>
        <w:ind w:firstLineChars="200" w:firstLine="640"/>
        <w:outlineLvl w:val="1"/>
        <w:rPr>
          <w:rFonts w:eastAsia="黑体"/>
          <w:color w:val="000000"/>
          <w:sz w:val="32"/>
          <w:szCs w:val="32"/>
        </w:rPr>
      </w:pPr>
      <w:bookmarkStart w:id="79" w:name="_Toc82085537"/>
      <w:bookmarkStart w:id="80" w:name="_Toc82085424"/>
      <w:bookmarkStart w:id="81" w:name="_Toc113574862"/>
      <w:bookmarkStart w:id="82" w:name="_Toc15377214"/>
      <w:bookmarkStart w:id="83" w:name="_Toc15396608"/>
      <w:bookmarkStart w:id="84" w:name="_Toc144464240"/>
      <w:bookmarkStart w:id="85" w:name="_Toc145437066"/>
      <w:bookmarkStart w:id="86" w:name="_Toc145434819"/>
      <w:r>
        <w:rPr>
          <w:rFonts w:eastAsia="黑体"/>
          <w:color w:val="000000"/>
          <w:sz w:val="32"/>
          <w:szCs w:val="32"/>
        </w:rPr>
        <w:t>六、一般公共预算财政拨款基本支出决算情况说明</w:t>
      </w:r>
      <w:bookmarkEnd w:id="79"/>
      <w:bookmarkEnd w:id="80"/>
      <w:bookmarkEnd w:id="81"/>
      <w:bookmarkEnd w:id="82"/>
      <w:bookmarkEnd w:id="83"/>
      <w:bookmarkEnd w:id="84"/>
      <w:bookmarkEnd w:id="85"/>
      <w:bookmarkEnd w:id="86"/>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年一般公共预算财政拨款基本支出</w:t>
      </w:r>
      <w:r>
        <w:rPr>
          <w:rFonts w:eastAsia="仿宋_GB2312" w:hint="eastAsia"/>
          <w:color w:val="000000"/>
          <w:sz w:val="32"/>
          <w:szCs w:val="32"/>
        </w:rPr>
        <w:t>522.39</w:t>
      </w:r>
      <w:r>
        <w:rPr>
          <w:rFonts w:eastAsia="仿宋_GB2312"/>
          <w:color w:val="000000"/>
          <w:sz w:val="32"/>
          <w:szCs w:val="32"/>
        </w:rPr>
        <w:t>万元，其中：</w:t>
      </w:r>
    </w:p>
    <w:p>
      <w:pPr>
        <w:spacing w:line="578" w:lineRule="exact"/>
        <w:ind w:firstLineChars="200" w:firstLine="640"/>
        <w:rPr>
          <w:rFonts w:eastAsia="仿宋_GB2312"/>
          <w:color w:val="000000"/>
          <w:sz w:val="32"/>
          <w:szCs w:val="32"/>
        </w:rPr>
      </w:pPr>
      <w:r>
        <w:rPr>
          <w:rFonts w:eastAsia="仿宋_GB2312"/>
          <w:color w:val="000000"/>
          <w:sz w:val="32"/>
          <w:szCs w:val="32"/>
        </w:rPr>
        <w:t>人员经费</w:t>
      </w:r>
      <w:r>
        <w:rPr>
          <w:rFonts w:eastAsia="仿宋_GB2312" w:hint="eastAsia"/>
          <w:color w:val="000000"/>
          <w:sz w:val="32"/>
          <w:szCs w:val="32"/>
        </w:rPr>
        <w:t>支出459.73</w:t>
      </w:r>
      <w:r>
        <w:rPr>
          <w:rFonts w:eastAsia="仿宋_GB2312"/>
          <w:color w:val="000000"/>
          <w:sz w:val="32"/>
          <w:szCs w:val="32"/>
        </w:rPr>
        <w:t>万元，主要包括：基本工资</w:t>
      </w:r>
      <w:r>
        <w:rPr>
          <w:rFonts w:eastAsia="仿宋_GB2312" w:hint="eastAsia"/>
          <w:color w:val="000000"/>
          <w:sz w:val="32"/>
          <w:szCs w:val="32"/>
        </w:rPr>
        <w:t>103.21万元</w:t>
      </w:r>
      <w:r>
        <w:rPr>
          <w:rFonts w:eastAsia="仿宋_GB2312"/>
          <w:color w:val="000000"/>
          <w:sz w:val="32"/>
          <w:szCs w:val="32"/>
        </w:rPr>
        <w:t>、津贴补贴</w:t>
      </w:r>
      <w:r>
        <w:rPr>
          <w:rFonts w:eastAsia="仿宋_GB2312" w:hint="eastAsia"/>
          <w:color w:val="000000"/>
          <w:sz w:val="32"/>
          <w:szCs w:val="32"/>
        </w:rPr>
        <w:t>67.9</w:t>
      </w:r>
      <w:r>
        <w:rPr>
          <w:rFonts w:eastAsia="仿宋_GB2312" w:hint="eastAsia"/>
          <w:color w:val="000000"/>
          <w:sz w:val="32"/>
          <w:szCs w:val="32"/>
          <w:lang w:val="en-US" w:eastAsia="zh-CN"/>
        </w:rPr>
        <w:t>1</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奖金84.31万元、</w:t>
      </w:r>
      <w:r>
        <w:rPr>
          <w:rFonts w:eastAsia="仿宋_GB2312"/>
          <w:color w:val="000000"/>
          <w:sz w:val="32"/>
          <w:szCs w:val="32"/>
        </w:rPr>
        <w:t>绩效工资</w:t>
      </w:r>
      <w:r>
        <w:rPr>
          <w:rFonts w:eastAsia="仿宋_GB2312" w:hint="eastAsia"/>
          <w:color w:val="000000"/>
          <w:sz w:val="32"/>
          <w:szCs w:val="32"/>
        </w:rPr>
        <w:t>44.79万元</w:t>
      </w:r>
      <w:r>
        <w:rPr>
          <w:rFonts w:eastAsia="仿宋_GB2312"/>
          <w:color w:val="000000"/>
          <w:sz w:val="32"/>
          <w:szCs w:val="32"/>
        </w:rPr>
        <w:t>、机关事业单位基本养老保险缴费</w:t>
      </w:r>
      <w:r>
        <w:rPr>
          <w:rFonts w:eastAsia="仿宋_GB2312" w:hint="eastAsia"/>
          <w:color w:val="000000"/>
          <w:sz w:val="32"/>
          <w:szCs w:val="32"/>
        </w:rPr>
        <w:t>50.58万元</w:t>
      </w:r>
      <w:r>
        <w:rPr>
          <w:rFonts w:eastAsia="仿宋_GB2312"/>
          <w:color w:val="000000"/>
          <w:sz w:val="32"/>
          <w:szCs w:val="32"/>
        </w:rPr>
        <w:t>、</w:t>
      </w:r>
      <w:r>
        <w:rPr>
          <w:rFonts w:eastAsia="仿宋_GB2312" w:hint="eastAsia"/>
          <w:color w:val="000000"/>
          <w:sz w:val="32"/>
          <w:szCs w:val="32"/>
        </w:rPr>
        <w:t>职业年金缴费9.53万元、</w:t>
      </w:r>
      <w:r>
        <w:rPr>
          <w:rFonts w:eastAsia="仿宋_GB2312"/>
          <w:color w:val="000000"/>
          <w:sz w:val="32"/>
          <w:szCs w:val="32"/>
        </w:rPr>
        <w:t>职工基本医疗保险缴费</w:t>
      </w:r>
      <w:r>
        <w:rPr>
          <w:rFonts w:eastAsia="仿宋_GB2312" w:hint="eastAsia"/>
          <w:color w:val="000000"/>
          <w:sz w:val="32"/>
          <w:szCs w:val="32"/>
        </w:rPr>
        <w:t>23.32万元</w:t>
      </w:r>
      <w:r>
        <w:rPr>
          <w:rFonts w:eastAsia="仿宋_GB2312"/>
          <w:color w:val="000000"/>
          <w:sz w:val="32"/>
          <w:szCs w:val="32"/>
        </w:rPr>
        <w:t>、公务员医疗补助缴费</w:t>
      </w:r>
      <w:r>
        <w:rPr>
          <w:rFonts w:eastAsia="仿宋_GB2312" w:hint="eastAsia"/>
          <w:color w:val="000000"/>
          <w:sz w:val="32"/>
          <w:szCs w:val="32"/>
        </w:rPr>
        <w:t>5.35万元</w:t>
      </w:r>
      <w:r>
        <w:rPr>
          <w:rFonts w:eastAsia="仿宋_GB2312"/>
          <w:color w:val="000000"/>
          <w:sz w:val="32"/>
          <w:szCs w:val="32"/>
        </w:rPr>
        <w:t>、其他社会保障缴费</w:t>
      </w:r>
      <w:r>
        <w:rPr>
          <w:rFonts w:eastAsia="仿宋_GB2312" w:hint="eastAsia"/>
          <w:color w:val="000000"/>
          <w:sz w:val="32"/>
          <w:szCs w:val="32"/>
        </w:rPr>
        <w:t>1.19万元</w:t>
      </w:r>
      <w:r>
        <w:rPr>
          <w:rFonts w:eastAsia="仿宋_GB2312"/>
          <w:color w:val="000000"/>
          <w:sz w:val="32"/>
          <w:szCs w:val="32"/>
        </w:rPr>
        <w:t>、住房公积金</w:t>
      </w:r>
      <w:r>
        <w:rPr>
          <w:rFonts w:eastAsia="仿宋_GB2312" w:hint="eastAsia"/>
          <w:color w:val="000000"/>
          <w:sz w:val="32"/>
          <w:szCs w:val="32"/>
        </w:rPr>
        <w:t>34.93万元</w:t>
      </w:r>
      <w:r>
        <w:rPr>
          <w:rFonts w:eastAsia="仿宋_GB2312"/>
          <w:color w:val="000000"/>
          <w:sz w:val="32"/>
          <w:szCs w:val="32"/>
        </w:rPr>
        <w:t>、其他工资福利支出</w:t>
      </w:r>
      <w:r>
        <w:rPr>
          <w:rFonts w:eastAsia="仿宋_GB2312" w:hint="eastAsia"/>
          <w:color w:val="000000"/>
          <w:sz w:val="32"/>
          <w:szCs w:val="32"/>
        </w:rPr>
        <w:t>21.87万元</w:t>
      </w:r>
      <w:r>
        <w:rPr>
          <w:rFonts w:eastAsia="仿宋_GB2312"/>
          <w:color w:val="000000"/>
          <w:sz w:val="32"/>
          <w:szCs w:val="32"/>
        </w:rPr>
        <w:t>、</w:t>
      </w:r>
      <w:r>
        <w:rPr>
          <w:rFonts w:eastAsia="仿宋"/>
          <w:sz w:val="32"/>
          <w:szCs w:val="32"/>
        </w:rPr>
        <w:t>生活补助</w:t>
      </w:r>
      <w:r>
        <w:rPr>
          <w:rFonts w:eastAsia="仿宋" w:hint="eastAsia"/>
          <w:sz w:val="32"/>
          <w:szCs w:val="32"/>
        </w:rPr>
        <w:t>11.98万元、医疗费补助0.76万元</w:t>
      </w:r>
      <w:r>
        <w:rPr>
          <w:rFonts w:eastAsia="仿宋_GB2312"/>
          <w:color w:val="000000"/>
          <w:sz w:val="32"/>
          <w:szCs w:val="32"/>
        </w:rPr>
        <w:t>。</w:t>
      </w:r>
    </w:p>
    <w:p>
      <w:pPr>
        <w:spacing w:line="578" w:lineRule="exact"/>
        <w:ind w:firstLineChars="200" w:firstLine="640"/>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公用经费</w:t>
      </w:r>
      <w:r>
        <w:rPr>
          <w:rFonts w:eastAsia="仿宋_GB2312" w:hint="eastAsia"/>
          <w:color w:val="000000"/>
          <w:sz w:val="32"/>
          <w:szCs w:val="32"/>
        </w:rPr>
        <w:t>支出62.66</w:t>
      </w:r>
      <w:r>
        <w:rPr>
          <w:rFonts w:eastAsia="仿宋_GB2312"/>
          <w:color w:val="000000"/>
          <w:sz w:val="32"/>
          <w:szCs w:val="32"/>
        </w:rPr>
        <w:t>万元，主要包括：办公费</w:t>
      </w:r>
      <w:r>
        <w:rPr>
          <w:rFonts w:eastAsia="仿宋_GB2312" w:hint="eastAsia"/>
          <w:color w:val="000000"/>
          <w:sz w:val="32"/>
          <w:szCs w:val="32"/>
        </w:rPr>
        <w:t>6.7</w:t>
      </w:r>
      <w:r>
        <w:rPr>
          <w:rFonts w:eastAsia="仿宋_GB2312" w:hint="eastAsia"/>
          <w:color w:val="000000"/>
          <w:sz w:val="32"/>
          <w:szCs w:val="32"/>
          <w:lang w:val="en-US" w:eastAsia="zh-CN"/>
        </w:rPr>
        <w:t>3</w:t>
      </w:r>
      <w:r>
        <w:rPr>
          <w:rFonts w:eastAsia="仿宋_GB2312" w:hint="eastAsia"/>
          <w:color w:val="000000"/>
          <w:sz w:val="32"/>
          <w:szCs w:val="32"/>
        </w:rPr>
        <w:t>万元</w:t>
      </w:r>
      <w:r>
        <w:rPr>
          <w:rFonts w:eastAsia="仿宋_GB2312"/>
          <w:color w:val="000000"/>
          <w:sz w:val="32"/>
          <w:szCs w:val="32"/>
        </w:rPr>
        <w:t>、水费</w:t>
      </w:r>
      <w:r>
        <w:rPr>
          <w:rFonts w:eastAsia="仿宋_GB2312" w:hint="eastAsia"/>
          <w:color w:val="000000"/>
          <w:sz w:val="32"/>
          <w:szCs w:val="32"/>
        </w:rPr>
        <w:t>0.17万元</w:t>
      </w:r>
      <w:r>
        <w:rPr>
          <w:rFonts w:eastAsia="仿宋_GB2312"/>
          <w:color w:val="000000"/>
          <w:sz w:val="32"/>
          <w:szCs w:val="32"/>
        </w:rPr>
        <w:t>、电费</w:t>
      </w:r>
      <w:r>
        <w:rPr>
          <w:rFonts w:eastAsia="仿宋_GB2312" w:hint="eastAsia"/>
          <w:color w:val="000000"/>
          <w:sz w:val="32"/>
          <w:szCs w:val="32"/>
        </w:rPr>
        <w:t>5.0</w:t>
      </w:r>
      <w:r>
        <w:rPr>
          <w:rFonts w:eastAsia="仿宋_GB2312" w:hint="eastAsia"/>
          <w:color w:val="000000"/>
          <w:sz w:val="32"/>
          <w:szCs w:val="32"/>
          <w:lang w:val="en-US" w:eastAsia="zh-CN"/>
        </w:rPr>
        <w:t>4</w:t>
      </w:r>
      <w:r>
        <w:rPr>
          <w:rFonts w:eastAsia="仿宋_GB2312" w:hint="eastAsia"/>
          <w:color w:val="000000"/>
          <w:sz w:val="32"/>
          <w:szCs w:val="32"/>
        </w:rPr>
        <w:t>万元</w:t>
      </w:r>
      <w:r>
        <w:rPr>
          <w:rFonts w:eastAsia="仿宋_GB2312"/>
          <w:color w:val="000000"/>
          <w:sz w:val="32"/>
          <w:szCs w:val="32"/>
        </w:rPr>
        <w:t>、邮电费</w:t>
      </w:r>
      <w:r>
        <w:rPr>
          <w:rFonts w:eastAsia="仿宋_GB2312" w:hint="eastAsia"/>
          <w:color w:val="000000"/>
          <w:sz w:val="32"/>
          <w:szCs w:val="32"/>
        </w:rPr>
        <w:t>2.78万元</w:t>
      </w:r>
      <w:r>
        <w:rPr>
          <w:rFonts w:eastAsia="仿宋_GB2312"/>
          <w:color w:val="000000"/>
          <w:sz w:val="32"/>
          <w:szCs w:val="32"/>
        </w:rPr>
        <w:t>、物业管理费</w:t>
      </w:r>
      <w:r>
        <w:rPr>
          <w:rFonts w:eastAsia="仿宋_GB2312" w:hint="eastAsia"/>
          <w:color w:val="000000"/>
          <w:sz w:val="32"/>
          <w:szCs w:val="32"/>
        </w:rPr>
        <w:t>2.04万元</w:t>
      </w:r>
      <w:r>
        <w:rPr>
          <w:rFonts w:eastAsia="仿宋_GB2312"/>
          <w:color w:val="000000"/>
          <w:sz w:val="32"/>
          <w:szCs w:val="32"/>
        </w:rPr>
        <w:t>、差旅费</w:t>
      </w:r>
      <w:r>
        <w:rPr>
          <w:rFonts w:eastAsia="仿宋_GB2312" w:hint="eastAsia"/>
          <w:color w:val="000000"/>
          <w:sz w:val="32"/>
          <w:szCs w:val="32"/>
        </w:rPr>
        <w:t>5.85万元</w:t>
      </w:r>
      <w:r>
        <w:rPr>
          <w:rFonts w:eastAsia="仿宋_GB2312"/>
          <w:color w:val="000000"/>
          <w:sz w:val="32"/>
          <w:szCs w:val="32"/>
        </w:rPr>
        <w:t>、公务接待费</w:t>
      </w:r>
      <w:r>
        <w:rPr>
          <w:rFonts w:eastAsia="仿宋_GB2312" w:hint="eastAsia"/>
          <w:color w:val="000000"/>
          <w:sz w:val="32"/>
          <w:szCs w:val="32"/>
        </w:rPr>
        <w:t>0.68万元</w:t>
      </w:r>
      <w:r>
        <w:rPr>
          <w:rFonts w:eastAsia="仿宋_GB2312"/>
          <w:color w:val="000000"/>
          <w:sz w:val="32"/>
          <w:szCs w:val="32"/>
        </w:rPr>
        <w:t>、劳务费</w:t>
      </w:r>
      <w:r>
        <w:rPr>
          <w:rFonts w:eastAsia="仿宋_GB2312" w:hint="eastAsia"/>
          <w:color w:val="000000"/>
          <w:sz w:val="32"/>
          <w:szCs w:val="32"/>
        </w:rPr>
        <w:t>10.15万元</w:t>
      </w:r>
      <w:r>
        <w:rPr>
          <w:rFonts w:eastAsia="仿宋_GB2312"/>
          <w:color w:val="000000"/>
          <w:sz w:val="32"/>
          <w:szCs w:val="32"/>
        </w:rPr>
        <w:t>、工会经费</w:t>
      </w:r>
      <w:r>
        <w:rPr>
          <w:rFonts w:eastAsia="仿宋_GB2312" w:hint="eastAsia"/>
          <w:color w:val="000000"/>
          <w:sz w:val="32"/>
          <w:szCs w:val="32"/>
        </w:rPr>
        <w:t>5.97万元</w:t>
      </w:r>
      <w:r>
        <w:rPr>
          <w:rFonts w:eastAsia="仿宋_GB2312"/>
          <w:color w:val="000000"/>
          <w:sz w:val="32"/>
          <w:szCs w:val="32"/>
        </w:rPr>
        <w:t>、</w:t>
      </w:r>
      <w:r>
        <w:rPr>
          <w:rFonts w:eastAsia="仿宋_GB2312" w:hint="eastAsia"/>
          <w:color w:val="000000"/>
          <w:sz w:val="32"/>
          <w:szCs w:val="32"/>
          <w:lang w:val="en-US" w:eastAsia="zh-CN"/>
        </w:rPr>
        <w:t>福利费2.39万元，</w:t>
      </w:r>
      <w:r>
        <w:rPr>
          <w:rFonts w:eastAsia="仿宋_GB2312"/>
          <w:color w:val="000000"/>
          <w:sz w:val="32"/>
          <w:szCs w:val="32"/>
        </w:rPr>
        <w:t>公务用车运行维护费</w:t>
      </w:r>
      <w:r>
        <w:rPr>
          <w:rFonts w:eastAsia="仿宋_GB2312" w:hint="eastAsia"/>
          <w:color w:val="000000"/>
          <w:sz w:val="32"/>
          <w:szCs w:val="32"/>
        </w:rPr>
        <w:t>2.69万元</w:t>
      </w:r>
      <w:r>
        <w:rPr>
          <w:rFonts w:eastAsia="仿宋_GB2312"/>
          <w:color w:val="000000"/>
          <w:sz w:val="32"/>
          <w:szCs w:val="32"/>
        </w:rPr>
        <w:t>、其他交通费用</w:t>
      </w:r>
      <w:r>
        <w:rPr>
          <w:rFonts w:eastAsia="仿宋_GB2312" w:hint="eastAsia"/>
          <w:color w:val="000000"/>
          <w:sz w:val="32"/>
          <w:szCs w:val="32"/>
        </w:rPr>
        <w:t>15.86万元</w:t>
      </w:r>
      <w:r>
        <w:rPr>
          <w:rFonts w:eastAsia="仿宋_GB2312"/>
          <w:color w:val="000000"/>
          <w:sz w:val="32"/>
          <w:szCs w:val="32"/>
        </w:rPr>
        <w:t>、其他商品和服务支出</w:t>
      </w:r>
      <w:r>
        <w:rPr>
          <w:rFonts w:eastAsia="仿宋_GB2312" w:hint="eastAsia"/>
          <w:color w:val="000000"/>
          <w:sz w:val="32"/>
          <w:szCs w:val="32"/>
        </w:rPr>
        <w:t>2.31万元</w:t>
      </w:r>
      <w:r>
        <w:rPr>
          <w:rFonts w:eastAsia="仿宋_GB2312"/>
          <w:color w:val="000000"/>
          <w:sz w:val="32"/>
          <w:szCs w:val="32"/>
        </w:rPr>
        <w:t>。</w:t>
      </w:r>
    </w:p>
    <w:p>
      <w:pPr>
        <w:ind w:firstLineChars="200" w:firstLine="640"/>
        <w:outlineLvl w:val="1"/>
        <w:rPr>
          <w:rFonts w:eastAsia="黑体"/>
          <w:color w:val="000000"/>
          <w:sz w:val="32"/>
          <w:szCs w:val="32"/>
        </w:rPr>
      </w:pPr>
      <w:bookmarkStart w:id="87" w:name="_Toc15377215"/>
      <w:bookmarkStart w:id="88" w:name="_Toc144464241"/>
      <w:bookmarkStart w:id="89" w:name="_Toc82085425"/>
      <w:bookmarkStart w:id="90" w:name="_Toc145434820"/>
      <w:bookmarkStart w:id="91" w:name="_Toc145437067"/>
      <w:bookmarkStart w:id="92" w:name="_Toc15396609"/>
      <w:bookmarkStart w:id="93" w:name="_Toc82085538"/>
      <w:bookmarkStart w:id="94" w:name="_Toc113574863"/>
      <w:r>
        <w:rPr>
          <w:rFonts w:eastAsia="黑体"/>
          <w:color w:val="000000"/>
          <w:sz w:val="32"/>
          <w:szCs w:val="32"/>
        </w:rPr>
        <w:t>七、“三公”经费财政拨款支出决算情况说明</w:t>
      </w:r>
      <w:bookmarkEnd w:id="87"/>
      <w:bookmarkEnd w:id="88"/>
      <w:bookmarkEnd w:id="89"/>
      <w:bookmarkEnd w:id="90"/>
      <w:bookmarkEnd w:id="91"/>
      <w:bookmarkEnd w:id="92"/>
      <w:bookmarkEnd w:id="93"/>
      <w:bookmarkEnd w:id="94"/>
    </w:p>
    <w:p>
      <w:pPr>
        <w:spacing w:line="578" w:lineRule="exact"/>
        <w:ind w:firstLineChars="200" w:firstLine="640"/>
        <w:rPr>
          <w:rFonts w:eastAsia="仿宋_GB2312"/>
          <w:b/>
          <w:color w:val="000000"/>
          <w:sz w:val="32"/>
          <w:szCs w:val="32"/>
        </w:rPr>
      </w:pPr>
      <w:bookmarkStart w:id="95" w:name="_Toc15377216"/>
      <w:r>
        <w:rPr>
          <w:rFonts w:eastAsia="仿宋_GB2312"/>
          <w:b/>
          <w:color w:val="000000"/>
          <w:sz w:val="32"/>
          <w:szCs w:val="32"/>
        </w:rPr>
        <w:t>（一）“三公”经费财政拨款支出决算总体情况说明</w:t>
      </w:r>
      <w:bookmarkEnd w:id="95"/>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年“三公”经费财政拨款支出决算为</w:t>
      </w:r>
      <w:r>
        <w:rPr>
          <w:rFonts w:eastAsia="仿宋_GB2312" w:hint="eastAsia"/>
          <w:color w:val="000000"/>
          <w:sz w:val="32"/>
          <w:szCs w:val="32"/>
        </w:rPr>
        <w:t>3.38</w:t>
      </w:r>
      <w:r>
        <w:rPr>
          <w:rFonts w:eastAsia="仿宋_GB2312"/>
          <w:color w:val="000000"/>
          <w:sz w:val="32"/>
          <w:szCs w:val="32"/>
        </w:rPr>
        <w:t>万元，完成预算</w:t>
      </w:r>
      <w:r>
        <w:rPr>
          <w:rFonts w:eastAsia="仿宋_GB2312" w:hint="eastAsia"/>
          <w:color w:val="000000"/>
          <w:sz w:val="32"/>
          <w:szCs w:val="32"/>
        </w:rPr>
        <w:t>92.60</w:t>
      </w:r>
      <w:r>
        <w:rPr>
          <w:rFonts w:eastAsia="仿宋_GB2312"/>
          <w:color w:val="000000"/>
          <w:sz w:val="32"/>
          <w:szCs w:val="32"/>
        </w:rPr>
        <w:t>%，</w:t>
      </w:r>
      <w:r>
        <w:rPr>
          <w:rFonts w:eastAsia="仿宋"/>
          <w:sz w:val="32"/>
          <w:szCs w:val="32"/>
        </w:rPr>
        <w:t>较上年</w:t>
      </w:r>
      <w:r>
        <w:rPr>
          <w:rFonts w:eastAsia="仿宋" w:hint="eastAsia"/>
          <w:sz w:val="32"/>
          <w:szCs w:val="32"/>
        </w:rPr>
        <w:t>增加1.70</w:t>
      </w:r>
      <w:r>
        <w:rPr>
          <w:rFonts w:eastAsia="仿宋"/>
          <w:sz w:val="32"/>
          <w:szCs w:val="32"/>
        </w:rPr>
        <w:t>万元，</w:t>
      </w:r>
      <w:r>
        <w:rPr>
          <w:rFonts w:eastAsia="仿宋" w:hint="eastAsia"/>
          <w:sz w:val="32"/>
          <w:szCs w:val="32"/>
        </w:rPr>
        <w:t>增长101.19</w:t>
      </w:r>
      <w:r>
        <w:rPr>
          <w:rFonts w:eastAsia="仿宋"/>
          <w:sz w:val="32"/>
          <w:szCs w:val="32"/>
        </w:rPr>
        <w:t>%。</w:t>
      </w:r>
      <w:r>
        <w:rPr>
          <w:rFonts w:eastAsia="仿宋_GB2312"/>
          <w:color w:val="000000"/>
          <w:sz w:val="32"/>
          <w:szCs w:val="32"/>
        </w:rPr>
        <w:t>决算数小于预算数的主要原因：一是严格执行中央八项规定，按照能减就减的原则控制公务接待和公务用车费用支出。</w:t>
      </w:r>
      <w:r>
        <w:rPr>
          <w:rFonts w:eastAsia="仿宋_GB2312" w:hint="eastAsia"/>
          <w:color w:val="000000"/>
          <w:sz w:val="32"/>
          <w:szCs w:val="32"/>
        </w:rPr>
        <w:t>2023年支出同比大幅增长原因是：2022年底</w:t>
      </w:r>
      <w:r>
        <w:rPr>
          <w:rFonts w:eastAsia="仿宋_GB2312"/>
          <w:color w:val="000000"/>
          <w:sz w:val="32"/>
          <w:szCs w:val="32"/>
        </w:rPr>
        <w:t>部分</w:t>
      </w:r>
      <w:r>
        <w:rPr>
          <w:rFonts w:eastAsia="仿宋_GB2312" w:hint="eastAsia"/>
          <w:color w:val="000000"/>
          <w:sz w:val="32"/>
          <w:szCs w:val="32"/>
        </w:rPr>
        <w:t>公务用车</w:t>
      </w:r>
      <w:r>
        <w:rPr>
          <w:rFonts w:eastAsia="仿宋_GB2312"/>
          <w:color w:val="000000"/>
          <w:sz w:val="32"/>
          <w:szCs w:val="32"/>
        </w:rPr>
        <w:t>费用未成功支付</w:t>
      </w:r>
      <w:r>
        <w:rPr>
          <w:rFonts w:eastAsia="仿宋_GB2312" w:hint="eastAsia"/>
          <w:color w:val="000000"/>
          <w:sz w:val="32"/>
          <w:szCs w:val="32"/>
        </w:rPr>
        <w:t>，转移到了2023年支付</w:t>
      </w:r>
      <w:r>
        <w:rPr>
          <w:rFonts w:eastAsia="仿宋_GB2312"/>
          <w:color w:val="000000"/>
          <w:sz w:val="32"/>
          <w:szCs w:val="32"/>
        </w:rPr>
        <w:t>。</w:t>
      </w:r>
    </w:p>
    <w:p>
      <w:pPr>
        <w:spacing w:line="578" w:lineRule="exact"/>
        <w:ind w:firstLineChars="200" w:firstLine="640"/>
        <w:rPr>
          <w:rFonts w:eastAsia="仿宋_GB2312"/>
          <w:b/>
          <w:color w:val="000000"/>
          <w:sz w:val="32"/>
          <w:szCs w:val="32"/>
        </w:rPr>
      </w:pPr>
      <w:bookmarkStart w:id="96" w:name="_Toc15377217"/>
      <w:r>
        <w:rPr>
          <w:rFonts w:eastAsia="仿宋_GB2312"/>
          <w:b/>
          <w:color w:val="000000"/>
          <w:sz w:val="32"/>
          <w:szCs w:val="32"/>
        </w:rPr>
        <w:t>（二）“三公”经费财政拨款支出决算具体情况说明</w:t>
      </w:r>
      <w:bookmarkEnd w:id="96"/>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年“三公”经费财政拨款支出决算中，因公出国（境）费支出决算0万元，占0%；公务用车购置及运行维护费支出决算</w:t>
      </w:r>
      <w:r>
        <w:rPr>
          <w:rFonts w:eastAsia="仿宋_GB2312" w:hint="eastAsia"/>
          <w:color w:val="000000"/>
          <w:sz w:val="32"/>
          <w:szCs w:val="32"/>
        </w:rPr>
        <w:t>2.69</w:t>
      </w:r>
      <w:r>
        <w:rPr>
          <w:rFonts w:eastAsia="仿宋_GB2312"/>
          <w:color w:val="000000"/>
          <w:sz w:val="32"/>
          <w:szCs w:val="32"/>
        </w:rPr>
        <w:t>万元，占</w:t>
      </w:r>
      <w:r>
        <w:rPr>
          <w:rFonts w:eastAsia="仿宋_GB2312" w:hint="eastAsia"/>
          <w:color w:val="000000"/>
          <w:sz w:val="32"/>
          <w:szCs w:val="32"/>
        </w:rPr>
        <w:t>79.88</w:t>
      </w:r>
      <w:r>
        <w:rPr>
          <w:rFonts w:eastAsia="仿宋_GB2312"/>
          <w:color w:val="000000"/>
          <w:sz w:val="32"/>
          <w:szCs w:val="32"/>
        </w:rPr>
        <w:t>%；公务接待费支出决算0.6</w:t>
      </w:r>
      <w:r>
        <w:rPr>
          <w:rFonts w:eastAsia="仿宋_GB2312" w:hint="eastAsia"/>
          <w:color w:val="000000"/>
          <w:sz w:val="32"/>
          <w:szCs w:val="32"/>
        </w:rPr>
        <w:t>8</w:t>
      </w:r>
      <w:r>
        <w:rPr>
          <w:rFonts w:eastAsia="仿宋_GB2312"/>
          <w:color w:val="000000"/>
          <w:sz w:val="32"/>
          <w:szCs w:val="32"/>
        </w:rPr>
        <w:t>万元，占</w:t>
      </w:r>
      <w:r>
        <w:rPr>
          <w:rFonts w:eastAsia="仿宋_GB2312" w:hint="eastAsia"/>
          <w:color w:val="000000"/>
          <w:sz w:val="32"/>
          <w:szCs w:val="32"/>
        </w:rPr>
        <w:t>20.12</w:t>
      </w:r>
      <w:r>
        <w:rPr>
          <w:rFonts w:eastAsia="仿宋_GB2312"/>
          <w:color w:val="000000"/>
          <w:sz w:val="32"/>
          <w:szCs w:val="32"/>
        </w:rPr>
        <w:t>%。具体情况如下：</w:t>
      </w:r>
    </w:p>
    <w:p>
      <w:pPr>
        <w:jc w:val="center"/>
        <w:rPr>
          <w:rFonts w:eastAsia="仿宋_GB2312"/>
          <w:color w:val="000000"/>
          <w:sz w:val="32"/>
          <w:szCs w:val="32"/>
        </w:rPr>
      </w:pPr>
      <w:bookmarkStart w:id="97" w:name="_MON_1723894279"/>
      <w:bookmarkEnd w:id="97"/>
      <w:r>
        <w:rPr>
          <w:rFonts w:eastAsia="仿宋"/>
          <w:color w:val="000000"/>
          <w:sz w:val="32"/>
          <w:szCs w:val="32"/>
        </w:rPr>
        <w:object>
          <v:shape id="_x0000_i7" type="#_x0000_t75" filled="f" stroked="f" style="width:244.5pt;height:183.75pt;" o:ole="">
            <v:stroke color="#000000"/>
            <v:imagedata r:id="rId17" o:title="image7"/>
            <o:lock aspectratio="t"/>
            <w10:anchorLock/>
          </v:shape>
          <o:OLEObject Type="Embed" ProgID="Package" ShapeID="_x0000_i7" DrawAspect="Content" ObjectID="_1393063357" r:id="rId18"/>
        </w:object>
      </w:r>
    </w:p>
    <w:p>
      <w:pPr>
        <w:spacing w:line="578" w:lineRule="exact"/>
        <w:ind w:firstLineChars="200" w:firstLine="640"/>
        <w:rPr>
          <w:rFonts w:eastAsia="仿宋_GB2312"/>
          <w:color w:val="000000"/>
          <w:sz w:val="32"/>
          <w:szCs w:val="32"/>
        </w:rPr>
      </w:pPr>
      <w:r>
        <w:rPr>
          <w:rFonts w:eastAsia="仿宋_GB2312"/>
          <w:color w:val="000000"/>
          <w:sz w:val="32"/>
          <w:szCs w:val="32"/>
        </w:rPr>
        <w:t>（图7：“三公”经费财政拨款支出结构）</w:t>
      </w:r>
    </w:p>
    <w:p>
      <w:pPr>
        <w:spacing w:line="578" w:lineRule="exact"/>
        <w:ind w:firstLineChars="200" w:firstLine="640"/>
        <w:rPr>
          <w:rFonts w:eastAsia="仿宋_GB2312"/>
          <w:color w:val="000000"/>
          <w:sz w:val="32"/>
          <w:szCs w:val="32"/>
        </w:rPr>
      </w:pPr>
    </w:p>
    <w:p>
      <w:pPr>
        <w:spacing w:line="578" w:lineRule="exact"/>
        <w:ind w:firstLineChars="200" w:firstLine="640"/>
        <w:rPr>
          <w:rFonts w:eastAsia="仿宋_GB2312"/>
          <w:b/>
          <w:color w:val="000000"/>
          <w:sz w:val="32"/>
          <w:szCs w:val="32"/>
        </w:rPr>
      </w:pPr>
      <w:r>
        <w:rPr>
          <w:rFonts w:eastAsia="仿宋_GB2312"/>
          <w:b/>
          <w:color w:val="000000"/>
          <w:sz w:val="32"/>
          <w:szCs w:val="32"/>
        </w:rPr>
        <w:t>1.因公出国（境）经费支出</w:t>
      </w:r>
      <w:r>
        <w:rPr>
          <w:rFonts w:eastAsia="仿宋_GB2312"/>
          <w:color w:val="000000"/>
          <w:sz w:val="32"/>
          <w:szCs w:val="32"/>
        </w:rPr>
        <w:t>0万元，</w:t>
      </w:r>
      <w:r>
        <w:rPr>
          <w:rStyle w:val="32"/>
          <w:rFonts w:eastAsia="仿宋_GB2312"/>
          <w:b w:val="0"/>
          <w:bCs/>
          <w:color w:val="000000"/>
          <w:sz w:val="32"/>
          <w:szCs w:val="32"/>
        </w:rPr>
        <w:t>完成预算0%。</w:t>
      </w:r>
      <w:r>
        <w:rPr>
          <w:rFonts w:eastAsia="仿宋_GB2312"/>
          <w:color w:val="000000"/>
          <w:sz w:val="32"/>
          <w:szCs w:val="32"/>
        </w:rPr>
        <w:t>全年安排因公出国（境）团组0次，出国（境）0人。因公出国（境）支出决算比202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持平</w:t>
      </w:r>
      <w:r>
        <w:rPr>
          <w:rFonts w:eastAsia="仿宋_GB2312"/>
          <w:color w:val="000000"/>
          <w:sz w:val="32"/>
          <w:szCs w:val="32"/>
        </w:rPr>
        <w:t>。</w:t>
      </w:r>
    </w:p>
    <w:p>
      <w:pPr>
        <w:spacing w:line="578" w:lineRule="exact"/>
        <w:ind w:firstLineChars="200" w:firstLine="640"/>
        <w:rPr>
          <w:rFonts w:eastAsia="仿宋_GB2312"/>
          <w:color w:val="000000"/>
          <w:sz w:val="32"/>
          <w:szCs w:val="32"/>
        </w:rPr>
      </w:pPr>
      <w:r>
        <w:rPr>
          <w:rFonts w:eastAsia="仿宋_GB2312"/>
          <w:color w:val="000000"/>
          <w:sz w:val="32"/>
          <w:szCs w:val="32"/>
        </w:rPr>
        <w:t>开支内容：无</w:t>
      </w:r>
    </w:p>
    <w:p>
      <w:pPr>
        <w:spacing w:line="578" w:lineRule="exact"/>
        <w:ind w:firstLineChars="200" w:firstLine="640"/>
        <w:rPr>
          <w:rFonts w:eastAsia="仿宋_GB2312"/>
          <w:b/>
          <w:color w:val="000000"/>
          <w:sz w:val="32"/>
          <w:szCs w:val="32"/>
        </w:rPr>
      </w:pPr>
      <w:r>
        <w:rPr>
          <w:rFonts w:eastAsia="仿宋_GB2312"/>
          <w:b/>
          <w:color w:val="000000"/>
          <w:sz w:val="32"/>
          <w:szCs w:val="32"/>
        </w:rPr>
        <w:t>2.公务用车购置及运行维护费支出</w:t>
      </w:r>
      <w:r>
        <w:rPr>
          <w:rFonts w:eastAsia="仿宋_GB2312" w:hint="eastAsia"/>
          <w:color w:val="000000"/>
          <w:sz w:val="32"/>
          <w:szCs w:val="32"/>
        </w:rPr>
        <w:t>2.69</w:t>
      </w:r>
      <w:r>
        <w:rPr>
          <w:rFonts w:eastAsia="仿宋_GB2312"/>
          <w:color w:val="000000"/>
          <w:sz w:val="32"/>
          <w:szCs w:val="32"/>
        </w:rPr>
        <w:t>万元,</w:t>
      </w:r>
      <w:r>
        <w:rPr>
          <w:rStyle w:val="32"/>
          <w:rFonts w:eastAsia="仿宋_GB2312"/>
          <w:b w:val="0"/>
          <w:bCs/>
          <w:color w:val="000000"/>
          <w:sz w:val="32"/>
          <w:szCs w:val="32"/>
        </w:rPr>
        <w:t>完成预算</w:t>
      </w:r>
      <w:r>
        <w:rPr>
          <w:rStyle w:val="32"/>
          <w:rFonts w:eastAsia="仿宋_GB2312" w:hint="eastAsia"/>
          <w:b w:val="0"/>
          <w:bCs/>
          <w:color w:val="000000"/>
          <w:sz w:val="32"/>
          <w:szCs w:val="32"/>
        </w:rPr>
        <w:t>92.12</w:t>
      </w:r>
      <w:r>
        <w:rPr>
          <w:rStyle w:val="32"/>
          <w:rFonts w:eastAsia="仿宋_GB2312"/>
          <w:b w:val="0"/>
          <w:bCs/>
          <w:color w:val="000000"/>
          <w:sz w:val="32"/>
          <w:szCs w:val="32"/>
        </w:rPr>
        <w:t>%。</w:t>
      </w:r>
      <w:r>
        <w:rPr>
          <w:rFonts w:eastAsia="仿宋_GB2312"/>
          <w:color w:val="000000"/>
          <w:sz w:val="32"/>
          <w:szCs w:val="32"/>
        </w:rPr>
        <w:t>公务用车购置及运行维护费支出决算比202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增加1.70</w:t>
      </w:r>
      <w:r>
        <w:rPr>
          <w:rFonts w:eastAsia="仿宋_GB2312"/>
          <w:color w:val="000000"/>
          <w:sz w:val="32"/>
          <w:szCs w:val="32"/>
        </w:rPr>
        <w:t>万元，</w:t>
      </w:r>
      <w:r>
        <w:rPr>
          <w:rFonts w:eastAsia="仿宋_GB2312" w:hint="eastAsia"/>
          <w:color w:val="000000"/>
          <w:sz w:val="32"/>
          <w:szCs w:val="32"/>
        </w:rPr>
        <w:t>增长</w:t>
      </w:r>
      <w:r>
        <w:rPr>
          <w:rFonts w:eastAsia="仿宋" w:hint="eastAsia"/>
          <w:sz w:val="32"/>
          <w:szCs w:val="32"/>
        </w:rPr>
        <w:t>101.19</w:t>
      </w:r>
      <w:r>
        <w:rPr>
          <w:rFonts w:eastAsia="仿宋"/>
          <w:sz w:val="32"/>
          <w:szCs w:val="32"/>
        </w:rPr>
        <w:t>%</w:t>
      </w:r>
      <w:r>
        <w:rPr>
          <w:rFonts w:eastAsia="仿宋_GB2312"/>
          <w:color w:val="000000"/>
          <w:sz w:val="32"/>
          <w:szCs w:val="32"/>
        </w:rPr>
        <w:t>，主要原因是</w:t>
      </w:r>
      <w:r>
        <w:rPr>
          <w:rFonts w:eastAsia="仿宋_GB2312" w:hint="eastAsia"/>
          <w:color w:val="000000"/>
          <w:sz w:val="32"/>
          <w:szCs w:val="32"/>
        </w:rPr>
        <w:t>2022年底</w:t>
      </w:r>
      <w:r>
        <w:rPr>
          <w:rFonts w:eastAsia="仿宋_GB2312"/>
          <w:color w:val="000000"/>
          <w:sz w:val="32"/>
          <w:szCs w:val="32"/>
        </w:rPr>
        <w:t>部分</w:t>
      </w:r>
      <w:r>
        <w:rPr>
          <w:rFonts w:eastAsia="仿宋_GB2312" w:hint="eastAsia"/>
          <w:color w:val="000000"/>
          <w:sz w:val="32"/>
          <w:szCs w:val="32"/>
        </w:rPr>
        <w:t>公务用车</w:t>
      </w:r>
      <w:r>
        <w:rPr>
          <w:rFonts w:eastAsia="仿宋_GB2312"/>
          <w:color w:val="000000"/>
          <w:sz w:val="32"/>
          <w:szCs w:val="32"/>
        </w:rPr>
        <w:t>费用未成功支付</w:t>
      </w:r>
      <w:r>
        <w:rPr>
          <w:rFonts w:eastAsia="仿宋_GB2312" w:hint="eastAsia"/>
          <w:color w:val="000000"/>
          <w:sz w:val="32"/>
          <w:szCs w:val="32"/>
        </w:rPr>
        <w:t>，转移到了2023年支付</w:t>
      </w:r>
      <w:r>
        <w:rPr>
          <w:rFonts w:eastAsia="仿宋_GB2312"/>
          <w:color w:val="000000"/>
          <w:sz w:val="32"/>
          <w:szCs w:val="32"/>
        </w:rPr>
        <w:t>。</w:t>
      </w:r>
    </w:p>
    <w:p>
      <w:pPr>
        <w:spacing w:line="578" w:lineRule="exact"/>
        <w:ind w:firstLineChars="200" w:firstLine="64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0万元。全年按规定更新购置公务用车0辆，其中：轿车0辆、金额0万元，越野车0辆、金额0万元，载客汽车0辆、金额0万元。截至202</w:t>
      </w:r>
      <w:r>
        <w:rPr>
          <w:rFonts w:eastAsia="仿宋_GB2312" w:hint="eastAsia"/>
          <w:color w:val="000000"/>
          <w:sz w:val="32"/>
          <w:szCs w:val="32"/>
        </w:rPr>
        <w:t>3</w:t>
      </w:r>
      <w:r>
        <w:rPr>
          <w:rFonts w:eastAsia="仿宋_GB2312"/>
          <w:color w:val="000000"/>
          <w:sz w:val="32"/>
          <w:szCs w:val="32"/>
        </w:rPr>
        <w:t>年12月底，单位共有公务用车1辆，其中：轿车0辆、越野车1辆、载客汽车0辆。</w:t>
      </w:r>
    </w:p>
    <w:p>
      <w:pPr>
        <w:spacing w:line="578" w:lineRule="exact"/>
        <w:ind w:firstLineChars="200" w:firstLine="640"/>
        <w:rPr>
          <w:rFonts w:eastAsia="仿宋_GB2312"/>
          <w:color w:val="000000"/>
          <w:sz w:val="32"/>
          <w:szCs w:val="32"/>
        </w:rPr>
      </w:pPr>
      <w:r>
        <w:rPr>
          <w:rFonts w:eastAsia="仿宋_GB2312"/>
          <w:b/>
          <w:color w:val="000000"/>
          <w:sz w:val="32"/>
          <w:szCs w:val="32"/>
        </w:rPr>
        <w:t>公务用车运行维护费支出</w:t>
      </w:r>
      <w:r>
        <w:rPr>
          <w:rFonts w:eastAsia="仿宋_GB2312" w:hint="eastAsia"/>
          <w:color w:val="000000"/>
          <w:sz w:val="32"/>
          <w:szCs w:val="32"/>
        </w:rPr>
        <w:t>2.69</w:t>
      </w:r>
      <w:r>
        <w:rPr>
          <w:rFonts w:eastAsia="仿宋_GB2312"/>
          <w:color w:val="000000"/>
          <w:sz w:val="32"/>
          <w:szCs w:val="32"/>
        </w:rPr>
        <w:t>万元。主要用于网络信息化建设和维护等所需的业务用车燃料费、维修费、过路过桥费、保险费等支出。</w:t>
      </w:r>
    </w:p>
    <w:p>
      <w:pPr>
        <w:spacing w:line="578" w:lineRule="exact"/>
        <w:ind w:firstLineChars="200" w:firstLine="640"/>
        <w:rPr>
          <w:rFonts w:eastAsia="仿宋_GB2312"/>
          <w:color w:val="000000"/>
          <w:sz w:val="32"/>
          <w:szCs w:val="32"/>
        </w:rPr>
      </w:pPr>
      <w:r>
        <w:rPr>
          <w:rFonts w:eastAsia="仿宋_GB2312"/>
          <w:b/>
          <w:color w:val="000000"/>
          <w:sz w:val="32"/>
          <w:szCs w:val="32"/>
        </w:rPr>
        <w:t>3.公务接待费支出</w:t>
      </w:r>
      <w:r>
        <w:rPr>
          <w:rFonts w:eastAsia="仿宋_GB2312"/>
          <w:color w:val="000000"/>
          <w:sz w:val="32"/>
          <w:szCs w:val="32"/>
        </w:rPr>
        <w:t>0.6</w:t>
      </w:r>
      <w:r>
        <w:rPr>
          <w:rFonts w:eastAsia="仿宋_GB2312" w:hint="eastAsia"/>
          <w:color w:val="000000"/>
          <w:sz w:val="32"/>
          <w:szCs w:val="32"/>
        </w:rPr>
        <w:t>8</w:t>
      </w:r>
      <w:r>
        <w:rPr>
          <w:rFonts w:eastAsia="仿宋_GB2312"/>
          <w:color w:val="000000"/>
          <w:sz w:val="32"/>
          <w:szCs w:val="32"/>
        </w:rPr>
        <w:t>万元，</w:t>
      </w:r>
      <w:r>
        <w:rPr>
          <w:rStyle w:val="32"/>
          <w:rFonts w:eastAsia="仿宋_GB2312"/>
          <w:b w:val="0"/>
          <w:bCs/>
          <w:color w:val="000000"/>
          <w:sz w:val="32"/>
          <w:szCs w:val="32"/>
        </w:rPr>
        <w:t>完成预算</w:t>
      </w:r>
      <w:r>
        <w:rPr>
          <w:rStyle w:val="32"/>
          <w:rFonts w:eastAsia="仿宋_GB2312" w:hint="eastAsia"/>
          <w:b w:val="0"/>
          <w:bCs/>
          <w:color w:val="000000"/>
          <w:sz w:val="32"/>
          <w:szCs w:val="32"/>
        </w:rPr>
        <w:t>91.89</w:t>
      </w:r>
      <w:r>
        <w:rPr>
          <w:rStyle w:val="32"/>
          <w:rFonts w:eastAsia="仿宋_GB2312"/>
          <w:b w:val="0"/>
          <w:bCs/>
          <w:color w:val="000000"/>
          <w:sz w:val="32"/>
          <w:szCs w:val="32"/>
        </w:rPr>
        <w:t>%。</w:t>
      </w:r>
      <w:r>
        <w:rPr>
          <w:rFonts w:eastAsia="仿宋_GB2312"/>
          <w:color w:val="000000"/>
          <w:sz w:val="32"/>
          <w:szCs w:val="32"/>
        </w:rPr>
        <w:t>公务接待费支出决算比202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增加</w:t>
      </w:r>
      <w:r>
        <w:rPr>
          <w:rFonts w:eastAsia="仿宋_GB2312"/>
          <w:color w:val="000000"/>
          <w:sz w:val="32"/>
          <w:szCs w:val="32"/>
        </w:rPr>
        <w:t>0.</w:t>
      </w:r>
      <w:r>
        <w:rPr>
          <w:rFonts w:eastAsia="仿宋_GB2312" w:hint="eastAsia"/>
          <w:color w:val="000000"/>
          <w:sz w:val="32"/>
          <w:szCs w:val="32"/>
        </w:rPr>
        <w:t>07</w:t>
      </w:r>
      <w:r>
        <w:rPr>
          <w:rFonts w:eastAsia="仿宋_GB2312"/>
          <w:color w:val="000000"/>
          <w:sz w:val="32"/>
          <w:szCs w:val="32"/>
        </w:rPr>
        <w:t>万元，</w:t>
      </w:r>
      <w:r>
        <w:rPr>
          <w:rFonts w:eastAsia="仿宋_GB2312" w:hint="eastAsia"/>
          <w:color w:val="000000"/>
          <w:sz w:val="32"/>
          <w:szCs w:val="32"/>
        </w:rPr>
        <w:t>增长11.48</w:t>
      </w:r>
      <w:r>
        <w:rPr>
          <w:rFonts w:eastAsia="仿宋_GB2312"/>
          <w:color w:val="000000"/>
          <w:sz w:val="32"/>
          <w:szCs w:val="32"/>
        </w:rPr>
        <w:t>%。主要原因</w:t>
      </w:r>
      <w:r>
        <w:rPr>
          <w:rFonts w:eastAsia="仿宋_GB2312" w:hint="eastAsia"/>
          <w:color w:val="000000"/>
          <w:sz w:val="32"/>
          <w:szCs w:val="32"/>
        </w:rPr>
        <w:t>2023年公务接待批次及人次同比有所增加</w:t>
      </w:r>
      <w:r>
        <w:rPr>
          <w:rFonts w:eastAsia="仿宋_GB2312"/>
          <w:color w:val="000000"/>
          <w:sz w:val="32"/>
          <w:szCs w:val="32"/>
        </w:rPr>
        <w:t>。其中：</w:t>
      </w:r>
    </w:p>
    <w:p>
      <w:pPr>
        <w:spacing w:line="600" w:lineRule="exact"/>
        <w:ind w:firstLine="640"/>
        <w:rPr>
          <w:rFonts w:eastAsia="仿宋_GB2312"/>
          <w:sz w:val="32"/>
          <w:szCs w:val="32"/>
        </w:rPr>
      </w:pPr>
      <w:r>
        <w:rPr>
          <w:rFonts w:eastAsia="仿宋_GB2312"/>
          <w:b/>
          <w:color w:val="000000"/>
          <w:sz w:val="32"/>
          <w:szCs w:val="32"/>
        </w:rPr>
        <w:t>国内公务接待支出</w:t>
      </w:r>
      <w:r>
        <w:rPr>
          <w:rFonts w:eastAsia="仿宋_GB2312"/>
          <w:color w:val="000000"/>
          <w:sz w:val="32"/>
          <w:szCs w:val="32"/>
        </w:rPr>
        <w:t>0.6</w:t>
      </w:r>
      <w:r>
        <w:rPr>
          <w:rFonts w:eastAsia="仿宋_GB2312" w:hint="eastAsia"/>
          <w:color w:val="000000"/>
          <w:sz w:val="32"/>
          <w:szCs w:val="32"/>
        </w:rPr>
        <w:t>8</w:t>
      </w:r>
      <w:r>
        <w:rPr>
          <w:rFonts w:eastAsia="仿宋_GB2312"/>
          <w:color w:val="000000"/>
          <w:sz w:val="32"/>
          <w:szCs w:val="32"/>
        </w:rPr>
        <w:t>万元，主要用于外地调研、来攀考察、业务督导等开展医保业务活动开支的用餐费。</w:t>
      </w:r>
      <w:r>
        <w:rPr>
          <w:rFonts w:eastAsia="仿宋_GB2312"/>
          <w:sz w:val="32"/>
          <w:szCs w:val="32"/>
        </w:rPr>
        <w:t>国内公务接待</w:t>
      </w:r>
      <w:r>
        <w:rPr>
          <w:rFonts w:eastAsia="仿宋_GB2312" w:hint="eastAsia"/>
          <w:sz w:val="32"/>
          <w:szCs w:val="32"/>
        </w:rPr>
        <w:t>6</w:t>
      </w:r>
      <w:r>
        <w:rPr>
          <w:rFonts w:eastAsia="仿宋_GB2312"/>
          <w:sz w:val="32"/>
          <w:szCs w:val="32"/>
        </w:rPr>
        <w:t>批次，</w:t>
      </w:r>
      <w:r>
        <w:rPr>
          <w:rFonts w:eastAsia="仿宋_GB2312" w:hint="eastAsia"/>
          <w:sz w:val="32"/>
          <w:szCs w:val="32"/>
        </w:rPr>
        <w:t>54</w:t>
      </w:r>
      <w:r>
        <w:rPr>
          <w:rFonts w:eastAsia="仿宋_GB2312"/>
          <w:sz w:val="32"/>
          <w:szCs w:val="32"/>
        </w:rPr>
        <w:t>人次（不包括陪同人员），共计支出0.6</w:t>
      </w:r>
      <w:r>
        <w:rPr>
          <w:rFonts w:eastAsia="仿宋_GB2312" w:hint="eastAsia"/>
          <w:sz w:val="32"/>
          <w:szCs w:val="32"/>
        </w:rPr>
        <w:t>8</w:t>
      </w:r>
      <w:r>
        <w:rPr>
          <w:rFonts w:eastAsia="仿宋_GB2312"/>
          <w:sz w:val="32"/>
          <w:szCs w:val="32"/>
        </w:rPr>
        <w:t>万元，具体内容包括：1.</w:t>
      </w:r>
      <w:r>
        <w:rPr>
          <w:rFonts w:eastAsia="仿宋_GB2312" w:hint="eastAsia"/>
          <w:sz w:val="32"/>
          <w:szCs w:val="32"/>
        </w:rPr>
        <w:t>阿坝州医保局赴攀开展按疾病诊断相关分组付费方式改革考察</w:t>
      </w:r>
      <w:r>
        <w:rPr>
          <w:rFonts w:eastAsia="仿宋_GB2312"/>
          <w:sz w:val="32"/>
          <w:szCs w:val="32"/>
        </w:rPr>
        <w:t>接待用餐费0.</w:t>
      </w:r>
      <w:r>
        <w:rPr>
          <w:rFonts w:eastAsia="仿宋_GB2312" w:hint="eastAsia"/>
          <w:sz w:val="32"/>
          <w:szCs w:val="32"/>
        </w:rPr>
        <w:t>24</w:t>
      </w:r>
      <w:r>
        <w:rPr>
          <w:rFonts w:eastAsia="仿宋_GB2312"/>
          <w:sz w:val="32"/>
          <w:szCs w:val="32"/>
        </w:rPr>
        <w:t>万元；2.</w:t>
      </w:r>
      <w:r>
        <w:rPr>
          <w:rFonts w:eastAsia="仿宋_GB2312" w:hint="eastAsia"/>
          <w:sz w:val="32"/>
          <w:szCs w:val="32"/>
        </w:rPr>
        <w:t>国家医保局来攀验收省医保信息平台相关工作</w:t>
      </w:r>
      <w:r>
        <w:rPr>
          <w:rFonts w:eastAsia="仿宋_GB2312"/>
          <w:sz w:val="32"/>
          <w:szCs w:val="32"/>
        </w:rPr>
        <w:t>接待用餐费0.08万元；3.</w:t>
      </w:r>
      <w:r>
        <w:rPr>
          <w:rFonts w:eastAsia="仿宋_GB2312" w:hint="eastAsia"/>
          <w:sz w:val="32"/>
          <w:szCs w:val="32"/>
        </w:rPr>
        <w:t>省药械招采服务中心赴攀开展药品价格监测相关工作调研</w:t>
      </w:r>
      <w:r>
        <w:rPr>
          <w:rFonts w:eastAsia="仿宋_GB2312"/>
          <w:sz w:val="32"/>
          <w:szCs w:val="32"/>
        </w:rPr>
        <w:t>接待用餐费0.</w:t>
      </w:r>
      <w:r>
        <w:rPr>
          <w:rFonts w:eastAsia="仿宋_GB2312" w:hint="eastAsia"/>
          <w:sz w:val="32"/>
          <w:szCs w:val="32"/>
        </w:rPr>
        <w:t>0</w:t>
      </w:r>
      <w:r>
        <w:rPr>
          <w:rFonts w:eastAsia="仿宋_GB2312"/>
          <w:sz w:val="32"/>
          <w:szCs w:val="32"/>
        </w:rPr>
        <w:t>5万元；4.</w:t>
      </w:r>
      <w:r>
        <w:rPr>
          <w:rFonts w:eastAsia="仿宋_GB2312" w:hint="eastAsia"/>
          <w:sz w:val="32"/>
          <w:szCs w:val="32"/>
        </w:rPr>
        <w:t>宣城市医保局赴攀开展区域总额预算下的门诊慢特病、安宁疗护、日间手术等支付方式考察学习</w:t>
      </w:r>
      <w:r>
        <w:rPr>
          <w:rFonts w:eastAsia="仿宋_GB2312"/>
          <w:sz w:val="32"/>
          <w:szCs w:val="32"/>
        </w:rPr>
        <w:t>接待用餐费0.1</w:t>
      </w:r>
      <w:r>
        <w:rPr>
          <w:rFonts w:eastAsia="仿宋_GB2312" w:hint="eastAsia"/>
          <w:sz w:val="32"/>
          <w:szCs w:val="32"/>
        </w:rPr>
        <w:t>7</w:t>
      </w:r>
      <w:r>
        <w:rPr>
          <w:rFonts w:eastAsia="仿宋_GB2312"/>
          <w:sz w:val="32"/>
          <w:szCs w:val="32"/>
        </w:rPr>
        <w:t>万元；5.</w:t>
      </w:r>
      <w:r>
        <w:rPr>
          <w:rFonts w:eastAsia="仿宋_GB2312" w:hint="eastAsia"/>
          <w:sz w:val="32"/>
          <w:szCs w:val="32"/>
        </w:rPr>
        <w:t>重庆市綦江区医保局赴我局合作交流</w:t>
      </w:r>
      <w:r>
        <w:rPr>
          <w:rFonts w:eastAsia="仿宋_GB2312"/>
          <w:sz w:val="32"/>
          <w:szCs w:val="32"/>
        </w:rPr>
        <w:t>接待用餐费0.</w:t>
      </w:r>
      <w:r>
        <w:rPr>
          <w:rFonts w:eastAsia="仿宋_GB2312" w:hint="eastAsia"/>
          <w:sz w:val="32"/>
          <w:szCs w:val="32"/>
        </w:rPr>
        <w:t>05</w:t>
      </w:r>
      <w:r>
        <w:rPr>
          <w:rFonts w:eastAsia="仿宋_GB2312"/>
          <w:sz w:val="32"/>
          <w:szCs w:val="32"/>
        </w:rPr>
        <w:t>万元</w:t>
      </w:r>
      <w:r>
        <w:rPr>
          <w:rFonts w:eastAsia="仿宋_GB2312" w:hint="eastAsia"/>
          <w:sz w:val="32"/>
          <w:szCs w:val="32"/>
        </w:rPr>
        <w:t>；6</w:t>
      </w:r>
      <w:r>
        <w:rPr>
          <w:rFonts w:eastAsia="仿宋_GB2312"/>
          <w:sz w:val="32"/>
          <w:szCs w:val="32"/>
        </w:rPr>
        <w:t>.</w:t>
      </w:r>
      <w:r>
        <w:rPr>
          <w:rFonts w:eastAsia="仿宋_GB2312" w:hint="eastAsia"/>
          <w:sz w:val="32"/>
          <w:szCs w:val="32"/>
        </w:rPr>
        <w:t>雅安市医保局关于开展医保信息化建设交叉检查</w:t>
      </w:r>
      <w:r>
        <w:rPr>
          <w:rFonts w:eastAsia="仿宋_GB2312"/>
          <w:sz w:val="32"/>
          <w:szCs w:val="32"/>
        </w:rPr>
        <w:t>接待用餐费0.</w:t>
      </w:r>
      <w:r>
        <w:rPr>
          <w:rFonts w:eastAsia="仿宋_GB2312" w:hint="eastAsia"/>
          <w:sz w:val="32"/>
          <w:szCs w:val="32"/>
        </w:rPr>
        <w:t>09</w:t>
      </w:r>
      <w:r>
        <w:rPr>
          <w:rFonts w:eastAsia="仿宋_GB2312"/>
          <w:sz w:val="32"/>
          <w:szCs w:val="32"/>
        </w:rPr>
        <w:t>万元</w:t>
      </w:r>
      <w:r>
        <w:rPr>
          <w:rFonts w:eastAsia="仿宋_GB2312" w:hint="eastAsia"/>
          <w:sz w:val="32"/>
          <w:szCs w:val="32"/>
        </w:rPr>
        <w:t>；</w:t>
      </w:r>
      <w:r>
        <w:rPr>
          <w:rFonts w:eastAsia="仿宋_GB2312"/>
          <w:sz w:val="32"/>
          <w:szCs w:val="32"/>
        </w:rPr>
        <w:t>。</w:t>
      </w:r>
    </w:p>
    <w:p>
      <w:pPr>
        <w:spacing w:line="578" w:lineRule="exact"/>
        <w:ind w:firstLineChars="200" w:firstLine="640"/>
        <w:rPr>
          <w:rFonts w:eastAsia="仿宋_GB2312"/>
          <w:color w:val="000000"/>
          <w:sz w:val="32"/>
          <w:szCs w:val="32"/>
        </w:rPr>
      </w:pPr>
      <w:r>
        <w:rPr>
          <w:rFonts w:eastAsia="仿宋_GB2312"/>
          <w:b/>
          <w:color w:val="000000"/>
          <w:sz w:val="32"/>
          <w:szCs w:val="32"/>
        </w:rPr>
        <w:t>外事接待支出</w:t>
      </w:r>
      <w:r>
        <w:rPr>
          <w:rFonts w:eastAsia="仿宋_GB2312"/>
          <w:color w:val="000000"/>
          <w:sz w:val="32"/>
          <w:szCs w:val="32"/>
        </w:rPr>
        <w:t>0万元，外事接待0批次，0人，共计支出0万元。</w:t>
      </w:r>
      <w:bookmarkStart w:id="98" w:name="_Toc15396610"/>
      <w:bookmarkStart w:id="99" w:name="_Toc15377218"/>
    </w:p>
    <w:p>
      <w:pPr>
        <w:ind w:firstLineChars="200" w:firstLine="640"/>
        <w:outlineLvl w:val="1"/>
        <w:rPr>
          <w:rFonts w:eastAsia="黑体"/>
          <w:color w:val="000000"/>
          <w:sz w:val="32"/>
          <w:szCs w:val="32"/>
        </w:rPr>
      </w:pPr>
      <w:bookmarkStart w:id="100" w:name="_Toc145434821"/>
      <w:bookmarkStart w:id="101" w:name="_Toc82085426"/>
      <w:bookmarkStart w:id="102" w:name="_Toc145437068"/>
      <w:bookmarkStart w:id="103" w:name="_Toc113574864"/>
      <w:bookmarkStart w:id="104" w:name="_Toc144464242"/>
      <w:bookmarkStart w:id="105" w:name="_Toc82085539"/>
      <w:r>
        <w:rPr>
          <w:rFonts w:eastAsia="黑体"/>
          <w:color w:val="000000"/>
          <w:sz w:val="32"/>
          <w:szCs w:val="32"/>
        </w:rPr>
        <w:t>八、政府性基金预算支出决算情况说明</w:t>
      </w:r>
      <w:bookmarkEnd w:id="98"/>
      <w:bookmarkEnd w:id="99"/>
      <w:bookmarkEnd w:id="100"/>
      <w:bookmarkEnd w:id="101"/>
      <w:bookmarkEnd w:id="102"/>
      <w:bookmarkEnd w:id="103"/>
      <w:bookmarkEnd w:id="104"/>
      <w:bookmarkEnd w:id="105"/>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年政府性基金预算拨款支出0万元。</w:t>
      </w:r>
    </w:p>
    <w:p>
      <w:pPr>
        <w:ind w:firstLineChars="200" w:firstLine="640"/>
        <w:outlineLvl w:val="1"/>
        <w:rPr>
          <w:rFonts w:eastAsia="黑体"/>
          <w:color w:val="000000"/>
          <w:sz w:val="32"/>
          <w:szCs w:val="32"/>
        </w:rPr>
      </w:pPr>
      <w:bookmarkStart w:id="106" w:name="_Toc15396611"/>
      <w:bookmarkStart w:id="107" w:name="_Toc82085540"/>
      <w:bookmarkStart w:id="108" w:name="_Toc113574865"/>
      <w:bookmarkStart w:id="109" w:name="_Toc15377219"/>
      <w:bookmarkStart w:id="110" w:name="_Toc145437069"/>
      <w:bookmarkStart w:id="111" w:name="_Toc144464243"/>
      <w:bookmarkStart w:id="112" w:name="_Toc145434822"/>
      <w:bookmarkStart w:id="113" w:name="_Toc82085427"/>
      <w:r>
        <w:rPr>
          <w:rFonts w:eastAsia="黑体"/>
          <w:color w:val="000000"/>
          <w:sz w:val="32"/>
          <w:szCs w:val="32"/>
        </w:rPr>
        <w:t>九、国有资本经营预算支出决算情况说明</w:t>
      </w:r>
      <w:bookmarkEnd w:id="106"/>
      <w:bookmarkEnd w:id="107"/>
      <w:bookmarkEnd w:id="108"/>
      <w:bookmarkEnd w:id="109"/>
      <w:bookmarkEnd w:id="110"/>
      <w:bookmarkEnd w:id="111"/>
      <w:bookmarkEnd w:id="112"/>
      <w:bookmarkEnd w:id="113"/>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年国有资本经营预算拨款支出0万元。</w:t>
      </w:r>
    </w:p>
    <w:p>
      <w:pPr>
        <w:ind w:firstLineChars="200" w:firstLine="640"/>
        <w:rPr>
          <w:rFonts w:eastAsia="黑体"/>
          <w:b/>
          <w:bCs/>
          <w:color w:val="000000"/>
          <w:sz w:val="32"/>
          <w:szCs w:val="32"/>
        </w:rPr>
      </w:pPr>
      <w:bookmarkStart w:id="114" w:name="_Toc15396612"/>
      <w:bookmarkStart w:id="115" w:name="_Toc15377221"/>
      <w:r>
        <w:rPr>
          <w:rFonts w:eastAsia="黑体"/>
          <w:color w:val="000000"/>
          <w:sz w:val="32"/>
          <w:szCs w:val="32"/>
        </w:rPr>
        <w:t>十</w:t>
      </w:r>
      <w:r>
        <w:rPr>
          <w:rFonts w:eastAsia="黑体"/>
          <w:b/>
          <w:bCs/>
          <w:color w:val="000000"/>
          <w:sz w:val="32"/>
          <w:szCs w:val="32"/>
        </w:rPr>
        <w:t>、</w:t>
      </w:r>
      <w:r>
        <w:rPr>
          <w:rFonts w:eastAsia="黑体"/>
          <w:bCs/>
          <w:color w:val="000000"/>
          <w:sz w:val="32"/>
          <w:szCs w:val="32"/>
        </w:rPr>
        <w:t>其他重要事项的情况说明</w:t>
      </w:r>
      <w:bookmarkEnd w:id="114"/>
      <w:bookmarkEnd w:id="115"/>
    </w:p>
    <w:p>
      <w:pPr>
        <w:spacing w:line="578" w:lineRule="exact"/>
        <w:ind w:firstLineChars="200" w:firstLine="640"/>
        <w:rPr>
          <w:rFonts w:eastAsia="楷体_GB2312"/>
          <w:color w:val="000000"/>
          <w:sz w:val="32"/>
          <w:szCs w:val="32"/>
        </w:rPr>
      </w:pPr>
      <w:bookmarkStart w:id="116" w:name="_Toc15377222"/>
      <w:r>
        <w:rPr>
          <w:rFonts w:eastAsia="楷体_GB2312"/>
          <w:b/>
          <w:color w:val="000000"/>
          <w:sz w:val="32"/>
          <w:szCs w:val="32"/>
        </w:rPr>
        <w:t>（一）机关运行经费支出情况</w:t>
      </w:r>
      <w:bookmarkEnd w:id="116"/>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年，市医保局（含市医保信息中心）机关运行经费支出</w:t>
      </w:r>
      <w:r>
        <w:rPr>
          <w:rFonts w:eastAsia="仿宋_GB2312" w:hint="eastAsia"/>
          <w:color w:val="000000"/>
          <w:sz w:val="32"/>
          <w:szCs w:val="32"/>
        </w:rPr>
        <w:t>62.66</w:t>
      </w:r>
      <w:r>
        <w:rPr>
          <w:rFonts w:eastAsia="仿宋_GB2312"/>
          <w:color w:val="000000"/>
          <w:sz w:val="32"/>
          <w:szCs w:val="32"/>
        </w:rPr>
        <w:t>万元，比202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减少2.47</w:t>
      </w:r>
      <w:r>
        <w:rPr>
          <w:rFonts w:eastAsia="仿宋_GB2312"/>
          <w:color w:val="000000"/>
          <w:sz w:val="32"/>
          <w:szCs w:val="32"/>
        </w:rPr>
        <w:t>万元，</w:t>
      </w:r>
      <w:r>
        <w:rPr>
          <w:rFonts w:eastAsia="仿宋_GB2312" w:hint="eastAsia"/>
          <w:color w:val="000000"/>
          <w:sz w:val="32"/>
          <w:szCs w:val="32"/>
        </w:rPr>
        <w:t>下降3.79</w:t>
      </w:r>
      <w:r>
        <w:rPr>
          <w:rFonts w:eastAsia="仿宋_GB2312"/>
          <w:color w:val="000000"/>
          <w:sz w:val="32"/>
          <w:szCs w:val="32"/>
        </w:rPr>
        <w:t>%。</w:t>
      </w:r>
      <w:r>
        <w:rPr>
          <w:rFonts w:eastAsia="仿宋_GB2312"/>
          <w:color w:val="000000"/>
          <w:sz w:val="32"/>
        </w:rPr>
        <w:t>主要原因是</w:t>
      </w:r>
      <w:r>
        <w:rPr>
          <w:rFonts w:eastAsia="仿宋_GB2312" w:hint="eastAsia"/>
          <w:color w:val="000000"/>
          <w:sz w:val="32"/>
        </w:rPr>
        <w:t>2</w:t>
      </w:r>
      <w:r>
        <w:rPr>
          <w:rFonts w:eastAsia="仿宋_GB2312"/>
          <w:color w:val="000000"/>
          <w:sz w:val="32"/>
        </w:rPr>
        <w:t>02</w:t>
      </w:r>
      <w:r>
        <w:rPr>
          <w:rFonts w:eastAsia="仿宋_GB2312" w:hint="eastAsia"/>
          <w:color w:val="000000"/>
          <w:sz w:val="32"/>
        </w:rPr>
        <w:t>3</w:t>
      </w:r>
      <w:r>
        <w:rPr>
          <w:rFonts w:eastAsia="仿宋_GB2312"/>
          <w:color w:val="000000"/>
          <w:sz w:val="32"/>
        </w:rPr>
        <w:t>年长聘人员</w:t>
      </w:r>
      <w:r>
        <w:rPr>
          <w:rFonts w:eastAsia="仿宋_GB2312" w:hint="eastAsia"/>
          <w:color w:val="000000"/>
          <w:sz w:val="32"/>
        </w:rPr>
        <w:t>部分</w:t>
      </w:r>
      <w:r>
        <w:rPr>
          <w:rFonts w:eastAsia="仿宋_GB2312"/>
          <w:color w:val="000000"/>
          <w:sz w:val="32"/>
        </w:rPr>
        <w:t>劳务费</w:t>
      </w:r>
      <w:r>
        <w:rPr>
          <w:rFonts w:eastAsia="仿宋_GB2312" w:hint="eastAsia"/>
          <w:color w:val="000000"/>
          <w:sz w:val="32"/>
        </w:rPr>
        <w:t>由公用支出调整到人员支出中，导致机关运行经费支出同比</w:t>
      </w:r>
      <w:r>
        <w:rPr>
          <w:rFonts w:eastAsia="仿宋_GB2312"/>
          <w:color w:val="000000"/>
          <w:sz w:val="32"/>
        </w:rPr>
        <w:t>减少。</w:t>
      </w:r>
    </w:p>
    <w:p>
      <w:pPr>
        <w:spacing w:line="578" w:lineRule="exact"/>
        <w:ind w:firstLineChars="200" w:firstLine="640"/>
        <w:rPr>
          <w:rFonts w:eastAsia="楷体_GB2312"/>
          <w:b/>
          <w:color w:val="000000"/>
          <w:sz w:val="32"/>
          <w:szCs w:val="32"/>
        </w:rPr>
      </w:pPr>
      <w:bookmarkStart w:id="117" w:name="_Toc15377223"/>
      <w:r>
        <w:rPr>
          <w:rFonts w:eastAsia="楷体_GB2312"/>
          <w:b/>
          <w:color w:val="000000"/>
          <w:sz w:val="32"/>
          <w:szCs w:val="32"/>
        </w:rPr>
        <w:t>（二）政府采购支出情况</w:t>
      </w:r>
      <w:bookmarkEnd w:id="117"/>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年，市医保局政府采购支出总额</w:t>
      </w:r>
      <w:r>
        <w:rPr>
          <w:rFonts w:eastAsia="仿宋_GB2312" w:hint="eastAsia"/>
          <w:color w:val="000000"/>
          <w:sz w:val="32"/>
          <w:szCs w:val="32"/>
        </w:rPr>
        <w:t>147.25</w:t>
      </w:r>
      <w:r>
        <w:rPr>
          <w:rFonts w:eastAsia="仿宋_GB2312"/>
          <w:color w:val="000000"/>
          <w:sz w:val="32"/>
          <w:szCs w:val="32"/>
        </w:rPr>
        <w:t>万元，其中：政府采购货物支出</w:t>
      </w:r>
      <w:r>
        <w:rPr>
          <w:rFonts w:eastAsia="仿宋_GB2312" w:hint="eastAsia"/>
          <w:color w:val="000000"/>
          <w:sz w:val="32"/>
          <w:szCs w:val="32"/>
        </w:rPr>
        <w:t>8.06</w:t>
      </w:r>
      <w:r>
        <w:rPr>
          <w:rFonts w:eastAsia="仿宋_GB2312"/>
          <w:color w:val="000000"/>
          <w:sz w:val="32"/>
          <w:szCs w:val="32"/>
        </w:rPr>
        <w:t>万元、政府采购工程支出0万元、政府采购服务支出</w:t>
      </w:r>
      <w:r>
        <w:rPr>
          <w:rFonts w:eastAsia="仿宋_GB2312" w:hint="eastAsia"/>
          <w:color w:val="000000"/>
          <w:sz w:val="32"/>
          <w:szCs w:val="32"/>
        </w:rPr>
        <w:t>139.19</w:t>
      </w:r>
      <w:r>
        <w:rPr>
          <w:rFonts w:eastAsia="仿宋_GB2312"/>
          <w:color w:val="000000"/>
          <w:sz w:val="32"/>
          <w:szCs w:val="32"/>
        </w:rPr>
        <w:t>万元。</w:t>
      </w:r>
      <w:r>
        <w:rPr>
          <w:rFonts w:eastAsia="仿宋_GB2312"/>
          <w:sz w:val="32"/>
          <w:szCs w:val="32"/>
        </w:rPr>
        <w:t>主要用于</w:t>
      </w:r>
      <w:r>
        <w:rPr>
          <w:rFonts w:eastAsia="仿宋_GB2312" w:hint="eastAsia"/>
          <w:sz w:val="32"/>
          <w:szCs w:val="32"/>
        </w:rPr>
        <w:t>医保结算系统与基卫平台对接改造硬件设备购置、医保“综合柜员制”系统政策性功能调整开发项目和全市医疗保障专网建设（虚拟化平台安全防护软件）</w:t>
      </w:r>
      <w:r>
        <w:rPr>
          <w:rFonts w:eastAsia="仿宋_GB2312"/>
          <w:sz w:val="32"/>
          <w:szCs w:val="32"/>
        </w:rPr>
        <w:t>。</w:t>
      </w:r>
      <w:r>
        <w:rPr>
          <w:rFonts w:eastAsia="仿宋_GB2312"/>
          <w:color w:val="000000"/>
          <w:sz w:val="32"/>
          <w:szCs w:val="32"/>
        </w:rPr>
        <w:t>授予中小企业合同金额0万元，占政府采购支出总额的0%，其中：授予小微企业合同金额0万元，占政府采购支出总额的0%。</w:t>
      </w:r>
    </w:p>
    <w:p>
      <w:pPr>
        <w:spacing w:line="578" w:lineRule="exact"/>
        <w:ind w:firstLineChars="200" w:firstLine="640"/>
        <w:rPr>
          <w:rFonts w:eastAsia="楷体_GB2312"/>
          <w:b/>
          <w:color w:val="000000"/>
          <w:sz w:val="32"/>
          <w:szCs w:val="32"/>
        </w:rPr>
      </w:pPr>
      <w:bookmarkStart w:id="118" w:name="_Toc15377224"/>
      <w:r>
        <w:rPr>
          <w:rFonts w:eastAsia="楷体_GB2312"/>
          <w:b/>
          <w:color w:val="000000"/>
          <w:sz w:val="32"/>
          <w:szCs w:val="32"/>
        </w:rPr>
        <w:t>（三）国有资产占有使用情况</w:t>
      </w:r>
      <w:bookmarkEnd w:id="118"/>
    </w:p>
    <w:p>
      <w:pPr>
        <w:autoSpaceDE w:val="0"/>
        <w:autoSpaceDN w:val="0"/>
        <w:adjustRightInd w:val="0"/>
        <w:spacing w:line="578" w:lineRule="exact"/>
        <w:ind w:firstLineChars="200" w:firstLine="640"/>
        <w:rPr>
          <w:rFonts w:eastAsia="仿宋_GB2312"/>
          <w:color w:val="000000"/>
          <w:sz w:val="32"/>
          <w:szCs w:val="32"/>
        </w:rPr>
      </w:pPr>
      <w:r>
        <w:rPr>
          <w:rFonts w:eastAsia="仿宋_GB2312"/>
          <w:color w:val="000000"/>
          <w:sz w:val="32"/>
          <w:szCs w:val="32"/>
        </w:rPr>
        <w:t>截至202</w:t>
      </w:r>
      <w:r>
        <w:rPr>
          <w:rFonts w:eastAsia="仿宋_GB2312" w:hint="eastAsia"/>
          <w:color w:val="000000"/>
          <w:sz w:val="32"/>
          <w:szCs w:val="32"/>
        </w:rPr>
        <w:t>3</w:t>
      </w:r>
      <w:r>
        <w:rPr>
          <w:rFonts w:eastAsia="仿宋_GB2312"/>
          <w:color w:val="000000"/>
          <w:sz w:val="32"/>
          <w:szCs w:val="32"/>
        </w:rPr>
        <w:t>年12月31日，市医保局共有车辆1辆，其中：主要领导干部用车0辆、机要通信用车0辆、应急保障用车0辆、其他用车1辆，</w:t>
      </w:r>
      <w:r>
        <w:rPr>
          <w:rFonts w:eastAsia="仿宋_GB2312"/>
          <w:sz w:val="32"/>
          <w:szCs w:val="32"/>
        </w:rPr>
        <w:t>其他用车主要是用于全市医疗保障信息化建设以及600余家定点医药机构医保网络的日常运行、管理和维护等工作。</w:t>
      </w:r>
      <w:r>
        <w:rPr>
          <w:rFonts w:eastAsia="仿宋_GB2312"/>
          <w:color w:val="000000"/>
          <w:sz w:val="32"/>
          <w:szCs w:val="32"/>
        </w:rPr>
        <w:t>单价50万元以上通用设备0台（套），单价100万元以上专用设备0台（套）。</w:t>
      </w:r>
    </w:p>
    <w:p>
      <w:pPr>
        <w:spacing w:line="578" w:lineRule="exact"/>
        <w:ind w:firstLineChars="200" w:firstLine="640"/>
        <w:rPr>
          <w:rFonts w:eastAsia="楷体_GB2312"/>
          <w:b/>
          <w:color w:val="000000"/>
          <w:sz w:val="32"/>
          <w:szCs w:val="32"/>
        </w:rPr>
      </w:pPr>
      <w:r>
        <w:rPr>
          <w:rFonts w:eastAsia="楷体_GB2312"/>
          <w:b/>
          <w:color w:val="000000"/>
          <w:sz w:val="32"/>
          <w:szCs w:val="32"/>
        </w:rPr>
        <w:t>（四）预算绩效管理情况。</w:t>
      </w:r>
    </w:p>
    <w:p>
      <w:pPr>
        <w:spacing w:line="580" w:lineRule="exact"/>
        <w:ind w:firstLineChars="200" w:firstLine="640"/>
        <w:rPr>
          <w:rFonts w:eastAsia="仿宋_GB2312"/>
          <w:sz w:val="32"/>
          <w:szCs w:val="32"/>
        </w:rPr>
      </w:pPr>
      <w:r>
        <w:rPr>
          <w:rFonts w:eastAsia="仿宋_GB2312"/>
          <w:color w:val="000000"/>
          <w:sz w:val="32"/>
          <w:szCs w:val="32"/>
        </w:rPr>
        <w:t>根据预算绩效管理要求，市医保局在</w:t>
      </w:r>
      <w:r>
        <w:rPr>
          <w:rFonts w:eastAsia="仿宋_GB2312"/>
          <w:sz w:val="32"/>
          <w:szCs w:val="32"/>
        </w:rPr>
        <w:t>202</w:t>
      </w:r>
      <w:r>
        <w:rPr>
          <w:rFonts w:eastAsia="仿宋_GB2312" w:hint="eastAsia"/>
          <w:sz w:val="32"/>
          <w:szCs w:val="32"/>
        </w:rPr>
        <w:t>3</w:t>
      </w:r>
      <w:r>
        <w:rPr>
          <w:rFonts w:eastAsia="仿宋_GB2312"/>
          <w:sz w:val="32"/>
          <w:szCs w:val="32"/>
        </w:rPr>
        <w:t>年度预算编制阶段</w:t>
      </w:r>
      <w:r>
        <w:rPr>
          <w:rFonts w:eastAsia="仿宋_GB2312"/>
          <w:color w:val="000000"/>
          <w:sz w:val="32"/>
          <w:szCs w:val="32"/>
        </w:rPr>
        <w:t>，组织对</w:t>
      </w:r>
      <w:r>
        <w:rPr>
          <w:rFonts w:eastAsia="仿宋_GB2312" w:hint="eastAsia"/>
          <w:color w:val="000000"/>
          <w:sz w:val="32"/>
          <w:szCs w:val="32"/>
        </w:rPr>
        <w:t>向上争取资金工作经费、医疗保障公共服务体系建设、全市医疗保障业务专网及安全体系建设、信息系统维护费、</w:t>
      </w:r>
      <w:r>
        <w:rPr>
          <w:rFonts w:eastAsia="仿宋_GB2312" w:hint="eastAsia"/>
          <w:sz w:val="32"/>
          <w:szCs w:val="32"/>
        </w:rPr>
        <w:t>医保结算系统与基卫平台对接改造、医保“综合柜员制”系统政策性功能调整</w:t>
      </w:r>
      <w:r>
        <w:rPr>
          <w:rFonts w:eastAsia="仿宋_GB2312" w:hint="eastAsia"/>
          <w:color w:val="000000"/>
          <w:sz w:val="32"/>
          <w:szCs w:val="32"/>
        </w:rPr>
        <w:t>、关工委工作经费、医保机房设备搬迁暨系统切换服务、</w:t>
      </w:r>
      <w:r>
        <w:rPr>
          <w:rFonts w:eastAsia="仿宋_GB2312"/>
          <w:bCs/>
          <w:color w:val="000000"/>
          <w:sz w:val="32"/>
          <w:szCs w:val="32"/>
        </w:rPr>
        <w:t>医疗服务与保障能力提升</w:t>
      </w:r>
      <w:r>
        <w:rPr>
          <w:rFonts w:eastAsia="仿宋_GB2312" w:hint="eastAsia"/>
          <w:bCs/>
          <w:color w:val="000000"/>
          <w:sz w:val="32"/>
          <w:szCs w:val="32"/>
        </w:rPr>
        <w:t>中央财政</w:t>
      </w:r>
      <w:r>
        <w:rPr>
          <w:rFonts w:eastAsia="仿宋_GB2312"/>
          <w:bCs/>
          <w:color w:val="000000"/>
          <w:sz w:val="32"/>
          <w:szCs w:val="32"/>
        </w:rPr>
        <w:t>补助资金</w:t>
      </w:r>
      <w:r>
        <w:rPr>
          <w:rFonts w:eastAsia="仿宋_GB2312" w:hint="eastAsia"/>
          <w:color w:val="000000"/>
          <w:sz w:val="32"/>
          <w:szCs w:val="32"/>
        </w:rPr>
        <w:t>等9</w:t>
      </w:r>
      <w:r>
        <w:rPr>
          <w:rFonts w:eastAsia="仿宋_GB2312"/>
          <w:color w:val="000000"/>
          <w:sz w:val="32"/>
          <w:szCs w:val="32"/>
        </w:rPr>
        <w:t>个项目开展了预算事前绩效评估，对</w:t>
      </w:r>
      <w:r>
        <w:rPr>
          <w:rFonts w:eastAsia="仿宋_GB2312" w:hint="eastAsia"/>
          <w:color w:val="000000"/>
          <w:sz w:val="32"/>
          <w:szCs w:val="32"/>
        </w:rPr>
        <w:t>9</w:t>
      </w:r>
      <w:r>
        <w:rPr>
          <w:rFonts w:eastAsia="仿宋_GB2312"/>
          <w:color w:val="000000"/>
          <w:sz w:val="32"/>
          <w:szCs w:val="32"/>
        </w:rPr>
        <w:t>个项目编制了绩效目标，预算执行过程中，选取</w:t>
      </w:r>
      <w:r>
        <w:rPr>
          <w:rFonts w:eastAsia="仿宋_GB2312" w:hint="eastAsia"/>
          <w:color w:val="000000"/>
          <w:sz w:val="32"/>
          <w:szCs w:val="32"/>
        </w:rPr>
        <w:t>4</w:t>
      </w:r>
      <w:r>
        <w:rPr>
          <w:rFonts w:eastAsia="仿宋_GB2312"/>
          <w:color w:val="000000"/>
          <w:sz w:val="32"/>
          <w:szCs w:val="32"/>
        </w:rPr>
        <w:t>个项目开展绩效监控。</w:t>
      </w:r>
    </w:p>
    <w:p>
      <w:pPr>
        <w:spacing w:line="580" w:lineRule="exact"/>
        <w:ind w:firstLineChars="200" w:firstLine="640"/>
        <w:rPr>
          <w:rFonts w:eastAsia="仿宋_GB2312"/>
          <w:sz w:val="32"/>
          <w:szCs w:val="32"/>
        </w:rPr>
      </w:pPr>
      <w:r>
        <w:rPr>
          <w:rFonts w:eastAsia="仿宋_GB2312"/>
          <w:sz w:val="32"/>
          <w:szCs w:val="32"/>
        </w:rPr>
        <w:t>组织对202</w:t>
      </w:r>
      <w:r>
        <w:rPr>
          <w:rFonts w:eastAsia="仿宋_GB2312" w:hint="eastAsia"/>
          <w:sz w:val="32"/>
          <w:szCs w:val="32"/>
        </w:rPr>
        <w:t>3</w:t>
      </w:r>
      <w:r>
        <w:rPr>
          <w:rFonts w:eastAsia="仿宋_GB2312"/>
          <w:sz w:val="32"/>
          <w:szCs w:val="32"/>
        </w:rPr>
        <w:t>年度一般公共预算资金、</w:t>
      </w:r>
      <w:r>
        <w:rPr>
          <w:rFonts w:eastAsia="仿宋_GB2312"/>
          <w:bCs/>
          <w:color w:val="000000"/>
          <w:sz w:val="32"/>
          <w:szCs w:val="32"/>
        </w:rPr>
        <w:t>医疗服务与保障能力提升</w:t>
      </w:r>
      <w:r>
        <w:rPr>
          <w:rFonts w:eastAsia="仿宋_GB2312" w:hint="eastAsia"/>
          <w:bCs/>
          <w:color w:val="000000"/>
          <w:sz w:val="32"/>
          <w:szCs w:val="32"/>
        </w:rPr>
        <w:t>中央财政</w:t>
      </w:r>
      <w:r>
        <w:rPr>
          <w:rFonts w:eastAsia="仿宋_GB2312"/>
          <w:bCs/>
          <w:color w:val="000000"/>
          <w:sz w:val="32"/>
          <w:szCs w:val="32"/>
        </w:rPr>
        <w:t>补助资金</w:t>
      </w:r>
      <w:r>
        <w:rPr>
          <w:rFonts w:eastAsia="仿宋_GB2312" w:hint="eastAsia"/>
          <w:color w:val="000000"/>
          <w:sz w:val="32"/>
          <w:szCs w:val="32"/>
        </w:rPr>
        <w:t>等9</w:t>
      </w:r>
      <w:r>
        <w:rPr>
          <w:rFonts w:eastAsia="仿宋_GB2312"/>
          <w:color w:val="000000"/>
          <w:sz w:val="32"/>
          <w:szCs w:val="32"/>
        </w:rPr>
        <w:t>个项目</w:t>
      </w:r>
      <w:r>
        <w:rPr>
          <w:rFonts w:eastAsia="仿宋_GB2312"/>
          <w:sz w:val="32"/>
          <w:szCs w:val="32"/>
        </w:rPr>
        <w:t>开展绩效自评，形成</w:t>
      </w:r>
      <w:r>
        <w:rPr>
          <w:rFonts w:eastAsia="仿宋_GB2312" w:hint="eastAsia"/>
          <w:sz w:val="32"/>
          <w:szCs w:val="32"/>
        </w:rPr>
        <w:t>攀枝花市医疗保障局</w:t>
      </w:r>
      <w:r>
        <w:rPr>
          <w:rFonts w:eastAsia="仿宋_GB2312" w:hint="eastAsia"/>
          <w:sz w:val="32"/>
          <w:szCs w:val="32"/>
          <w:lang w:eastAsia="zh-CN"/>
        </w:rPr>
        <w:t>单位</w:t>
      </w:r>
      <w:r>
        <w:rPr>
          <w:rFonts w:eastAsia="仿宋_GB2312"/>
          <w:sz w:val="32"/>
          <w:szCs w:val="32"/>
        </w:rPr>
        <w:t>整体（含</w:t>
      </w:r>
      <w:r>
        <w:rPr>
          <w:rFonts w:eastAsia="仿宋_GB2312" w:hint="eastAsia"/>
          <w:sz w:val="32"/>
          <w:szCs w:val="32"/>
          <w:lang w:eastAsia="zh-CN"/>
        </w:rPr>
        <w:t>单位</w:t>
      </w:r>
      <w:r>
        <w:rPr>
          <w:rFonts w:eastAsia="仿宋_GB2312"/>
          <w:sz w:val="32"/>
          <w:szCs w:val="32"/>
        </w:rPr>
        <w:t>预算项目）绩效自评报告、攀枝花市医疗保障局关于小型机存储及虚拟化服务器等设备维保项目</w:t>
      </w:r>
      <w:r>
        <w:rPr>
          <w:rFonts w:eastAsia="仿宋_GB2312" w:hint="eastAsia"/>
          <w:sz w:val="32"/>
          <w:szCs w:val="32"/>
        </w:rPr>
        <w:t>、</w:t>
      </w:r>
      <w:r>
        <w:rPr>
          <w:rFonts w:eastAsia="仿宋_GB2312"/>
          <w:sz w:val="32"/>
          <w:szCs w:val="32"/>
        </w:rPr>
        <w:t>攀枝花市医疗保障局关于“综合柜员制”系统政策性功能调整项目</w:t>
      </w:r>
      <w:r>
        <w:rPr>
          <w:rFonts w:eastAsia="仿宋_GB2312" w:hint="eastAsia"/>
          <w:sz w:val="32"/>
          <w:szCs w:val="32"/>
        </w:rPr>
        <w:t>、</w:t>
      </w:r>
      <w:r>
        <w:rPr>
          <w:rFonts w:eastAsia="仿宋_GB2312"/>
          <w:sz w:val="32"/>
          <w:szCs w:val="32"/>
        </w:rPr>
        <w:t>攀枝花市医疗保障局关于医疗保障公共服务体系建设项目</w:t>
      </w:r>
      <w:r>
        <w:rPr>
          <w:rFonts w:eastAsia="仿宋_GB2312" w:hint="eastAsia"/>
          <w:sz w:val="32"/>
          <w:szCs w:val="32"/>
        </w:rPr>
        <w:t>等3</w:t>
      </w:r>
      <w:r>
        <w:rPr>
          <w:rFonts w:eastAsia="仿宋_GB2312"/>
          <w:sz w:val="32"/>
          <w:szCs w:val="32"/>
        </w:rPr>
        <w:t>个专项预算项目绩效自评报告</w:t>
      </w:r>
      <w:r>
        <w:rPr>
          <w:rFonts w:eastAsia="仿宋_GB2312" w:hint="eastAsia"/>
          <w:sz w:val="32"/>
          <w:szCs w:val="32"/>
        </w:rPr>
        <w:t>。</w:t>
      </w:r>
      <w:r>
        <w:rPr>
          <w:rFonts w:eastAsia="仿宋_GB2312"/>
          <w:sz w:val="32"/>
          <w:szCs w:val="32"/>
        </w:rPr>
        <w:t>其中</w:t>
      </w:r>
      <w:r>
        <w:rPr>
          <w:rFonts w:eastAsia="仿宋_GB2312" w:hint="eastAsia"/>
          <w:sz w:val="32"/>
          <w:szCs w:val="32"/>
        </w:rPr>
        <w:t>：1.攀枝花市医疗保障局</w:t>
      </w:r>
      <w:r>
        <w:rPr>
          <w:rFonts w:eastAsia="仿宋_GB2312" w:hint="eastAsia"/>
          <w:sz w:val="32"/>
          <w:szCs w:val="32"/>
          <w:lang w:eastAsia="zh-CN"/>
        </w:rPr>
        <w:t>单位</w:t>
      </w:r>
      <w:r>
        <w:rPr>
          <w:rFonts w:eastAsia="仿宋_GB2312"/>
          <w:sz w:val="32"/>
          <w:szCs w:val="32"/>
        </w:rPr>
        <w:t>整体（含</w:t>
      </w:r>
      <w:r>
        <w:rPr>
          <w:rFonts w:eastAsia="仿宋_GB2312" w:hint="eastAsia"/>
          <w:sz w:val="32"/>
          <w:szCs w:val="32"/>
          <w:lang w:eastAsia="zh-CN"/>
        </w:rPr>
        <w:t>单位</w:t>
      </w:r>
      <w:r>
        <w:rPr>
          <w:rFonts w:eastAsia="仿宋_GB2312"/>
          <w:sz w:val="32"/>
          <w:szCs w:val="32"/>
        </w:rPr>
        <w:t>预算项目）绩效自评得分为9</w:t>
      </w:r>
      <w:r>
        <w:rPr>
          <w:rFonts w:eastAsia="仿宋_GB2312" w:hint="eastAsia"/>
          <w:sz w:val="32"/>
          <w:szCs w:val="32"/>
        </w:rPr>
        <w:t>8.68</w:t>
      </w:r>
      <w:r>
        <w:rPr>
          <w:rFonts w:eastAsia="仿宋_GB2312"/>
          <w:sz w:val="32"/>
          <w:szCs w:val="32"/>
        </w:rPr>
        <w:t>分，绩效自评综述：2023年，我局</w:t>
      </w:r>
      <w:r>
        <w:rPr>
          <w:rFonts w:eastAsia="仿宋_GB2312"/>
          <w:sz w:val="32"/>
          <w:szCs w:val="32"/>
          <w:shd w:val="clear" w:color="auto" w:fill="FFFFFF"/>
        </w:rPr>
        <w:t>以习近平新时代中国特色社会主义思想为指导，</w:t>
      </w:r>
      <w:r>
        <w:rPr>
          <w:rFonts w:eastAsia="仿宋_GB2312"/>
          <w:sz w:val="32"/>
          <w:szCs w:val="32"/>
        </w:rPr>
        <w:t>认真落实国家、省集采部署，积极开展医药服务价格调整工作</w:t>
      </w:r>
      <w:r>
        <w:rPr>
          <w:rFonts w:eastAsia="仿宋_GB2312"/>
          <w:bCs/>
          <w:sz w:val="32"/>
          <w:szCs w:val="32"/>
          <w:shd w:val="clear" w:color="auto" w:fill="FFFFFF"/>
        </w:rPr>
        <w:t>，深入推进按疾病诊断相关分组（DRG）付费国家示范点建设，着力打造便捷高效的医保经办管理服务体系</w:t>
      </w:r>
      <w:r>
        <w:rPr>
          <w:rFonts w:eastAsia="仿宋_GB2312"/>
          <w:bCs/>
          <w:sz w:val="32"/>
          <w:szCs w:val="32"/>
        </w:rPr>
        <w:t>，不断加大基金监管工作力度，严厉打击欺诈骗保行为，进一步完善医保信息平台建设，有效提升了医疗保障服务能力，</w:t>
      </w:r>
      <w:r>
        <w:rPr>
          <w:rFonts w:eastAsia="仿宋_GB2312"/>
          <w:sz w:val="32"/>
          <w:szCs w:val="32"/>
        </w:rPr>
        <w:t>按预期绩效目标圆满完成了各项医保工作任务，实现了保运转，惠民生、促发展、推改革的总体目标</w:t>
      </w:r>
      <w:r>
        <w:rPr>
          <w:rFonts w:eastAsia="仿宋_GB2312" w:hint="eastAsia"/>
          <w:sz w:val="32"/>
          <w:szCs w:val="32"/>
        </w:rPr>
        <w:t>，</w:t>
      </w:r>
      <w:r>
        <w:rPr>
          <w:rFonts w:eastAsia="仿宋_GB2312"/>
          <w:sz w:val="32"/>
          <w:szCs w:val="32"/>
        </w:rPr>
        <w:t>整体支出绩效评价为优秀。</w:t>
      </w:r>
      <w:r>
        <w:rPr>
          <w:rFonts w:eastAsia="仿宋_GB2312" w:hint="eastAsia"/>
          <w:sz w:val="32"/>
          <w:szCs w:val="32"/>
        </w:rPr>
        <w:t>2.</w:t>
      </w:r>
      <w:r>
        <w:rPr>
          <w:rFonts w:eastAsia="仿宋_GB2312" w:hint="eastAsia"/>
          <w:color w:val="000000"/>
          <w:sz w:val="32"/>
          <w:szCs w:val="32"/>
        </w:rPr>
        <w:t>信息系统维护费-IBM小型机和虚拟化服务器维保</w:t>
      </w:r>
      <w:r>
        <w:rPr>
          <w:rFonts w:eastAsia="仿宋_GB2312"/>
          <w:sz w:val="32"/>
          <w:szCs w:val="32"/>
        </w:rPr>
        <w:t>项目绩效自评得分为100分，绩效自评综述</w:t>
      </w:r>
      <w:r>
        <w:rPr>
          <w:rFonts w:eastAsia="仿宋_GB2312" w:hint="eastAsia"/>
          <w:color w:val="000000"/>
          <w:sz w:val="32"/>
          <w:szCs w:val="32"/>
        </w:rPr>
        <w:t>：</w:t>
      </w:r>
      <w:r>
        <w:rPr>
          <w:rFonts w:eastAsia="仿宋_GB2312" w:hint="eastAsia"/>
          <w:color w:val="000000"/>
          <w:sz w:val="32"/>
          <w:szCs w:val="32"/>
          <w:lang w:val="zh-CN"/>
        </w:rPr>
        <w:t>通过该项目的实施，使维保范围内相关软硬件稳定运行，保障信息系统安全、稳定和高效运行，增强系统的可用性和安全性，提高系统运行服务水平和管理水平，保障医保业务系统的正常运行、落实省、市各项医保政策新增和变化，保障医保线下、线上各项业务正常运转，继续支撑医保线上业务的开展，保障参保群众的权益</w:t>
      </w:r>
      <w:r>
        <w:rPr>
          <w:rFonts w:eastAsia="仿宋_GB2312" w:hint="eastAsia"/>
          <w:color w:val="000000"/>
          <w:sz w:val="32"/>
          <w:szCs w:val="32"/>
        </w:rPr>
        <w:t>。3.</w:t>
      </w:r>
      <w:r>
        <w:rPr>
          <w:rFonts w:eastAsia="仿宋_GB2312" w:hint="eastAsia"/>
          <w:sz w:val="32"/>
          <w:szCs w:val="32"/>
        </w:rPr>
        <w:t>“综合柜员制”系统政策性功能调整</w:t>
      </w:r>
      <w:r>
        <w:rPr>
          <w:rFonts w:eastAsia="仿宋_GB2312"/>
          <w:sz w:val="32"/>
          <w:szCs w:val="32"/>
        </w:rPr>
        <w:t>项目绩效自评得分为</w:t>
      </w:r>
      <w:r>
        <w:rPr>
          <w:rFonts w:eastAsia="仿宋_GB2312" w:hint="eastAsia"/>
          <w:sz w:val="32"/>
          <w:szCs w:val="32"/>
        </w:rPr>
        <w:t>100</w:t>
      </w:r>
      <w:r>
        <w:rPr>
          <w:rFonts w:eastAsia="仿宋_GB2312"/>
          <w:sz w:val="32"/>
          <w:szCs w:val="32"/>
        </w:rPr>
        <w:t>分，绩效自评综述：</w:t>
      </w:r>
      <w:r>
        <w:rPr>
          <w:rFonts w:eastAsia="仿宋_GB2312" w:hint="eastAsia"/>
          <w:sz w:val="32"/>
          <w:szCs w:val="32"/>
        </w:rPr>
        <w:t>“综合柜员制”系统政策性功能调整保障了国家、省、市各级的政策能够正常实施，为建设省级统一的医疗保障系统做好基础工作，为全市参保群众提供更加便捷、可靠的服务。4.医疗保障公共服务体系建设项目</w:t>
      </w:r>
      <w:r>
        <w:rPr>
          <w:rFonts w:eastAsia="仿宋_GB2312"/>
          <w:sz w:val="32"/>
          <w:szCs w:val="32"/>
        </w:rPr>
        <w:t>绩效自评得分为</w:t>
      </w:r>
      <w:r>
        <w:rPr>
          <w:rFonts w:eastAsia="仿宋_GB2312" w:hint="eastAsia"/>
          <w:sz w:val="32"/>
          <w:szCs w:val="32"/>
        </w:rPr>
        <w:t>100</w:t>
      </w:r>
      <w:r>
        <w:rPr>
          <w:rFonts w:eastAsia="仿宋_GB2312"/>
          <w:sz w:val="32"/>
          <w:szCs w:val="32"/>
        </w:rPr>
        <w:t>分，绩效自评综述：</w:t>
      </w:r>
      <w:r>
        <w:rPr>
          <w:rFonts w:eastAsia="仿宋_GB2312" w:hint="eastAsia"/>
          <w:sz w:val="32"/>
          <w:szCs w:val="32"/>
        </w:rPr>
        <w:t>医疗保障公共服务体系建设，有利于提高医保公共服务能力输出，为群众提供更好的医保线上服务体验，提高群众对医保公共服务能力的满意度。参保群众通过医保微信公众号、医保手机APP、网上服务大厅、全省政务服务一体化平台，实现医保政务服务事项业务办理。绩效自评报告详见附件。</w:t>
      </w: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rPr>
          <w:rFonts w:eastAsia="仿宋_GB2312"/>
          <w:sz w:val="32"/>
          <w:szCs w:val="32"/>
        </w:rPr>
      </w:pPr>
    </w:p>
    <w:p>
      <w:pPr>
        <w:spacing w:line="580" w:lineRule="exact"/>
        <w:ind w:firstLineChars="200" w:firstLine="640"/>
        <w:rPr>
          <w:rFonts w:eastAsia="仿宋_GB2312"/>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numPr>
          <w:ilvl w:val="0"/>
          <w:numId w:val="1"/>
        </w:numPr>
        <w:spacing w:line="578" w:lineRule="exact"/>
        <w:jc w:val="center"/>
        <w:outlineLvl w:val="0"/>
        <w:rPr>
          <w:rStyle w:val="1Char"/>
          <w:rFonts w:eastAsia="方正小标宋_GBK"/>
          <w:b w:val="0"/>
          <w:color w:val="000000"/>
        </w:rPr>
      </w:pPr>
      <w:bookmarkStart w:id="119" w:name="_Toc113574866"/>
      <w:bookmarkStart w:id="120" w:name="_Toc15377225"/>
      <w:bookmarkStart w:id="121" w:name="_Toc145434823"/>
      <w:bookmarkStart w:id="122" w:name="_Toc145437070"/>
      <w:bookmarkStart w:id="123" w:name="_Toc144464244"/>
      <w:bookmarkStart w:id="124" w:name="_Toc82085428"/>
      <w:bookmarkStart w:id="125" w:name="_Toc15396613"/>
      <w:bookmarkStart w:id="126" w:name="_Toc82085541"/>
      <w:r>
        <w:rPr>
          <w:rFonts w:eastAsia="方正小标宋_GBK"/>
          <w:color w:val="000000"/>
          <w:sz w:val="44"/>
          <w:szCs w:val="44"/>
        </w:rPr>
        <w:t>名</w:t>
      </w:r>
      <w:r>
        <w:rPr>
          <w:rStyle w:val="1Char"/>
          <w:rFonts w:eastAsia="方正小标宋_GBK"/>
          <w:b w:val="0"/>
          <w:color w:val="000000"/>
        </w:rPr>
        <w:t>词解释</w:t>
      </w:r>
      <w:bookmarkEnd w:id="119"/>
      <w:bookmarkEnd w:id="120"/>
      <w:bookmarkEnd w:id="121"/>
      <w:bookmarkEnd w:id="122"/>
      <w:bookmarkEnd w:id="123"/>
      <w:bookmarkEnd w:id="124"/>
      <w:bookmarkEnd w:id="125"/>
      <w:bookmarkEnd w:id="126"/>
    </w:p>
    <w:p>
      <w:pPr>
        <w:spacing w:line="578" w:lineRule="exact"/>
        <w:ind w:firstLineChars="200" w:firstLine="640"/>
        <w:rPr>
          <w:rFonts w:eastAsia="仿宋_GB2312"/>
          <w:b/>
          <w:color w:val="000000"/>
          <w:sz w:val="32"/>
          <w:szCs w:val="32"/>
        </w:rPr>
      </w:pP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1.财政拨款收入：指单位从同级财政</w:t>
      </w:r>
      <w:r>
        <w:rPr>
          <w:rFonts w:ascii="Times New Roman" w:eastAsia="仿宋_GB2312" w:cs="Times New Roman" w:hAnsi="Times New Roman" w:hint="eastAsia"/>
          <w:sz w:val="32"/>
          <w:szCs w:val="32"/>
          <w:lang w:eastAsia="zh-CN"/>
        </w:rPr>
        <w:t>单位</w:t>
      </w:r>
      <w:r>
        <w:rPr>
          <w:rFonts w:ascii="Times New Roman" w:eastAsia="仿宋_GB2312" w:cs="Times New Roman" w:hAnsi="Times New Roman"/>
          <w:sz w:val="32"/>
          <w:szCs w:val="32"/>
        </w:rPr>
        <w:t>取得的财政预算资金。</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2.年初结转和结余：指以前年度尚未完成、结转到本年按有关规定继续使用的资金。</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3.年末结转和结余：指单位按有关规定结转到下年或以后年度继续使用的资金。</w:t>
      </w:r>
    </w:p>
    <w:p>
      <w:pPr>
        <w:spacing w:line="578" w:lineRule="exact"/>
        <w:ind w:firstLineChars="200" w:firstLine="640"/>
        <w:rPr>
          <w:rFonts w:eastAsia="仿宋_GB2312"/>
          <w:color w:val="000000"/>
          <w:sz w:val="32"/>
          <w:szCs w:val="32"/>
        </w:rPr>
      </w:pPr>
      <w:r>
        <w:rPr>
          <w:rFonts w:eastAsia="仿宋_GB2312"/>
          <w:color w:val="000000"/>
          <w:sz w:val="32"/>
          <w:szCs w:val="32"/>
        </w:rPr>
        <w:t>4.社会保障和就业：2080505机关事业单位基本养老保险缴费支出，指反映机关事业单位实施养老保险制度由单位缴纳的基本养老保险费支出。</w:t>
      </w:r>
    </w:p>
    <w:p>
      <w:pPr>
        <w:spacing w:line="578" w:lineRule="exact"/>
        <w:ind w:firstLineChars="200" w:firstLine="640"/>
        <w:rPr>
          <w:rFonts w:eastAsia="仿宋_GB2312"/>
          <w:color w:val="000000"/>
          <w:sz w:val="32"/>
          <w:szCs w:val="32"/>
        </w:rPr>
      </w:pPr>
      <w:r>
        <w:rPr>
          <w:rFonts w:eastAsia="仿宋_GB2312"/>
          <w:color w:val="000000"/>
          <w:sz w:val="32"/>
          <w:szCs w:val="32"/>
        </w:rPr>
        <w:t>5.卫生健康：2101501行政运行，指反映行政单位（包括实行公务员管理的事业单位）的基本支出。2101550事业运行，指反映事业单位的基本支出。2101599其他医疗保障管理事务支出，指反映其他用于医疗保障管理事务方面的支出。</w:t>
      </w:r>
    </w:p>
    <w:p>
      <w:pPr>
        <w:spacing w:line="578" w:lineRule="exact"/>
        <w:ind w:firstLineChars="200" w:firstLine="640"/>
        <w:rPr>
          <w:rFonts w:eastAsia="仿宋_GB2312"/>
          <w:b/>
          <w:color w:val="000000"/>
          <w:sz w:val="32"/>
          <w:szCs w:val="32"/>
        </w:rPr>
      </w:pPr>
      <w:r>
        <w:rPr>
          <w:rFonts w:eastAsia="仿宋_GB2312"/>
          <w:color w:val="000000"/>
          <w:sz w:val="32"/>
          <w:szCs w:val="32"/>
        </w:rPr>
        <w:t>6.住房保障：2210201住房公积金，指反映行政事业单位按人力资源和社会保障部、财政部规定的基本工资和津贴补贴以及规定比例为职工缴纳的住房公积金。</w:t>
      </w:r>
    </w:p>
    <w:p>
      <w:pPr>
        <w:spacing w:line="578" w:lineRule="exact"/>
        <w:ind w:firstLineChars="200" w:firstLine="640"/>
        <w:rPr>
          <w:rFonts w:eastAsia="仿宋_GB2312"/>
          <w:color w:val="000000"/>
          <w:sz w:val="32"/>
          <w:szCs w:val="32"/>
        </w:rPr>
      </w:pPr>
      <w:r>
        <w:rPr>
          <w:rFonts w:eastAsia="仿宋_GB2312"/>
          <w:color w:val="000000"/>
          <w:sz w:val="32"/>
          <w:szCs w:val="32"/>
        </w:rPr>
        <w:t>7.基本支出：指为保障机构正常运转、完成日常工作任务而发生的人员支出和公用支出。</w:t>
      </w:r>
    </w:p>
    <w:p>
      <w:pPr>
        <w:spacing w:line="578" w:lineRule="exact"/>
        <w:ind w:firstLineChars="200" w:firstLine="640"/>
        <w:rPr>
          <w:rFonts w:eastAsia="仿宋_GB2312"/>
          <w:color w:val="000000"/>
          <w:sz w:val="32"/>
          <w:szCs w:val="32"/>
        </w:rPr>
      </w:pPr>
      <w:r>
        <w:rPr>
          <w:rFonts w:eastAsia="仿宋_GB2312"/>
          <w:color w:val="000000"/>
          <w:sz w:val="32"/>
          <w:szCs w:val="32"/>
        </w:rPr>
        <w:t>8.项目支出：指在基本支出之外为完成特定行政任务和事业发展目标所发生的支出。</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9.“三公”经费：指</w:t>
      </w:r>
      <w:r>
        <w:rPr>
          <w:rFonts w:ascii="Times New Roman" w:eastAsia="仿宋_GB2312" w:cs="Times New Roman" w:hAnsi="Times New Roman" w:hint="eastAsia"/>
          <w:sz w:val="32"/>
          <w:szCs w:val="32"/>
          <w:lang w:eastAsia="zh-CN"/>
        </w:rPr>
        <w:t>单位</w:t>
      </w:r>
      <w:r>
        <w:rPr>
          <w:rFonts w:ascii="Times New Roman" w:eastAsia="仿宋_GB2312" w:cs="Times New Roman" w:hAnsi="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8" w:lineRule="exact"/>
        <w:ind w:firstLineChars="200" w:firstLine="640"/>
        <w:rPr>
          <w:rFonts w:eastAsia="仿宋_GB2312"/>
          <w:b/>
          <w:color w:val="000000"/>
          <w:sz w:val="32"/>
          <w:szCs w:val="32"/>
        </w:rPr>
      </w:pPr>
    </w:p>
    <w:p>
      <w:pPr>
        <w:spacing w:line="578" w:lineRule="exact"/>
        <w:ind w:firstLineChars="200" w:firstLine="640"/>
        <w:rPr>
          <w:rFonts w:eastAsia="仿宋_GB2312"/>
          <w:b/>
          <w:color w:val="000000"/>
          <w:sz w:val="32"/>
          <w:szCs w:val="32"/>
        </w:rPr>
      </w:pPr>
    </w:p>
    <w:p>
      <w:pPr>
        <w:spacing w:line="578" w:lineRule="exact"/>
        <w:jc w:val="center"/>
        <w:outlineLvl w:val="0"/>
        <w:rPr>
          <w:rFonts w:eastAsia="方正小标宋_GBK"/>
          <w:bCs/>
          <w:color w:val="000000"/>
          <w:kern w:val="44"/>
          <w:sz w:val="44"/>
          <w:szCs w:val="44"/>
        </w:rPr>
      </w:pPr>
      <w:bookmarkStart w:id="127" w:name="_Toc15377226"/>
      <w:r>
        <w:rPr>
          <w:rFonts w:eastAsia="仿宋_GB2312"/>
          <w:b/>
          <w:color w:val="000000"/>
          <w:sz w:val="32"/>
          <w:szCs w:val="32"/>
        </w:rPr>
        <w:br w:type="page"/>
      </w:r>
      <w:bookmarkStart w:id="128" w:name="_Toc145437071"/>
      <w:bookmarkStart w:id="129" w:name="_Toc82085542"/>
      <w:bookmarkStart w:id="130" w:name="_Toc82085429"/>
      <w:bookmarkStart w:id="131" w:name="_Toc144464245"/>
      <w:bookmarkStart w:id="132" w:name="_Toc113574867"/>
      <w:bookmarkStart w:id="133" w:name="_Toc145434824"/>
      <w:bookmarkStart w:id="134" w:name="_Toc15396614"/>
      <w:r>
        <w:rPr>
          <w:rFonts w:eastAsia="方正小标宋_GBK"/>
          <w:color w:val="000000"/>
          <w:sz w:val="44"/>
          <w:szCs w:val="44"/>
        </w:rPr>
        <w:t>第</w:t>
      </w:r>
      <w:r>
        <w:rPr>
          <w:rStyle w:val="1Char"/>
          <w:rFonts w:eastAsia="方正小标宋_GBK"/>
          <w:b w:val="0"/>
          <w:color w:val="000000"/>
        </w:rPr>
        <w:t>四部分</w:t>
      </w:r>
      <w:r>
        <w:rPr>
          <w:rStyle w:val="1Char"/>
          <w:rFonts w:eastAsia="方正小标宋_GBK" w:hint="eastAsia"/>
          <w:b w:val="0"/>
          <w:color w:val="000000"/>
        </w:rPr>
        <w:t xml:space="preserve"> </w:t>
      </w:r>
      <w:r>
        <w:rPr>
          <w:rStyle w:val="1Char"/>
          <w:rFonts w:eastAsia="方正小标宋_GBK"/>
          <w:b w:val="0"/>
          <w:color w:val="000000"/>
        </w:rPr>
        <w:t>附件</w:t>
      </w:r>
      <w:bookmarkEnd w:id="128"/>
      <w:bookmarkEnd w:id="129"/>
      <w:bookmarkEnd w:id="130"/>
      <w:bookmarkEnd w:id="131"/>
      <w:bookmarkEnd w:id="132"/>
      <w:bookmarkEnd w:id="133"/>
      <w:bookmarkEnd w:id="134"/>
    </w:p>
    <w:p>
      <w:pPr>
        <w:spacing w:line="578" w:lineRule="exact"/>
        <w:outlineLvl w:val="1"/>
        <w:rPr>
          <w:rFonts w:eastAsia="黑体"/>
          <w:color w:val="000000"/>
          <w:sz w:val="32"/>
          <w:szCs w:val="32"/>
        </w:rPr>
      </w:pPr>
      <w:bookmarkStart w:id="135" w:name="_Toc82085430"/>
      <w:bookmarkStart w:id="136" w:name="_Toc144464246"/>
      <w:bookmarkStart w:id="137" w:name="_Toc82085543"/>
      <w:bookmarkStart w:id="138" w:name="_Toc113574868"/>
      <w:bookmarkStart w:id="139" w:name="_Toc145437072"/>
      <w:bookmarkStart w:id="140" w:name="_Toc145434825"/>
      <w:r>
        <w:rPr>
          <w:rFonts w:eastAsia="黑体"/>
          <w:color w:val="000000"/>
          <w:sz w:val="32"/>
          <w:szCs w:val="32"/>
        </w:rPr>
        <w:t>附件1</w:t>
      </w:r>
      <w:bookmarkEnd w:id="135"/>
      <w:bookmarkEnd w:id="136"/>
      <w:bookmarkEnd w:id="137"/>
      <w:bookmarkEnd w:id="138"/>
      <w:bookmarkEnd w:id="139"/>
      <w:bookmarkEnd w:id="140"/>
    </w:p>
    <w:p>
      <w:pPr>
        <w:spacing w:line="578" w:lineRule="exact"/>
        <w:ind w:firstLineChars="200" w:firstLine="640"/>
        <w:rPr>
          <w:rFonts w:eastAsia="仿宋_GB2312"/>
          <w:color w:val="000000"/>
          <w:sz w:val="32"/>
          <w:szCs w:val="32"/>
        </w:rPr>
      </w:pPr>
    </w:p>
    <w:p>
      <w:pPr>
        <w:widowControl/>
        <w:spacing w:line="580" w:lineRule="exact"/>
        <w:jc w:val="center"/>
        <w:rPr>
          <w:rFonts w:eastAsia="方正小标宋_GBK"/>
          <w:sz w:val="44"/>
          <w:szCs w:val="44"/>
          <w:shd w:val="clear" w:color="auto" w:fill="FFFFFF"/>
        </w:rPr>
      </w:pPr>
      <w:bookmarkStart w:id="141" w:name="_Toc82085544"/>
      <w:bookmarkStart w:id="142" w:name="_Toc82085431"/>
      <w:r>
        <w:rPr>
          <w:rFonts w:eastAsia="方正小标宋_GBK" w:hint="eastAsia"/>
          <w:sz w:val="44"/>
          <w:szCs w:val="44"/>
          <w:shd w:val="clear" w:color="auto" w:fill="FFFFFF"/>
        </w:rPr>
        <w:t>攀枝花市医疗保障局</w:t>
      </w:r>
    </w:p>
    <w:p>
      <w:pPr>
        <w:widowControl/>
        <w:spacing w:line="580" w:lineRule="exact"/>
        <w:jc w:val="center"/>
        <w:rPr>
          <w:rFonts w:eastAsia="方正小标宋_GBK"/>
          <w:sz w:val="44"/>
          <w:szCs w:val="44"/>
          <w:shd w:val="clear" w:color="auto" w:fill="FFFFFF"/>
        </w:rPr>
      </w:pPr>
      <w:r>
        <w:rPr>
          <w:rFonts w:eastAsia="方正小标宋_GBK"/>
          <w:sz w:val="44"/>
          <w:szCs w:val="44"/>
          <w:shd w:val="clear" w:color="auto" w:fill="FFFFFF"/>
        </w:rPr>
        <w:t>2023</w:t>
      </w:r>
      <w:r>
        <w:rPr>
          <w:rFonts w:eastAsia="方正小标宋_GBK" w:hint="eastAsia"/>
          <w:sz w:val="44"/>
          <w:szCs w:val="44"/>
          <w:shd w:val="clear" w:color="auto" w:fill="FFFFFF"/>
        </w:rPr>
        <w:t>年整体支出绩效自评报告</w:t>
      </w:r>
    </w:p>
    <w:p>
      <w:pPr>
        <w:widowControl/>
        <w:spacing w:line="580" w:lineRule="exact"/>
        <w:jc w:val="center"/>
        <w:rPr>
          <w:rFonts w:eastAsia="黑体"/>
          <w:kern w:val="0"/>
          <w:sz w:val="24"/>
          <w:szCs w:val="32"/>
          <w:shd w:val="clear" w:color="auto" w:fill="FFFFFF"/>
        </w:rPr>
      </w:pPr>
    </w:p>
    <w:p>
      <w:pPr>
        <w:pStyle w:val="20"/>
        <w:spacing w:line="360" w:lineRule="auto"/>
        <w:ind w:firstLineChars="200" w:firstLine="640"/>
        <w:rPr>
          <w:rFonts w:ascii="Times New Roman" w:eastAsia="仿宋_GB2312" w:hAnsi="Times New Roman"/>
          <w:szCs w:val="32"/>
        </w:rPr>
      </w:pPr>
      <w:r>
        <w:rPr>
          <w:rFonts w:ascii="Times New Roman" w:eastAsia="仿宋_GB2312" w:hAnsi="Times New Roman" w:hint="eastAsia"/>
          <w:szCs w:val="32"/>
        </w:rPr>
        <w:t>按照《攀枝花市财政局关于开展2023年度市本级预算绩效自评工作的通知》（攀财绩〔2024〕3号）要求，我局认真组织开展了2023年</w:t>
      </w:r>
      <w:r>
        <w:rPr>
          <w:rFonts w:ascii="Times New Roman" w:eastAsia="仿宋_GB2312" w:hAnsi="Times New Roman" w:hint="eastAsia"/>
          <w:szCs w:val="32"/>
          <w:lang w:eastAsia="zh-CN"/>
        </w:rPr>
        <w:t>单位</w:t>
      </w:r>
      <w:r>
        <w:rPr>
          <w:rFonts w:ascii="Times New Roman" w:eastAsia="仿宋_GB2312" w:hAnsi="Times New Roman" w:hint="eastAsia"/>
          <w:szCs w:val="32"/>
        </w:rPr>
        <w:t>预算整体支出绩效自评工作，内容报告如下。</w:t>
      </w:r>
    </w:p>
    <w:p>
      <w:pPr>
        <w:widowControl/>
        <w:adjustRightInd w:val="0"/>
        <w:snapToGrid w:val="0"/>
        <w:spacing w:line="360" w:lineRule="auto"/>
        <w:ind w:firstLineChars="200" w:firstLine="640"/>
        <w:jc w:val="left"/>
        <w:rPr>
          <w:rFonts w:eastAsia="黑体"/>
          <w:kern w:val="0"/>
          <w:sz w:val="32"/>
          <w:szCs w:val="32"/>
          <w:shd w:val="clear" w:color="auto" w:fill="FFFFFF"/>
          <w:lang w:val="zh-CN"/>
        </w:rPr>
      </w:pPr>
      <w:r>
        <w:rPr>
          <w:rFonts w:eastAsia="黑体" w:hint="eastAsia"/>
          <w:kern w:val="0"/>
          <w:sz w:val="32"/>
          <w:szCs w:val="32"/>
          <w:shd w:val="clear" w:color="auto" w:fill="FFFFFF"/>
        </w:rPr>
        <w:t>一、</w:t>
      </w:r>
      <w:r>
        <w:rPr>
          <w:rFonts w:eastAsia="黑体" w:hint="eastAsia"/>
          <w:kern w:val="0"/>
          <w:sz w:val="32"/>
          <w:szCs w:val="32"/>
          <w:shd w:val="clear" w:color="auto" w:fill="FFFFFF"/>
          <w:lang w:val="zh-CN"/>
        </w:rPr>
        <w:t>单位（单位）概况</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（一）机构组成。</w:t>
      </w:r>
    </w:p>
    <w:p>
      <w:pPr>
        <w:snapToGrid w:val="0"/>
        <w:spacing w:line="360" w:lineRule="auto"/>
        <w:ind w:firstLineChars="200" w:firstLine="640"/>
        <w:rPr>
          <w:rFonts w:eastAsia="仿宋_GB2312"/>
          <w:sz w:val="32"/>
          <w:szCs w:val="32"/>
        </w:rPr>
      </w:pPr>
      <w:r>
        <w:rPr>
          <w:rFonts w:eastAsia="仿宋_GB2312" w:hint="eastAsia"/>
          <w:sz w:val="32"/>
          <w:szCs w:val="32"/>
        </w:rPr>
        <w:t>攀枝花市医疗保障局（以下简称“市医保局”）为攀枝花市人民政府正县级工作</w:t>
      </w:r>
      <w:r>
        <w:rPr>
          <w:rFonts w:eastAsia="仿宋_GB2312" w:hint="eastAsia"/>
          <w:sz w:val="32"/>
          <w:szCs w:val="32"/>
          <w:lang w:eastAsia="zh-CN"/>
        </w:rPr>
        <w:t>单位</w:t>
      </w:r>
      <w:r>
        <w:rPr>
          <w:rFonts w:eastAsia="仿宋_GB2312" w:hint="eastAsia"/>
          <w:sz w:val="32"/>
          <w:szCs w:val="32"/>
        </w:rPr>
        <w:t>，下设四个科室，分别是：办公室、待遇保障与法规科、医药服务与价格管理科，基金监管科。攀枝花市医疗保障信息中心（以下简称“市医保信息中心”）为我局下属事业单位，财务未独立核算。</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（二）机构职能。</w:t>
      </w:r>
    </w:p>
    <w:p>
      <w:pPr>
        <w:widowControl/>
        <w:adjustRightInd w:val="0"/>
        <w:snapToGrid w:val="0"/>
        <w:spacing w:line="360" w:lineRule="auto"/>
        <w:ind w:firstLineChars="200" w:firstLine="640"/>
        <w:jc w:val="left"/>
        <w:rPr>
          <w:rFonts w:eastAsia="仿宋_GB2312"/>
          <w:sz w:val="32"/>
          <w:szCs w:val="32"/>
        </w:rPr>
      </w:pPr>
      <w:r>
        <w:rPr>
          <w:rFonts w:hint="eastAsia"/>
          <w:sz w:val="32"/>
          <w:szCs w:val="32"/>
        </w:rPr>
        <w:t>（</w:t>
      </w:r>
      <w:r>
        <w:rPr>
          <w:rFonts w:eastAsia="仿宋_GB2312" w:hint="eastAsia"/>
          <w:sz w:val="32"/>
          <w:szCs w:val="32"/>
        </w:rPr>
        <w:t>1）贯彻执行医疗保险、生育保险、医疗救助等医疗保障法律、法规、规章。拟订全市医疗保障事业发展规划、政策和标准，并组织实施和监督检查。</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（2）组织拟订并实施医疗保障基金监督管理制度，建立健全医疗保障基金安全防控机制，监督强化全市医疗保障基金运行管理。</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3）组织拟订并实施医疗保障筹资和待遇政策，完善全市医疗保障筹资标准动态调整机制，统筹城乡医疗保障待遇标准，建立健全与筹资水平相适应的待遇调整机制。组织拟订并实施长期护理保险制度改革方案。</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（4）组织实施全省城乡统一的药品、医用耗材、医疗服务项目、医疗服务设施等医疗保障目录和支付标准，根据授权在医疗保障目录准入谈判规则下进行目录增补和支付标准的调整。</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5）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（6）贯彻执行全省药品、医用耗材的招标采购政策并监督实施，根据省上统一安排部署，参与全省药品、医用耗材招标采购平台建设，承担相关工作任务。</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7）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8）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（9）拟订全市医疗保障信息化建设规划并参与全省医疗保障信息化建设。组织开展医疗保障大数据管理和应用。</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（10）组织拟订市本级离休干部、六级以上革命伤残军人的医疗保障政策和厅级干部、县级干部、高级知识分子的医疗照顾政策。</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（11）负责职责范围内的安全生产和职业健康、生态环境保护、审批服务便民化等工作。</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（12）完成市委、市政府交办的其他任务。</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（三）人员概况。</w:t>
      </w:r>
    </w:p>
    <w:p>
      <w:pPr>
        <w:snapToGrid w:val="0"/>
        <w:spacing w:line="360" w:lineRule="auto"/>
        <w:ind w:firstLineChars="200" w:firstLine="640"/>
        <w:rPr>
          <w:sz w:val="32"/>
          <w:szCs w:val="32"/>
          <w:u w:val="none"/>
        </w:rPr>
      </w:pPr>
      <w:r>
        <w:rPr>
          <w:rFonts w:eastAsia="仿宋_GB2312" w:hint="eastAsia"/>
          <w:sz w:val="32"/>
          <w:szCs w:val="32"/>
          <w:u w:val="none"/>
        </w:rPr>
        <w:t>市医保局机关行政编制10名，机关后勤事业编制1名，单列编制1人（临时），编制内实有在职人数13名。与上年相比，实有人数到龄退休减少1人。市医保信息中心事业编制10名，实有在职人数7名，与上年相比，编制及实有人员均无变化。</w:t>
      </w:r>
    </w:p>
    <w:p>
      <w:pPr>
        <w:widowControl/>
        <w:adjustRightInd w:val="0"/>
        <w:snapToGrid w:val="0"/>
        <w:spacing w:line="360" w:lineRule="auto"/>
        <w:ind w:firstLineChars="200" w:firstLine="640"/>
        <w:jc w:val="left"/>
        <w:rPr>
          <w:rFonts w:eastAsia="黑体"/>
          <w:kern w:val="0"/>
          <w:sz w:val="32"/>
          <w:szCs w:val="32"/>
          <w:shd w:val="clear" w:color="auto" w:fill="FFFFFF"/>
        </w:rPr>
      </w:pPr>
      <w:r>
        <w:rPr>
          <w:rFonts w:eastAsia="黑体" w:hint="eastAsia"/>
          <w:kern w:val="0"/>
          <w:sz w:val="32"/>
          <w:szCs w:val="32"/>
          <w:shd w:val="clear" w:color="auto" w:fill="FFFFFF"/>
        </w:rPr>
        <w:t>二、</w:t>
      </w:r>
      <w:r>
        <w:rPr>
          <w:rFonts w:eastAsia="黑体" w:hint="eastAsia"/>
          <w:kern w:val="0"/>
          <w:sz w:val="32"/>
          <w:szCs w:val="32"/>
          <w:shd w:val="clear" w:color="auto" w:fill="FFFFFF"/>
          <w:lang w:eastAsia="zh-CN"/>
        </w:rPr>
        <w:t>单位</w:t>
      </w:r>
      <w:r>
        <w:rPr>
          <w:rFonts w:eastAsia="黑体" w:hint="eastAsia"/>
          <w:kern w:val="0"/>
          <w:sz w:val="32"/>
          <w:szCs w:val="32"/>
          <w:shd w:val="clear" w:color="auto" w:fill="FFFFFF"/>
        </w:rPr>
        <w:t>财政资金收支情况</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（一）单位财政资金收入情况。</w:t>
      </w:r>
    </w:p>
    <w:p>
      <w:pPr>
        <w:widowControl/>
        <w:adjustRightInd w:val="0"/>
        <w:snapToGrid w:val="0"/>
        <w:spacing w:line="360" w:lineRule="auto"/>
        <w:ind w:firstLineChars="200" w:firstLine="640"/>
        <w:jc w:val="left"/>
        <w:rPr>
          <w:rFonts w:eastAsia="仿宋_GB2312"/>
          <w:sz w:val="32"/>
          <w:szCs w:val="32"/>
        </w:rPr>
      </w:pPr>
      <w:r>
        <w:rPr>
          <w:rFonts w:eastAsia="仿宋_GB2312"/>
          <w:sz w:val="32"/>
          <w:szCs w:val="32"/>
        </w:rPr>
        <w:t>2023</w:t>
      </w:r>
      <w:r>
        <w:rPr>
          <w:rFonts w:eastAsia="仿宋_GB2312" w:hint="eastAsia"/>
          <w:sz w:val="32"/>
          <w:szCs w:val="32"/>
        </w:rPr>
        <w:t>年市医保局财政拨款收入总额1027.22万元，其中：一般公共预算财政拨款1027.22万元，政府性基金预算财政拨款0万元。</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（二）单位财政资金支出情况。</w:t>
      </w:r>
    </w:p>
    <w:p>
      <w:pPr>
        <w:adjustRightInd w:val="0"/>
        <w:snapToGrid w:val="0"/>
        <w:spacing w:line="360" w:lineRule="auto"/>
        <w:ind w:firstLineChars="200" w:firstLine="640"/>
        <w:rPr>
          <w:kern w:val="0"/>
          <w:sz w:val="32"/>
          <w:szCs w:val="32"/>
          <w:shd w:val="clear" w:color="auto" w:fill="FFFFFF"/>
          <w:lang w:val="zh-CN"/>
        </w:rPr>
      </w:pPr>
      <w:r>
        <w:rPr>
          <w:rFonts w:eastAsia="仿宋_GB2312"/>
          <w:sz w:val="32"/>
          <w:szCs w:val="32"/>
        </w:rPr>
        <w:t>2023</w:t>
      </w:r>
      <w:r>
        <w:rPr>
          <w:rFonts w:eastAsia="仿宋_GB2312" w:hint="eastAsia"/>
          <w:sz w:val="32"/>
          <w:szCs w:val="32"/>
        </w:rPr>
        <w:t>年市医保局</w:t>
      </w:r>
      <w:r>
        <w:rPr>
          <w:rFonts w:eastAsia="仿宋_GB2312" w:hint="eastAsia"/>
          <w:sz w:val="32"/>
          <w:szCs w:val="32"/>
          <w:lang w:val="zh-CN"/>
        </w:rPr>
        <w:t>财政拨款支出总额1027.22</w:t>
      </w:r>
      <w:r>
        <w:rPr>
          <w:rFonts w:eastAsia="仿宋_GB2312" w:hint="eastAsia"/>
          <w:sz w:val="32"/>
          <w:szCs w:val="32"/>
        </w:rPr>
        <w:t>万元，其中</w:t>
      </w:r>
      <w:r>
        <w:rPr>
          <w:rFonts w:eastAsia="仿宋_GB2312" w:hint="eastAsia"/>
          <w:sz w:val="32"/>
          <w:szCs w:val="32"/>
          <w:lang w:val="zh-CN"/>
        </w:rPr>
        <w:t>：基本支出522.39万元（人员支出459.73万元，公用经费支出62.66万元），项目支出504.83万元。</w:t>
      </w:r>
    </w:p>
    <w:p>
      <w:pPr>
        <w:widowControl/>
        <w:adjustRightInd w:val="0"/>
        <w:snapToGrid w:val="0"/>
        <w:spacing w:line="360" w:lineRule="auto"/>
        <w:ind w:firstLineChars="200" w:firstLine="640"/>
        <w:jc w:val="left"/>
        <w:rPr>
          <w:rFonts w:eastAsia="黑体"/>
          <w:kern w:val="0"/>
          <w:sz w:val="32"/>
          <w:szCs w:val="32"/>
          <w:shd w:val="clear" w:color="auto" w:fill="FFFFFF"/>
        </w:rPr>
      </w:pPr>
      <w:r>
        <w:rPr>
          <w:rFonts w:eastAsia="黑体" w:hint="eastAsia"/>
          <w:kern w:val="0"/>
          <w:sz w:val="32"/>
          <w:szCs w:val="32"/>
          <w:shd w:val="clear" w:color="auto" w:fill="FFFFFF"/>
        </w:rPr>
        <w:t>三、</w:t>
      </w:r>
      <w:r>
        <w:rPr>
          <w:rFonts w:eastAsia="黑体" w:hint="eastAsia"/>
          <w:kern w:val="0"/>
          <w:sz w:val="32"/>
          <w:szCs w:val="32"/>
          <w:shd w:val="clear" w:color="auto" w:fill="FFFFFF"/>
          <w:lang w:eastAsia="zh-CN"/>
        </w:rPr>
        <w:t>单位</w:t>
      </w:r>
      <w:r>
        <w:rPr>
          <w:rFonts w:eastAsia="黑体" w:hint="eastAsia"/>
          <w:kern w:val="0"/>
          <w:sz w:val="32"/>
          <w:szCs w:val="32"/>
          <w:shd w:val="clear" w:color="auto" w:fill="FFFFFF"/>
        </w:rPr>
        <w:t>整体预算绩效管理情况</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（一）单位预算项目绩效管理。</w:t>
      </w:r>
    </w:p>
    <w:p>
      <w:pPr>
        <w:spacing w:line="360" w:lineRule="auto"/>
        <w:ind w:firstLineChars="200" w:firstLine="640"/>
        <w:rPr>
          <w:rFonts w:eastAsia="仿宋_GB2312"/>
          <w:sz w:val="32"/>
          <w:szCs w:val="32"/>
        </w:rPr>
      </w:pPr>
      <w:r>
        <w:rPr>
          <w:rFonts w:eastAsia="仿宋_GB2312"/>
          <w:sz w:val="32"/>
          <w:szCs w:val="32"/>
          <w:lang w:val="zh-CN"/>
        </w:rPr>
        <w:t>1.</w:t>
      </w:r>
      <w:r>
        <w:rPr>
          <w:rFonts w:eastAsia="仿宋_GB2312" w:hint="eastAsia"/>
          <w:sz w:val="32"/>
          <w:szCs w:val="32"/>
          <w:lang w:val="zh-CN"/>
        </w:rPr>
        <w:t>目标管理执行较好。（1）目标制定方面。</w:t>
      </w:r>
      <w:r>
        <w:rPr>
          <w:rFonts w:eastAsia="仿宋_GB2312"/>
          <w:sz w:val="32"/>
          <w:szCs w:val="32"/>
          <w:lang w:val="zh-CN"/>
        </w:rPr>
        <w:t>202</w:t>
      </w:r>
      <w:r>
        <w:rPr>
          <w:rFonts w:eastAsia="仿宋_GB2312"/>
          <w:sz w:val="32"/>
          <w:szCs w:val="32"/>
        </w:rPr>
        <w:t>3</w:t>
      </w:r>
      <w:r>
        <w:rPr>
          <w:rFonts w:eastAsia="仿宋_GB2312" w:hint="eastAsia"/>
          <w:sz w:val="32"/>
          <w:szCs w:val="32"/>
          <w:lang w:val="zh-CN"/>
        </w:rPr>
        <w:t>年紧紧围绕全局目标任务和重点项目工作，按照财政单位预算绩效管理相关规定，</w:t>
      </w:r>
      <w:r>
        <w:rPr>
          <w:rFonts w:eastAsia="仿宋_GB2312" w:hint="eastAsia"/>
          <w:sz w:val="32"/>
          <w:szCs w:val="32"/>
        </w:rPr>
        <w:t>结合实际</w:t>
      </w:r>
      <w:r>
        <w:rPr>
          <w:rFonts w:eastAsia="仿宋_GB2312" w:hint="eastAsia"/>
          <w:sz w:val="32"/>
          <w:szCs w:val="32"/>
          <w:lang w:val="zh-CN"/>
        </w:rPr>
        <w:t>从数量、质量、成本和时效等方面</w:t>
      </w:r>
      <w:r>
        <w:rPr>
          <w:rFonts w:eastAsia="仿宋_GB2312" w:hint="eastAsia"/>
          <w:sz w:val="32"/>
          <w:szCs w:val="32"/>
        </w:rPr>
        <w:t>细化绩效指标，</w:t>
      </w:r>
      <w:r>
        <w:rPr>
          <w:rFonts w:eastAsia="仿宋_GB2312" w:hint="eastAsia"/>
          <w:sz w:val="32"/>
          <w:szCs w:val="32"/>
          <w:lang w:val="zh-CN"/>
        </w:rPr>
        <w:t>注重绩效目标符合客观实际，</w:t>
      </w:r>
      <w:r>
        <w:rPr>
          <w:rFonts w:eastAsia="仿宋_GB2312" w:hint="eastAsia"/>
          <w:sz w:val="32"/>
          <w:szCs w:val="32"/>
        </w:rPr>
        <w:t>以定量方式表述，绩效目标设置科学</w:t>
      </w:r>
      <w:r>
        <w:rPr>
          <w:rFonts w:eastAsia="仿宋_GB2312" w:hint="eastAsia"/>
          <w:sz w:val="32"/>
          <w:szCs w:val="32"/>
          <w:lang w:val="zh-CN"/>
        </w:rPr>
        <w:t>。（2）目标实现方面。积极推进预算绩效运行管理，开展事中绩效监控，确保绩效目标实现。工资、五险一金等人员支出保障了职工正常福利待遇按月发放。办公费、水电费、差旅费</w:t>
      </w:r>
      <w:r>
        <w:rPr>
          <w:rFonts w:eastAsia="仿宋_GB2312" w:hint="eastAsia"/>
          <w:sz w:val="32"/>
          <w:szCs w:val="32"/>
        </w:rPr>
        <w:t>等日常开支</w:t>
      </w:r>
      <w:r>
        <w:rPr>
          <w:rFonts w:eastAsia="仿宋_GB2312" w:hint="eastAsia"/>
          <w:sz w:val="32"/>
          <w:szCs w:val="32"/>
          <w:lang w:val="zh-CN"/>
        </w:rPr>
        <w:t>，保障了局机关和市医保信息中心日常办公和人员运转支出。</w:t>
      </w:r>
      <w:r>
        <w:rPr>
          <w:rFonts w:eastAsia="仿宋_GB2312"/>
          <w:sz w:val="32"/>
          <w:szCs w:val="32"/>
        </w:rPr>
        <w:t>2023</w:t>
      </w:r>
      <w:r>
        <w:rPr>
          <w:rFonts w:eastAsia="仿宋_GB2312" w:hint="eastAsia"/>
          <w:sz w:val="32"/>
          <w:szCs w:val="32"/>
        </w:rPr>
        <w:t>年共</w:t>
      </w:r>
      <w:r>
        <w:rPr>
          <w:rFonts w:eastAsia="仿宋_GB2312"/>
          <w:sz w:val="32"/>
          <w:szCs w:val="32"/>
        </w:rPr>
        <w:t>9</w:t>
      </w:r>
      <w:r>
        <w:rPr>
          <w:rFonts w:eastAsia="仿宋_GB2312" w:hint="eastAsia"/>
          <w:sz w:val="32"/>
          <w:szCs w:val="32"/>
        </w:rPr>
        <w:t>个项目，其中</w:t>
      </w:r>
      <w:r>
        <w:rPr>
          <w:rFonts w:eastAsia="仿宋_GB2312"/>
          <w:sz w:val="32"/>
          <w:szCs w:val="32"/>
        </w:rPr>
        <w:t>8</w:t>
      </w:r>
      <w:r>
        <w:rPr>
          <w:rFonts w:eastAsia="仿宋_GB2312" w:hint="eastAsia"/>
          <w:sz w:val="32"/>
          <w:szCs w:val="32"/>
        </w:rPr>
        <w:t>个完成预期指标，</w:t>
      </w:r>
      <w:r>
        <w:rPr>
          <w:rFonts w:eastAsia="仿宋_GB2312"/>
          <w:sz w:val="32"/>
          <w:szCs w:val="32"/>
        </w:rPr>
        <w:t>1</w:t>
      </w:r>
      <w:r>
        <w:rPr>
          <w:rFonts w:eastAsia="仿宋_GB2312" w:hint="eastAsia"/>
          <w:sz w:val="32"/>
          <w:szCs w:val="32"/>
        </w:rPr>
        <w:t>个能力建设项目未完成预算</w:t>
      </w:r>
      <w:bookmarkStart w:id="143" w:name="_Hlk163551544"/>
      <w:r>
        <w:rPr>
          <w:rFonts w:eastAsia="仿宋_GB2312" w:hint="eastAsia"/>
          <w:sz w:val="32"/>
          <w:szCs w:val="32"/>
        </w:rPr>
        <w:t>。</w:t>
      </w:r>
      <w:bookmarkEnd w:id="143"/>
    </w:p>
    <w:p>
      <w:pPr>
        <w:spacing w:line="360" w:lineRule="auto"/>
        <w:ind w:firstLineChars="200" w:firstLine="640"/>
        <w:rPr>
          <w:rFonts w:eastAsia="仿宋_GB2312"/>
          <w:sz w:val="32"/>
          <w:szCs w:val="32"/>
          <w:lang w:val="zh-CN"/>
        </w:rPr>
      </w:pPr>
      <w:r>
        <w:rPr>
          <w:rFonts w:eastAsia="仿宋_GB2312"/>
          <w:sz w:val="32"/>
          <w:szCs w:val="32"/>
          <w:lang w:val="zh-CN"/>
        </w:rPr>
        <w:t>2.</w:t>
      </w:r>
      <w:r>
        <w:rPr>
          <w:rFonts w:eastAsia="仿宋_GB2312" w:hint="eastAsia"/>
          <w:sz w:val="32"/>
          <w:szCs w:val="32"/>
          <w:lang w:val="zh-CN"/>
        </w:rPr>
        <w:t>制度管理较好。我局制定了财务管理办法，完善了预算管理、收支管理以及财务内控管理等制度，制度合法、合规、完整。严格按照财务管理规定开展单位经费财务工作，相关管理制度得到有效执行。</w:t>
      </w:r>
    </w:p>
    <w:p>
      <w:pPr>
        <w:spacing w:line="360" w:lineRule="auto"/>
        <w:ind w:firstLineChars="200" w:firstLine="640"/>
        <w:rPr>
          <w:rFonts w:eastAsia="仿宋_GB2312"/>
          <w:sz w:val="32"/>
          <w:szCs w:val="32"/>
          <w:lang w:val="zh-CN"/>
        </w:rPr>
      </w:pPr>
      <w:r>
        <w:rPr>
          <w:rFonts w:eastAsia="仿宋_GB2312"/>
          <w:sz w:val="32"/>
          <w:szCs w:val="32"/>
          <w:lang w:val="zh-CN"/>
        </w:rPr>
        <w:t>3.</w:t>
      </w:r>
      <w:r>
        <w:rPr>
          <w:rFonts w:eastAsia="仿宋_GB2312" w:hint="eastAsia"/>
          <w:sz w:val="32"/>
          <w:szCs w:val="32"/>
          <w:lang w:val="zh-CN"/>
        </w:rPr>
        <w:t>支出控制较好。202</w:t>
      </w:r>
      <w:r>
        <w:rPr>
          <w:rFonts w:eastAsia="仿宋_GB2312"/>
          <w:sz w:val="32"/>
          <w:szCs w:val="32"/>
        </w:rPr>
        <w:t>3</w:t>
      </w:r>
      <w:r>
        <w:rPr>
          <w:rFonts w:eastAsia="仿宋_GB2312" w:hint="eastAsia"/>
          <w:sz w:val="32"/>
          <w:szCs w:val="32"/>
          <w:lang w:val="zh-CN"/>
        </w:rPr>
        <w:t>年市医保局各项经费支出均按照调整预算数执行，日常公用经费支出控制率为98.15%，偏差率为1.85%，偏差率在10%以内，支出控制良好；三公经费支出控制率为92.60%，小于100%，三公经费支出控制良好。</w:t>
      </w:r>
    </w:p>
    <w:p>
      <w:pPr>
        <w:spacing w:line="360" w:lineRule="auto"/>
        <w:ind w:firstLineChars="200" w:firstLine="640"/>
        <w:rPr>
          <w:sz w:val="32"/>
          <w:szCs w:val="32"/>
          <w:lang w:val="zh-CN"/>
        </w:rPr>
      </w:pPr>
      <w:r>
        <w:rPr>
          <w:rFonts w:eastAsia="仿宋_GB2312"/>
          <w:sz w:val="32"/>
          <w:szCs w:val="32"/>
          <w:lang w:val="zh-CN"/>
        </w:rPr>
        <w:t>4.</w:t>
      </w:r>
      <w:r>
        <w:rPr>
          <w:rFonts w:eastAsia="仿宋_GB2312" w:hint="eastAsia"/>
          <w:sz w:val="32"/>
          <w:szCs w:val="32"/>
          <w:lang w:val="zh-CN"/>
        </w:rPr>
        <w:t>动态调整执行较好。我局对预算资金执行情况开展了绩效监控，发现单位预算与绩效目标出现偏差时，按要求</w:t>
      </w:r>
      <w:r>
        <w:rPr>
          <w:rFonts w:eastAsia="仿宋_GB2312" w:hint="eastAsia"/>
          <w:sz w:val="32"/>
          <w:szCs w:val="32"/>
        </w:rPr>
        <w:t>及时</w:t>
      </w:r>
      <w:r>
        <w:rPr>
          <w:rFonts w:eastAsia="仿宋_GB2312" w:hint="eastAsia"/>
          <w:sz w:val="32"/>
          <w:szCs w:val="32"/>
          <w:lang w:val="zh-CN"/>
        </w:rPr>
        <w:t>向市级财政单位申请指标调剂和支付更正，动态调整执行指标，</w:t>
      </w:r>
      <w:r>
        <w:rPr>
          <w:rFonts w:eastAsia="仿宋_GB2312" w:hint="eastAsia"/>
          <w:sz w:val="32"/>
          <w:szCs w:val="32"/>
        </w:rPr>
        <w:t>纠正预算偏差</w:t>
      </w:r>
      <w:r>
        <w:rPr>
          <w:rFonts w:eastAsia="仿宋_GB2312" w:hint="eastAsia"/>
          <w:sz w:val="32"/>
          <w:szCs w:val="32"/>
          <w:lang w:val="zh-CN"/>
        </w:rPr>
        <w:t>。</w:t>
      </w:r>
      <w:bookmarkStart w:id="144" w:name="_Hlk163564232"/>
      <w:r>
        <w:rPr>
          <w:rFonts w:eastAsia="仿宋_GB2312" w:hint="eastAsia"/>
          <w:sz w:val="32"/>
          <w:szCs w:val="32"/>
        </w:rPr>
        <w:t>对预算执行进度缓慢的项目，加强与局机关各科室及市医保信息中心沟通协调，督促并加快资金执行进度。</w:t>
      </w:r>
      <w:r>
        <w:rPr>
          <w:rFonts w:eastAsia="仿宋_GB2312" w:hint="eastAsia"/>
          <w:sz w:val="32"/>
          <w:szCs w:val="32"/>
          <w:lang w:val="zh-CN"/>
        </w:rPr>
        <w:t>截</w:t>
      </w:r>
      <w:r>
        <w:rPr>
          <w:rFonts w:eastAsia="仿宋_GB2312"/>
          <w:sz w:val="32"/>
          <w:szCs w:val="32"/>
          <w:lang w:val="zh-CN"/>
        </w:rPr>
        <w:t>至</w:t>
      </w:r>
      <w:r>
        <w:rPr>
          <w:rFonts w:eastAsia="仿宋_GB2312" w:hint="eastAsia"/>
          <w:sz w:val="32"/>
          <w:szCs w:val="32"/>
          <w:lang w:val="zh-CN"/>
        </w:rPr>
        <w:t>2023年6月，预算实际支出进度为60.90%，高于目标进度40%的要求；</w:t>
      </w:r>
      <w:bookmarkEnd w:id="144"/>
      <w:r>
        <w:rPr>
          <w:rFonts w:eastAsia="仿宋_GB2312" w:hint="eastAsia"/>
          <w:sz w:val="32"/>
          <w:szCs w:val="32"/>
          <w:lang w:val="zh-CN"/>
        </w:rPr>
        <w:t>截</w:t>
      </w:r>
      <w:r>
        <w:rPr>
          <w:rFonts w:eastAsia="仿宋_GB2312"/>
          <w:sz w:val="32"/>
          <w:szCs w:val="32"/>
          <w:lang w:val="zh-CN"/>
        </w:rPr>
        <w:t>至</w:t>
      </w:r>
      <w:r>
        <w:rPr>
          <w:rFonts w:eastAsia="仿宋_GB2312" w:hint="eastAsia"/>
          <w:sz w:val="32"/>
          <w:szCs w:val="32"/>
          <w:lang w:val="zh-CN"/>
        </w:rPr>
        <w:t>2023年9月的预算实际支出进度为66.94%，略低于67.5%的目标进度要求；截</w:t>
      </w:r>
      <w:r>
        <w:rPr>
          <w:rFonts w:eastAsia="仿宋_GB2312"/>
          <w:sz w:val="32"/>
          <w:szCs w:val="32"/>
          <w:lang w:val="zh-CN"/>
        </w:rPr>
        <w:t>至</w:t>
      </w:r>
      <w:r>
        <w:rPr>
          <w:rFonts w:eastAsia="仿宋_GB2312" w:hint="eastAsia"/>
          <w:sz w:val="32"/>
          <w:szCs w:val="32"/>
          <w:lang w:val="zh-CN"/>
        </w:rPr>
        <w:t>2023年11月的预算实际支出进度为87.09%，高于目标进度82.5%的要求。</w:t>
      </w:r>
      <w:r>
        <w:rPr>
          <w:rFonts w:eastAsia="仿宋_GB2312"/>
          <w:sz w:val="32"/>
          <w:szCs w:val="32"/>
          <w:lang w:val="zh-CN"/>
        </w:rPr>
        <w:br/>
      </w:r>
      <w:r>
        <w:rPr>
          <w:rFonts w:eastAsia="仿宋_GB2312" w:hint="eastAsia"/>
          <w:sz w:val="32"/>
          <w:szCs w:val="32"/>
          <w:lang w:val="zh-CN"/>
        </w:rPr>
        <w:t xml:space="preserve">    </w:t>
      </w:r>
      <w:r>
        <w:rPr>
          <w:rFonts w:eastAsia="仿宋_GB2312"/>
          <w:sz w:val="32"/>
          <w:szCs w:val="32"/>
        </w:rPr>
        <w:t>5.</w:t>
      </w:r>
      <w:r>
        <w:rPr>
          <w:rFonts w:eastAsia="仿宋_GB2312" w:hint="eastAsia"/>
          <w:sz w:val="32"/>
          <w:szCs w:val="32"/>
        </w:rPr>
        <w:t>完成结果较好。2023年，我局无预算管理违规违纪问题，整体支出预算完成98.15%，较好完成了全年预算绩效目标。2023年有9个项目，其中8个完成预期指标，1个能力建设项目未完成，资金结余率12.54%。</w:t>
      </w:r>
      <w:r>
        <w:rPr>
          <w:rFonts w:eastAsia="仿宋_GB2312"/>
          <w:sz w:val="32"/>
          <w:szCs w:val="32"/>
        </w:rPr>
        <w:br/>
      </w:r>
      <w:r>
        <w:rPr>
          <w:sz w:val="32"/>
          <w:szCs w:val="32"/>
        </w:rPr>
        <w:t xml:space="preserve">    </w:t>
      </w:r>
      <w:r>
        <w:rPr>
          <w:rFonts w:hint="eastAsia"/>
          <w:sz w:val="32"/>
          <w:szCs w:val="32"/>
        </w:rPr>
        <w:t>（二）</w:t>
      </w:r>
      <w:r>
        <w:rPr>
          <w:rFonts w:eastAsia="楷体_GB2312" w:hint="eastAsia"/>
          <w:kern w:val="0"/>
          <w:sz w:val="32"/>
          <w:szCs w:val="32"/>
          <w:shd w:val="clear" w:color="auto" w:fill="FFFFFF"/>
          <w:lang w:val="zh-CN"/>
        </w:rPr>
        <w:t>结果应用情况。</w:t>
      </w:r>
    </w:p>
    <w:p>
      <w:pPr>
        <w:pStyle w:val="45"/>
        <w:widowControl/>
        <w:adjustRightInd w:val="0"/>
        <w:snapToGrid w:val="0"/>
        <w:spacing w:line="580" w:lineRule="exact"/>
        <w:ind w:left="320"/>
        <w:jc w:val="left"/>
        <w:rPr>
          <w:sz w:val="32"/>
          <w:szCs w:val="32"/>
        </w:rPr>
      </w:pPr>
      <w:r>
        <w:rPr>
          <w:rFonts w:eastAsia="仿宋_GB2312" w:hint="eastAsia"/>
          <w:sz w:val="32"/>
          <w:szCs w:val="32"/>
        </w:rPr>
        <w:t>我局预算绩效目标由各科室和市医保信息中心的预算汇总编制形成，并对2023年项目绩效完成情况开展自评。完成了2022年</w:t>
      </w:r>
      <w:r>
        <w:rPr>
          <w:rFonts w:eastAsia="仿宋_GB2312" w:hint="eastAsia"/>
          <w:sz w:val="32"/>
          <w:szCs w:val="32"/>
          <w:lang w:eastAsia="zh-CN"/>
        </w:rPr>
        <w:t>单位</w:t>
      </w:r>
      <w:r>
        <w:rPr>
          <w:rFonts w:eastAsia="仿宋_GB2312" w:hint="eastAsia"/>
          <w:sz w:val="32"/>
          <w:szCs w:val="32"/>
        </w:rPr>
        <w:t>整体和项目绩效自评，自评情况已向社会公开，并按要求反馈市级财政</w:t>
      </w:r>
      <w:r>
        <w:rPr>
          <w:rFonts w:eastAsia="仿宋_GB2312" w:hint="eastAsia"/>
          <w:sz w:val="32"/>
          <w:szCs w:val="32"/>
          <w:lang w:eastAsia="zh-CN"/>
        </w:rPr>
        <w:t>单位</w:t>
      </w:r>
      <w:r>
        <w:rPr>
          <w:rFonts w:eastAsia="仿宋_GB2312" w:hint="eastAsia"/>
          <w:sz w:val="32"/>
          <w:szCs w:val="32"/>
        </w:rPr>
        <w:t>，对绩效管理过程中发现的问题及时纠偏，绩效结果得到充分应用。</w:t>
      </w:r>
    </w:p>
    <w:p>
      <w:pPr>
        <w:widowControl/>
        <w:adjustRightInd w:val="0"/>
        <w:snapToGrid w:val="0"/>
        <w:spacing w:line="580" w:lineRule="exact"/>
        <w:ind w:firstLineChars="231" w:firstLine="739"/>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（三）自评质量。</w:t>
      </w:r>
    </w:p>
    <w:p>
      <w:pPr>
        <w:widowControl/>
        <w:adjustRightInd w:val="0"/>
        <w:snapToGrid w:val="0"/>
        <w:spacing w:line="580" w:lineRule="exact"/>
        <w:ind w:firstLineChars="200" w:firstLine="640"/>
        <w:jc w:val="left"/>
        <w:rPr>
          <w:rFonts w:eastAsia="仿宋_GB2312"/>
          <w:sz w:val="32"/>
          <w:szCs w:val="32"/>
        </w:rPr>
      </w:pPr>
      <w:r>
        <w:rPr>
          <w:rFonts w:eastAsia="仿宋_GB2312" w:hint="eastAsia"/>
          <w:sz w:val="32"/>
          <w:szCs w:val="32"/>
        </w:rPr>
        <w:t>我局高度重视2023年绩效自评工作，根据财政</w:t>
      </w:r>
      <w:r>
        <w:rPr>
          <w:rFonts w:eastAsia="仿宋_GB2312" w:hint="eastAsia"/>
          <w:sz w:val="32"/>
          <w:szCs w:val="32"/>
          <w:lang w:eastAsia="zh-CN"/>
        </w:rPr>
        <w:t>单位</w:t>
      </w:r>
      <w:r>
        <w:rPr>
          <w:rFonts w:eastAsia="仿宋_GB2312" w:hint="eastAsia"/>
          <w:sz w:val="32"/>
          <w:szCs w:val="32"/>
        </w:rPr>
        <w:t>绩效指标要求逐项开展自评打分，自评根据预算和决算数据据实填报，自评质量较高。</w:t>
      </w:r>
    </w:p>
    <w:p>
      <w:pPr>
        <w:widowControl/>
        <w:adjustRightInd w:val="0"/>
        <w:snapToGrid w:val="0"/>
        <w:spacing w:line="580" w:lineRule="exact"/>
        <w:ind w:firstLineChars="200" w:firstLine="640"/>
        <w:jc w:val="left"/>
        <w:rPr>
          <w:rFonts w:eastAsia="黑体"/>
          <w:kern w:val="0"/>
          <w:sz w:val="32"/>
          <w:szCs w:val="32"/>
          <w:shd w:val="clear" w:color="auto" w:fill="FFFFFF"/>
        </w:rPr>
      </w:pPr>
      <w:r>
        <w:rPr>
          <w:rFonts w:eastAsia="黑体" w:hint="eastAsia"/>
          <w:kern w:val="0"/>
          <w:sz w:val="32"/>
          <w:szCs w:val="32"/>
          <w:shd w:val="clear" w:color="auto" w:fill="FFFFFF"/>
        </w:rPr>
        <w:t>四、评价结论及建议</w:t>
      </w:r>
    </w:p>
    <w:p>
      <w:pPr>
        <w:widowControl/>
        <w:adjustRightInd w:val="0"/>
        <w:snapToGrid w:val="0"/>
        <w:spacing w:line="580" w:lineRule="exact"/>
        <w:ind w:left="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（一）评价结论。</w:t>
      </w:r>
    </w:p>
    <w:p>
      <w:pPr>
        <w:pStyle w:val="30"/>
        <w:widowControl w:val="0"/>
        <w:shd w:val="clear" w:color="auto" w:fill="FFFFFF"/>
        <w:spacing w:before="0" w:beforeAutospacing="0" w:after="0" w:afterAutospacing="0" w:line="360" w:lineRule="auto"/>
        <w:ind w:firstLineChars="200" w:firstLine="640"/>
        <w:jc w:val="both"/>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2023</w:t>
      </w:r>
      <w:r>
        <w:rPr>
          <w:rFonts w:ascii="Times New Roman" w:eastAsia="仿宋_GB2312" w:cs="Times New Roman" w:hAnsi="Times New Roman" w:hint="eastAsia"/>
          <w:kern w:val="2"/>
          <w:sz w:val="32"/>
          <w:szCs w:val="32"/>
        </w:rPr>
        <w:t>年，我局以习近平新时代中国特色社会主义思想为指导，认真落实国家、省集采部署，积极开展医药服务价格调整工作，深入推进按疾病诊断相关分组（DRG）付费国家示范点建设，着力打造便捷高效的医保经办管理服务体系，不断加大基金监管工作力度，严厉打击欺诈骗保行为，进一步完善医保信息平台建设，有效提升了医疗保障服务能力，按预期绩效目标圆满完成了各项医保工作任务，实现了保运转，惠民生、促发展、推改革的总体目标。绩效自评得分98.68分，整体支出绩效评价为优秀。</w:t>
      </w:r>
    </w:p>
    <w:p>
      <w:pPr>
        <w:pStyle w:val="30"/>
        <w:widowControl w:val="0"/>
        <w:shd w:val="clear" w:color="auto" w:fill="FFFFFF"/>
        <w:spacing w:before="0" w:beforeAutospacing="0" w:after="0" w:afterAutospacing="0" w:line="360" w:lineRule="auto"/>
        <w:ind w:firstLineChars="200" w:firstLine="640"/>
        <w:jc w:val="both"/>
        <w:rPr>
          <w:rFonts w:ascii="Times New Roman" w:eastAsia="楷体_GB2312" w:cs="Times New Roman" w:hAnsi="Times New Roman"/>
          <w:sz w:val="32"/>
          <w:szCs w:val="32"/>
          <w:shd w:val="clear" w:color="auto" w:fill="FFFFFF"/>
          <w:lang w:val="zh-CN"/>
        </w:rPr>
      </w:pPr>
      <w:r>
        <w:rPr>
          <w:rFonts w:ascii="Times New Roman" w:eastAsia="楷体_GB2312" w:cs="Times New Roman" w:hAnsi="Times New Roman" w:hint="eastAsia"/>
          <w:sz w:val="32"/>
          <w:szCs w:val="32"/>
          <w:shd w:val="clear" w:color="auto" w:fill="FFFFFF"/>
          <w:lang w:val="zh-CN"/>
        </w:rPr>
        <w:t>（二）存在问题。</w:t>
      </w:r>
    </w:p>
    <w:p>
      <w:pPr>
        <w:spacing w:line="576" w:lineRule="exact"/>
        <w:ind w:firstLineChars="200" w:firstLine="640"/>
        <w:rPr>
          <w:rFonts w:eastAsia="楷体_GB2312"/>
          <w:sz w:val="32"/>
          <w:szCs w:val="32"/>
          <w:shd w:val="clear" w:color="auto" w:fill="FFFFFF"/>
        </w:rPr>
      </w:pPr>
      <w:r>
        <w:rPr>
          <w:rFonts w:eastAsia="仿宋_GB2312"/>
          <w:sz w:val="32"/>
          <w:szCs w:val="32"/>
        </w:rPr>
        <w:t>2023</w:t>
      </w:r>
      <w:r>
        <w:rPr>
          <w:rFonts w:eastAsia="仿宋_GB2312" w:hint="eastAsia"/>
          <w:sz w:val="32"/>
          <w:szCs w:val="32"/>
        </w:rPr>
        <w:t>年医药服务与保障能力提升中央财政补助资金未完成预算，资金结余率为12.54%，未完成原因是该项目资金下达时间较晚，部分工作年末才开展，项目支出未及时支付。</w:t>
      </w:r>
    </w:p>
    <w:p>
      <w:pPr>
        <w:pStyle w:val="30"/>
        <w:widowControl w:val="0"/>
        <w:shd w:val="clear" w:color="auto" w:fill="FFFFFF"/>
        <w:spacing w:before="0" w:beforeAutospacing="0" w:after="0" w:afterAutospacing="0" w:line="360" w:lineRule="auto"/>
        <w:ind w:firstLineChars="200" w:firstLine="640"/>
        <w:jc w:val="both"/>
        <w:rPr>
          <w:rFonts w:ascii="Times New Roman" w:eastAsia="楷体_GB2312" w:cs="Times New Roman" w:hAnsi="Times New Roman"/>
          <w:sz w:val="32"/>
          <w:szCs w:val="32"/>
          <w:shd w:val="clear" w:color="auto" w:fill="FFFFFF"/>
          <w:lang w:val="zh-CN"/>
        </w:rPr>
      </w:pPr>
      <w:r>
        <w:rPr>
          <w:rFonts w:ascii="Times New Roman" w:eastAsia="楷体_GB2312" w:cs="Times New Roman" w:hAnsi="Times New Roman" w:hint="eastAsia"/>
          <w:sz w:val="32"/>
          <w:szCs w:val="32"/>
          <w:shd w:val="clear" w:color="auto" w:fill="FFFFFF"/>
          <w:lang w:val="zh-CN"/>
        </w:rPr>
        <w:t>（三）改进建议。</w:t>
      </w:r>
    </w:p>
    <w:p>
      <w:pPr>
        <w:spacing w:line="360" w:lineRule="auto"/>
        <w:ind w:firstLineChars="200" w:firstLine="640"/>
        <w:rPr>
          <w:rFonts w:eastAsia="仿宋_GB2312"/>
          <w:sz w:val="32"/>
          <w:szCs w:val="32"/>
        </w:rPr>
      </w:pPr>
      <w:r>
        <w:rPr>
          <w:rFonts w:eastAsia="仿宋_GB2312" w:hint="eastAsia"/>
          <w:sz w:val="32"/>
          <w:szCs w:val="32"/>
        </w:rPr>
        <w:t>一是加快</w:t>
      </w:r>
      <w:r>
        <w:rPr>
          <w:rFonts w:eastAsia="仿宋_GB2312"/>
          <w:sz w:val="32"/>
          <w:szCs w:val="32"/>
        </w:rPr>
        <w:t>2023</w:t>
      </w:r>
      <w:r>
        <w:rPr>
          <w:rFonts w:eastAsia="仿宋_GB2312" w:hint="eastAsia"/>
          <w:sz w:val="32"/>
          <w:szCs w:val="32"/>
        </w:rPr>
        <w:t>年医药服务与保障能力提升中央财政补助结转资金的使用。二是统筹安排资金使用计划，列出项目支出明细，做到专款专用。三是加强与市级财政</w:t>
      </w:r>
      <w:r>
        <w:rPr>
          <w:rFonts w:eastAsia="仿宋_GB2312" w:hint="eastAsia"/>
          <w:sz w:val="32"/>
          <w:szCs w:val="32"/>
          <w:lang w:eastAsia="zh-CN"/>
        </w:rPr>
        <w:t>单位</w:t>
      </w:r>
      <w:r>
        <w:rPr>
          <w:rFonts w:eastAsia="仿宋_GB2312" w:hint="eastAsia"/>
          <w:sz w:val="32"/>
          <w:szCs w:val="32"/>
        </w:rPr>
        <w:t>的沟通协调，督促资金支付进度。</w:t>
      </w:r>
    </w:p>
    <w:p>
      <w:pPr>
        <w:pStyle w:val="31"/>
        <w:spacing w:line="560" w:lineRule="exact"/>
        <w:ind w:leftChars="304" w:left="1918" w:hangingChars="400" w:hanging="1280"/>
        <w:rPr>
          <w:rFonts w:eastAsia="仿宋_GB2312"/>
          <w:sz w:val="32"/>
          <w:szCs w:val="32"/>
        </w:rPr>
      </w:pPr>
      <w:r>
        <w:rPr>
          <w:rFonts w:eastAsia="仿宋_GB2312"/>
          <w:sz w:val="32"/>
          <w:szCs w:val="32"/>
          <w:lang w:val="zh-CN"/>
        </w:rPr>
        <w:t>附表：</w:t>
      </w:r>
      <w:r>
        <w:rPr>
          <w:rFonts w:eastAsia="仿宋_GB2312"/>
          <w:sz w:val="32"/>
          <w:szCs w:val="32"/>
        </w:rPr>
        <w:t>1.攀枝花市医疗保障局202</w:t>
      </w:r>
      <w:r>
        <w:rPr>
          <w:rFonts w:eastAsia="仿宋_GB2312" w:hint="eastAsia"/>
          <w:sz w:val="32"/>
          <w:szCs w:val="32"/>
        </w:rPr>
        <w:t>3</w:t>
      </w:r>
      <w:r>
        <w:rPr>
          <w:rFonts w:eastAsia="仿宋_GB2312"/>
          <w:sz w:val="32"/>
          <w:szCs w:val="32"/>
        </w:rPr>
        <w:t>年</w:t>
      </w:r>
      <w:r>
        <w:rPr>
          <w:rFonts w:eastAsia="仿宋_GB2312" w:hint="eastAsia"/>
          <w:sz w:val="32"/>
          <w:szCs w:val="32"/>
          <w:lang w:eastAsia="zh-CN"/>
        </w:rPr>
        <w:t>单位</w:t>
      </w:r>
      <w:r>
        <w:rPr>
          <w:rFonts w:eastAsia="仿宋_GB2312"/>
          <w:sz w:val="32"/>
          <w:szCs w:val="32"/>
        </w:rPr>
        <w:t>决算公开表见附件</w:t>
      </w:r>
    </w:p>
    <w:p>
      <w:pPr>
        <w:pStyle w:val="31"/>
        <w:spacing w:line="560" w:lineRule="exact"/>
        <w:ind w:leftChars="760" w:left="1756" w:hangingChars="50" w:hanging="160"/>
        <w:rPr>
          <w:rFonts w:eastAsia="仿宋_GB2312"/>
          <w:sz w:val="32"/>
          <w:szCs w:val="32"/>
          <w:lang w:val="zh-CN"/>
        </w:rPr>
      </w:pPr>
      <w:r>
        <w:rPr>
          <w:rFonts w:eastAsia="仿宋_GB2312"/>
          <w:sz w:val="32"/>
          <w:szCs w:val="32"/>
        </w:rPr>
        <w:t>2.攀枝花市医疗保障局预算项目支出绩效自评表（202</w:t>
      </w:r>
      <w:r>
        <w:rPr>
          <w:rFonts w:eastAsia="仿宋_GB2312" w:hint="eastAsia"/>
          <w:sz w:val="32"/>
          <w:szCs w:val="32"/>
        </w:rPr>
        <w:t>3</w:t>
      </w:r>
      <w:r>
        <w:rPr>
          <w:rFonts w:eastAsia="仿宋_GB2312"/>
          <w:sz w:val="32"/>
          <w:szCs w:val="32"/>
        </w:rPr>
        <w:t>年度）见附件</w:t>
      </w:r>
    </w:p>
    <w:p>
      <w:pPr>
        <w:spacing w:line="578" w:lineRule="exact"/>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outlineLvl w:val="1"/>
        <w:rPr>
          <w:rFonts w:eastAsia="黑体"/>
          <w:color w:val="000000"/>
          <w:sz w:val="32"/>
          <w:szCs w:val="32"/>
        </w:rPr>
      </w:pPr>
    </w:p>
    <w:p>
      <w:pPr>
        <w:spacing w:line="578" w:lineRule="exact"/>
        <w:outlineLvl w:val="1"/>
        <w:rPr>
          <w:rFonts w:eastAsia="黑体"/>
          <w:color w:val="000000"/>
          <w:sz w:val="32"/>
          <w:szCs w:val="32"/>
        </w:rPr>
      </w:pPr>
    </w:p>
    <w:p>
      <w:pPr>
        <w:spacing w:line="578" w:lineRule="exact"/>
        <w:outlineLvl w:val="1"/>
        <w:rPr>
          <w:rFonts w:eastAsia="黑体"/>
          <w:color w:val="000000"/>
          <w:sz w:val="32"/>
          <w:szCs w:val="32"/>
        </w:rPr>
      </w:pPr>
    </w:p>
    <w:p>
      <w:pPr>
        <w:spacing w:line="578" w:lineRule="exact"/>
        <w:outlineLvl w:val="1"/>
        <w:rPr>
          <w:rFonts w:eastAsia="黑体"/>
          <w:color w:val="000000"/>
          <w:sz w:val="32"/>
          <w:szCs w:val="32"/>
        </w:rPr>
      </w:pPr>
      <w:bookmarkStart w:id="145" w:name="_Toc113574870"/>
      <w:bookmarkStart w:id="146" w:name="_Toc144464247"/>
      <w:bookmarkStart w:id="147" w:name="_Toc145434826"/>
      <w:bookmarkStart w:id="148" w:name="_Toc145437073"/>
      <w:r>
        <w:rPr>
          <w:rFonts w:eastAsia="黑体"/>
          <w:color w:val="000000"/>
          <w:sz w:val="32"/>
          <w:szCs w:val="32"/>
        </w:rPr>
        <w:t>附件2</w:t>
      </w:r>
      <w:bookmarkEnd w:id="141"/>
      <w:bookmarkEnd w:id="142"/>
      <w:bookmarkEnd w:id="145"/>
      <w:bookmarkEnd w:id="146"/>
      <w:bookmarkEnd w:id="147"/>
      <w:bookmarkEnd w:id="148"/>
    </w:p>
    <w:p>
      <w:pPr>
        <w:widowControl/>
        <w:adjustRightInd w:val="0"/>
        <w:snapToGrid w:val="0"/>
        <w:spacing w:line="580" w:lineRule="exact"/>
        <w:jc w:val="center"/>
        <w:rPr>
          <w:rFonts w:eastAsia="方正小标宋_GBK"/>
          <w:sz w:val="44"/>
          <w:szCs w:val="44"/>
        </w:rPr>
      </w:pPr>
    </w:p>
    <w:p>
      <w:pPr>
        <w:tabs>
          <w:tab w:val="left" w:pos="1440"/>
        </w:tabs>
        <w:spacing w:line="560" w:lineRule="exact"/>
        <w:jc w:val="center"/>
        <w:rPr>
          <w:rFonts w:eastAsia="方正小标宋_GBK"/>
          <w:sz w:val="44"/>
          <w:szCs w:val="44"/>
        </w:rPr>
      </w:pPr>
      <w:r>
        <w:rPr>
          <w:rFonts w:eastAsia="方正小标宋_GBK"/>
          <w:sz w:val="44"/>
          <w:szCs w:val="44"/>
        </w:rPr>
        <w:t>攀枝花市医疗保障局</w:t>
      </w:r>
    </w:p>
    <w:p>
      <w:pPr>
        <w:spacing w:line="560" w:lineRule="exact"/>
        <w:jc w:val="center"/>
        <w:rPr>
          <w:rFonts w:eastAsia="方正小标宋_GBK"/>
          <w:kern w:val="0"/>
          <w:sz w:val="44"/>
          <w:szCs w:val="44"/>
          <w:lang w:val="zh-CN"/>
        </w:rPr>
      </w:pPr>
      <w:r>
        <w:rPr>
          <w:rFonts w:eastAsia="方正小标宋_GBK"/>
          <w:spacing w:val="-2"/>
          <w:kern w:val="0"/>
          <w:sz w:val="44"/>
          <w:szCs w:val="44"/>
          <w:lang w:val="zh-CN"/>
        </w:rPr>
        <w:t>关于小型机存储及虚拟化服务器等设备维保项目</w:t>
      </w:r>
      <w:r>
        <w:rPr>
          <w:rFonts w:eastAsia="方正小标宋_GBK"/>
          <w:kern w:val="0"/>
          <w:sz w:val="44"/>
          <w:szCs w:val="44"/>
          <w:lang w:val="zh-CN"/>
        </w:rPr>
        <w:t>支出绩效的自评报告</w:t>
      </w:r>
    </w:p>
    <w:p>
      <w:pPr>
        <w:spacing w:line="560" w:lineRule="exact"/>
        <w:ind w:firstLine="640"/>
        <w:jc w:val="center"/>
        <w:rPr>
          <w:sz w:val="32"/>
          <w:szCs w:val="32"/>
          <w:lang w:val="zh-CN"/>
        </w:rPr>
      </w:pPr>
    </w:p>
    <w:p>
      <w:pPr>
        <w:adjustRightInd w:val="0"/>
        <w:snapToGrid w:val="0"/>
        <w:spacing w:line="56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（一）项目资金申报及批复情况。</w:t>
      </w:r>
    </w:p>
    <w:p>
      <w:pPr>
        <w:adjustRightInd w:val="0"/>
        <w:snapToGrid w:val="0"/>
        <w:spacing w:line="560" w:lineRule="exact"/>
        <w:ind w:firstLine="720"/>
        <w:rPr>
          <w:rFonts w:eastAsia="仿宋_GB2312"/>
          <w:sz w:val="32"/>
          <w:szCs w:val="32"/>
        </w:rPr>
      </w:pPr>
      <w:r>
        <w:rPr>
          <w:rFonts w:eastAsia="仿宋_GB2312"/>
          <w:sz w:val="32"/>
          <w:szCs w:val="32"/>
          <w:lang w:val="zh-CN"/>
        </w:rPr>
        <w:t>攀枝花市医疗保障局通过申请</w:t>
      </w:r>
      <w:r>
        <w:rPr>
          <w:rFonts w:eastAsia="仿宋_GB2312"/>
          <w:sz w:val="32"/>
          <w:szCs w:val="32"/>
        </w:rPr>
        <w:t>追加2023年工作经费及项目经费预算（第一批），其中包括2022年度IBM小型机及虚拟化服务器等设备维保项目，市财政局下达资金58.8万元，</w:t>
      </w:r>
      <w:r>
        <w:rPr>
          <w:rFonts w:eastAsia="仿宋_GB2312"/>
          <w:sz w:val="32"/>
          <w:szCs w:val="32"/>
          <w:lang w:val="zh-CN"/>
        </w:rPr>
        <w:t>其符合资金管理办法等相关规定。</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（二）项目绩效目标。</w:t>
      </w:r>
    </w:p>
    <w:p>
      <w:pPr>
        <w:adjustRightInd w:val="0"/>
        <w:snapToGrid w:val="0"/>
        <w:spacing w:line="560" w:lineRule="exact"/>
        <w:ind w:firstLine="720"/>
        <w:rPr>
          <w:rFonts w:eastAsia="仿宋_GB2312"/>
          <w:sz w:val="32"/>
          <w:szCs w:val="32"/>
          <w:lang w:val="zh-CN"/>
        </w:rPr>
      </w:pPr>
      <w:r>
        <w:rPr>
          <w:rFonts w:eastAsia="仿宋_GB2312"/>
          <w:sz w:val="32"/>
          <w:szCs w:val="32"/>
        </w:rPr>
        <w:t>我市医保核心业务经办系统“综合柜员制”系统通过市人力资源社会保障局“金保工程”系统进行运维，机构改革后，市人力资源社会保障局不再承担“综合柜员制”系统以及依附的ORACLE数据库等系统的运维责任，把相关系统、设备的管理权限进行拆分后移交给医保</w:t>
      </w:r>
      <w:r>
        <w:rPr>
          <w:rFonts w:eastAsia="仿宋_GB2312" w:hint="eastAsia"/>
          <w:sz w:val="32"/>
          <w:szCs w:val="32"/>
          <w:lang w:val="en-US" w:eastAsia="zh-CN"/>
        </w:rPr>
        <w:t>部门</w:t>
      </w:r>
      <w:r>
        <w:rPr>
          <w:rFonts w:eastAsia="仿宋_GB2312"/>
          <w:sz w:val="32"/>
          <w:szCs w:val="32"/>
        </w:rPr>
        <w:t>，由我局承接相关系统运维保障工作，本项目为2022年度IBM小型机及虚拟化服务器等设备维保，保障IBM小型机及虚拟化服务器等设备安全稳定运行，保障业务系统正常工作。</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（三）项目资金申报相符性。</w:t>
      </w:r>
    </w:p>
    <w:p>
      <w:pPr>
        <w:adjustRightInd w:val="0"/>
        <w:snapToGrid w:val="0"/>
        <w:spacing w:line="560" w:lineRule="exact"/>
        <w:ind w:firstLine="720"/>
        <w:rPr>
          <w:rFonts w:eastAsia="仿宋_GB2312"/>
          <w:sz w:val="32"/>
          <w:szCs w:val="32"/>
          <w:lang w:val="zh-CN"/>
        </w:rPr>
      </w:pPr>
      <w:r>
        <w:rPr>
          <w:rFonts w:eastAsia="仿宋_GB2312"/>
          <w:sz w:val="32"/>
          <w:szCs w:val="32"/>
          <w:lang w:val="zh-CN"/>
        </w:rPr>
        <w:t>该项目申报内容与具体实施内容相符，申报目标合理可行。</w:t>
      </w:r>
    </w:p>
    <w:p>
      <w:pPr>
        <w:adjustRightInd w:val="0"/>
        <w:snapToGrid w:val="0"/>
        <w:spacing w:line="560" w:lineRule="exact"/>
        <w:ind w:firstLine="720"/>
        <w:rPr>
          <w:rFonts w:eastAsia="黑体"/>
          <w:sz w:val="32"/>
          <w:szCs w:val="32"/>
        </w:rPr>
      </w:pPr>
      <w:r>
        <w:rPr>
          <w:rFonts w:eastAsia="黑体"/>
          <w:sz w:val="32"/>
          <w:szCs w:val="32"/>
        </w:rPr>
        <w:t>二、项目实施及管理情况</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（一）资金计划、到位及使用情况。</w:t>
      </w:r>
    </w:p>
    <w:p>
      <w:pPr>
        <w:adjustRightInd w:val="0"/>
        <w:snapToGrid w:val="0"/>
        <w:spacing w:line="560" w:lineRule="exact"/>
        <w:ind w:firstLine="720"/>
        <w:rPr>
          <w:rFonts w:eastAsia="仿宋_GB2312"/>
          <w:sz w:val="32"/>
          <w:szCs w:val="32"/>
          <w:lang w:val="zh-CN"/>
        </w:rPr>
      </w:pPr>
      <w:r>
        <w:rPr>
          <w:rFonts w:eastAsia="楷体_GB2312"/>
          <w:sz w:val="32"/>
          <w:szCs w:val="32"/>
          <w:lang w:val="zh-CN"/>
        </w:rPr>
        <w:t>1．资金计划及到位。</w:t>
      </w:r>
    </w:p>
    <w:p>
      <w:pPr>
        <w:spacing w:line="560" w:lineRule="exact"/>
        <w:ind w:firstLineChars="200" w:firstLine="640"/>
        <w:jc w:val="left"/>
        <w:rPr>
          <w:rFonts w:eastAsia="仿宋_GB2312"/>
          <w:kern w:val="0"/>
          <w:sz w:val="32"/>
          <w:szCs w:val="32"/>
        </w:rPr>
      </w:pPr>
      <w:r>
        <w:rPr>
          <w:rFonts w:eastAsia="仿宋_GB2312"/>
          <w:kern w:val="0"/>
          <w:sz w:val="32"/>
          <w:szCs w:val="32"/>
        </w:rPr>
        <w:t>2023年，我局根据项目维保情况向市财政局申请追加项目预算资金</w:t>
      </w:r>
      <w:r>
        <w:rPr>
          <w:rFonts w:eastAsia="仿宋_GB2312"/>
          <w:sz w:val="32"/>
          <w:szCs w:val="32"/>
        </w:rPr>
        <w:t>58.8万</w:t>
      </w:r>
      <w:r>
        <w:rPr>
          <w:rFonts w:eastAsia="仿宋_GB2312"/>
          <w:kern w:val="0"/>
          <w:sz w:val="32"/>
          <w:szCs w:val="32"/>
        </w:rPr>
        <w:t>元，财政审批后进行资金批复。</w:t>
      </w:r>
    </w:p>
    <w:p>
      <w:pPr>
        <w:adjustRightInd w:val="0"/>
        <w:snapToGrid w:val="0"/>
        <w:spacing w:line="560" w:lineRule="exact"/>
        <w:ind w:firstLine="720"/>
        <w:rPr>
          <w:rFonts w:eastAsia="仿宋_GB2312"/>
          <w:sz w:val="32"/>
          <w:szCs w:val="32"/>
          <w:lang w:val="zh-CN"/>
        </w:rPr>
      </w:pPr>
      <w:r>
        <w:rPr>
          <w:rFonts w:eastAsia="楷体_GB2312"/>
          <w:sz w:val="32"/>
          <w:szCs w:val="32"/>
          <w:lang w:val="zh-CN"/>
        </w:rPr>
        <w:t>2．资金使用。</w:t>
      </w:r>
    </w:p>
    <w:p>
      <w:pPr>
        <w:adjustRightInd w:val="0"/>
        <w:snapToGrid w:val="0"/>
        <w:spacing w:line="560" w:lineRule="exact"/>
        <w:ind w:firstLine="720"/>
        <w:rPr>
          <w:rFonts w:eastAsia="仿宋_GB2312"/>
          <w:sz w:val="32"/>
          <w:szCs w:val="32"/>
          <w:lang w:val="zh-CN"/>
        </w:rPr>
      </w:pPr>
      <w:r>
        <w:rPr>
          <w:rFonts w:eastAsia="仿宋_GB2312"/>
          <w:sz w:val="32"/>
          <w:szCs w:val="32"/>
        </w:rPr>
        <w:t>IBM小型机及虚拟化服务器等设备维保项目为机构改革后市人力资源社会保障信息中心延续项目，2022年度运维费用为58.8万</w:t>
      </w:r>
      <w:r>
        <w:rPr>
          <w:rFonts w:eastAsia="仿宋_GB2312"/>
          <w:kern w:val="0"/>
          <w:sz w:val="32"/>
          <w:szCs w:val="32"/>
        </w:rPr>
        <w:t>元，2023</w:t>
      </w:r>
      <w:r>
        <w:rPr>
          <w:rFonts w:eastAsia="仿宋_GB2312"/>
          <w:sz w:val="32"/>
          <w:szCs w:val="32"/>
        </w:rPr>
        <w:t>年12月分两笔支付，每笔29.4万元，共计58.8万元，</w:t>
      </w:r>
      <w:r>
        <w:rPr>
          <w:rFonts w:eastAsia="仿宋_GB2312"/>
          <w:sz w:val="32"/>
          <w:szCs w:val="32"/>
          <w:lang w:val="zh-CN"/>
        </w:rPr>
        <w:t>截至2023年底，合同款项全部结清。</w:t>
      </w:r>
    </w:p>
    <w:p>
      <w:pPr>
        <w:adjustRightInd w:val="0"/>
        <w:snapToGrid w:val="0"/>
        <w:spacing w:line="560" w:lineRule="exact"/>
        <w:ind w:firstLineChars="147" w:firstLine="470"/>
        <w:rPr>
          <w:rFonts w:eastAsia="楷体_GB2312"/>
          <w:b/>
          <w:sz w:val="32"/>
          <w:szCs w:val="32"/>
          <w:lang w:val="zh-CN"/>
        </w:rPr>
      </w:pPr>
      <w:r>
        <w:rPr>
          <w:rFonts w:eastAsia="楷体_GB2312"/>
          <w:b/>
          <w:sz w:val="32"/>
          <w:szCs w:val="32"/>
          <w:lang w:val="zh-CN"/>
        </w:rPr>
        <w:t>（二）项目财务管理情况。</w:t>
      </w:r>
    </w:p>
    <w:p>
      <w:pPr>
        <w:autoSpaceDE w:val="0"/>
        <w:autoSpaceDN w:val="0"/>
        <w:spacing w:line="560" w:lineRule="exact"/>
        <w:ind w:firstLineChars="200" w:firstLine="640"/>
        <w:rPr>
          <w:rFonts w:eastAsia="仿宋_GB2312"/>
          <w:kern w:val="0"/>
          <w:sz w:val="32"/>
          <w:szCs w:val="32"/>
        </w:rPr>
      </w:pPr>
      <w:r>
        <w:rPr>
          <w:rFonts w:eastAsia="仿宋_GB2312"/>
          <w:kern w:val="0"/>
          <w:sz w:val="32"/>
          <w:szCs w:val="32"/>
        </w:rPr>
        <w:t>严格执行政府会计制度和财务管理规定，会计资料真实、完整，账务处理及时，会计核算规范。坚持专款专用，严格按计划使用资金，无挤占挪用或套取资金等现象。</w:t>
      </w:r>
    </w:p>
    <w:p>
      <w:pPr>
        <w:adjustRightInd w:val="0"/>
        <w:snapToGrid w:val="0"/>
        <w:spacing w:line="560" w:lineRule="exact"/>
        <w:ind w:firstLineChars="147" w:firstLine="470"/>
        <w:rPr>
          <w:rFonts w:eastAsia="楷体_GB2312"/>
          <w:b/>
          <w:sz w:val="32"/>
          <w:szCs w:val="32"/>
          <w:lang w:val="zh-CN"/>
        </w:rPr>
      </w:pPr>
      <w:r>
        <w:rPr>
          <w:rFonts w:eastAsia="楷体_GB2312"/>
          <w:b/>
          <w:sz w:val="32"/>
          <w:szCs w:val="32"/>
          <w:lang w:val="zh-CN"/>
        </w:rPr>
        <w:t>（三）项目组织实施情况。</w:t>
      </w:r>
    </w:p>
    <w:p>
      <w:pPr>
        <w:spacing w:line="560" w:lineRule="exact"/>
        <w:ind w:firstLine="645"/>
        <w:rPr>
          <w:rFonts w:eastAsia="仿宋_GB2312"/>
          <w:sz w:val="32"/>
          <w:szCs w:val="32"/>
        </w:rPr>
      </w:pPr>
      <w:r>
        <w:rPr>
          <w:rFonts w:eastAsia="仿宋_GB2312"/>
          <w:sz w:val="32"/>
          <w:szCs w:val="32"/>
        </w:rPr>
        <w:t>IBM小型机及虚拟化服务器等设备维保项目为机构改革后市人力资源社会保障信息中心延续项目，由市医疗保障信息中心牵头</w:t>
      </w:r>
      <w:r>
        <w:rPr>
          <w:rFonts w:eastAsia="仿宋_GB2312"/>
          <w:kern w:val="0"/>
          <w:sz w:val="32"/>
          <w:szCs w:val="32"/>
        </w:rPr>
        <w:t>统筹谋划推进项目实施，项目组织架构和实施流程完整规范；</w:t>
      </w:r>
      <w:r>
        <w:rPr>
          <w:rFonts w:eastAsia="仿宋_GB2312"/>
          <w:sz w:val="32"/>
          <w:szCs w:val="32"/>
        </w:rPr>
        <w:t>严格按照与第三方运维公司签订合同要求进行IBM小型机及虚拟化服务器等设备维保，保障业务系统正常工作；</w:t>
      </w:r>
      <w:r>
        <w:rPr>
          <w:rFonts w:eastAsia="仿宋_GB2312"/>
          <w:kern w:val="0"/>
          <w:sz w:val="32"/>
          <w:szCs w:val="32"/>
        </w:rPr>
        <w:t>不定期组织召开项目研讨会，听取运维情况，及时将难点、堵点问题研讨解决</w:t>
      </w:r>
      <w:r>
        <w:rPr>
          <w:rFonts w:eastAsia="仿宋_GB2312"/>
          <w:sz w:val="32"/>
          <w:szCs w:val="32"/>
        </w:rPr>
        <w:t>。</w:t>
      </w:r>
    </w:p>
    <w:p>
      <w:pPr>
        <w:adjustRightInd w:val="0"/>
        <w:snapToGrid w:val="0"/>
        <w:spacing w:line="560" w:lineRule="exact"/>
        <w:ind w:firstLine="720"/>
        <w:rPr>
          <w:rFonts w:eastAsia="仿宋_GB2312"/>
          <w:sz w:val="32"/>
          <w:szCs w:val="32"/>
          <w:lang w:val="zh-CN"/>
        </w:rPr>
      </w:pPr>
      <w:r>
        <w:rPr>
          <w:rFonts w:eastAsia="黑体"/>
          <w:sz w:val="32"/>
          <w:szCs w:val="32"/>
        </w:rPr>
        <w:t>三、项目绩效情况</w:t>
      </w:r>
      <w:r>
        <w:rPr>
          <w:rFonts w:eastAsia="仿宋_GB2312"/>
          <w:sz w:val="32"/>
          <w:szCs w:val="32"/>
          <w:lang w:val="zh-CN"/>
        </w:rPr>
        <w:tab/>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560" w:lineRule="exact"/>
        <w:ind w:firstLine="720"/>
        <w:rPr>
          <w:rFonts w:eastAsia="仿宋_GB2312"/>
          <w:sz w:val="32"/>
          <w:szCs w:val="32"/>
        </w:rPr>
      </w:pPr>
      <w:r>
        <w:rPr>
          <w:rFonts w:eastAsia="仿宋_GB2312"/>
          <w:sz w:val="32"/>
          <w:szCs w:val="32"/>
          <w:lang w:val="zh-CN"/>
        </w:rPr>
        <w:t>第三方运维公司</w:t>
      </w:r>
      <w:r>
        <w:rPr>
          <w:rFonts w:eastAsia="仿宋_GB2312"/>
          <w:sz w:val="32"/>
          <w:szCs w:val="32"/>
        </w:rPr>
        <w:t>严格按照运维合同完成维护设备清单的运维工作，定期检查操作系统中的系统设置和系统日志，以确认系统是否正常运行，并进行相应调优工作，完成操作系统备份。</w:t>
      </w:r>
    </w:p>
    <w:p>
      <w:pPr>
        <w:adjustRightInd w:val="0"/>
        <w:snapToGrid w:val="0"/>
        <w:spacing w:line="560" w:lineRule="exact"/>
        <w:ind w:firstLine="720"/>
        <w:rPr>
          <w:rFonts w:eastAsia="仿宋_GB2312"/>
          <w:sz w:val="32"/>
          <w:szCs w:val="32"/>
        </w:rPr>
      </w:pPr>
      <w:r>
        <w:rPr>
          <w:rFonts w:eastAsia="仿宋_GB2312"/>
          <w:sz w:val="32"/>
          <w:szCs w:val="32"/>
          <w:lang w:val="zh-CN"/>
        </w:rPr>
        <w:t>2022年度</w:t>
      </w:r>
      <w:r>
        <w:rPr>
          <w:rFonts w:eastAsia="仿宋_GB2312"/>
          <w:sz w:val="32"/>
          <w:szCs w:val="32"/>
        </w:rPr>
        <w:t>的任务量完成、质量标准、进度计划、成本控制目标等的实现程度达到项目绩效目标。</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（二）项目效益情况。</w:t>
      </w:r>
    </w:p>
    <w:p>
      <w:pPr>
        <w:adjustRightInd w:val="0"/>
        <w:snapToGrid w:val="0"/>
        <w:spacing w:line="560" w:lineRule="exact"/>
        <w:ind w:firstLine="720"/>
        <w:rPr>
          <w:rFonts w:eastAsia="仿宋_GB2312"/>
          <w:sz w:val="32"/>
          <w:szCs w:val="32"/>
          <w:lang w:val="zh-CN"/>
        </w:rPr>
      </w:pPr>
      <w:r>
        <w:rPr>
          <w:rFonts w:eastAsia="仿宋_GB2312"/>
          <w:sz w:val="32"/>
          <w:szCs w:val="32"/>
          <w:lang w:val="zh-CN"/>
        </w:rPr>
        <w:t>通过该项目的实施，使维保范围内相关软硬件稳定运行，保障信息系统安全、稳定和高效运行，增强系统的可用性和安全性，提高系统运行服务水平和管理水平，保障医保业务系统的正常运行、落实省、市各项医保政策新增和变化，保障医保线下、线上各项业务正常运转，继续支撑医保线上业务的开展，保障参保群众的权益。</w:t>
      </w:r>
    </w:p>
    <w:p>
      <w:pPr>
        <w:adjustRightInd w:val="0"/>
        <w:snapToGrid w:val="0"/>
        <w:spacing w:line="560" w:lineRule="exact"/>
        <w:ind w:firstLine="720"/>
        <w:rPr>
          <w:rFonts w:eastAsia="仿宋_GB2312"/>
          <w:sz w:val="32"/>
          <w:szCs w:val="32"/>
          <w:lang w:val="zh-CN"/>
        </w:rPr>
      </w:pPr>
      <w:r>
        <w:rPr>
          <w:rFonts w:eastAsia="黑体"/>
          <w:sz w:val="32"/>
          <w:szCs w:val="32"/>
        </w:rPr>
        <w:t>四、问题及建议</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（一）存在的问题。</w:t>
      </w:r>
    </w:p>
    <w:p>
      <w:pPr>
        <w:adjustRightInd w:val="0"/>
        <w:snapToGrid w:val="0"/>
        <w:spacing w:line="560" w:lineRule="exact"/>
        <w:ind w:firstLine="720"/>
        <w:rPr>
          <w:rFonts w:eastAsia="仿宋_GB2312"/>
          <w:sz w:val="32"/>
          <w:szCs w:val="32"/>
          <w:lang w:val="zh-CN"/>
        </w:rPr>
      </w:pPr>
      <w:r>
        <w:rPr>
          <w:rFonts w:eastAsia="仿宋_GB2312"/>
          <w:sz w:val="32"/>
          <w:szCs w:val="32"/>
          <w:lang w:val="zh-CN"/>
        </w:rPr>
        <w:t>无。</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（二）相关建议。</w:t>
      </w:r>
    </w:p>
    <w:p>
      <w:pPr>
        <w:adjustRightInd w:val="0"/>
        <w:snapToGrid w:val="0"/>
        <w:spacing w:line="560" w:lineRule="exact"/>
        <w:ind w:firstLine="720"/>
        <w:rPr>
          <w:rFonts w:eastAsia="仿宋_GB2312"/>
          <w:sz w:val="32"/>
          <w:szCs w:val="32"/>
          <w:lang w:val="zh-CN"/>
        </w:rPr>
      </w:pPr>
      <w:r>
        <w:rPr>
          <w:rFonts w:eastAsia="仿宋_GB2312"/>
          <w:sz w:val="32"/>
          <w:szCs w:val="32"/>
          <w:lang w:val="zh-CN"/>
        </w:rPr>
        <w:t>无。</w:t>
      </w:r>
    </w:p>
    <w:p/>
    <w:p/>
    <w:p/>
    <w:p/>
    <w:p/>
    <w:p/>
    <w:p>
      <w:pPr>
        <w:widowControl/>
        <w:adjustRightInd w:val="0"/>
        <w:snapToGrid w:val="0"/>
        <w:spacing w:line="580" w:lineRule="exact"/>
        <w:ind w:firstLineChars="200" w:firstLine="420"/>
        <w:jc w:val="left"/>
        <w:rPr>
          <w:rFonts w:eastAsia="黑体"/>
          <w:color w:val="000000"/>
          <w:kern w:val="0"/>
          <w:szCs w:val="32"/>
          <w:shd w:val="clear" w:color="auto" w:fill="FFFFFF"/>
        </w:rPr>
      </w:pPr>
    </w:p>
    <w:p>
      <w:pPr>
        <w:widowControl/>
        <w:adjustRightInd w:val="0"/>
        <w:snapToGrid w:val="0"/>
        <w:spacing w:line="580" w:lineRule="exact"/>
        <w:ind w:firstLineChars="200" w:firstLine="420"/>
        <w:jc w:val="left"/>
        <w:rPr>
          <w:rFonts w:eastAsia="仿宋_GB2312"/>
          <w:color w:val="000000"/>
          <w:kern w:val="0"/>
          <w:szCs w:val="32"/>
          <w:shd w:val="clear" w:color="auto" w:fill="FFFFFF"/>
        </w:rPr>
      </w:pPr>
    </w:p>
    <w:p>
      <w:pPr>
        <w:spacing w:line="578" w:lineRule="exact"/>
        <w:ind w:firstLineChars="200" w:firstLine="640"/>
        <w:rPr>
          <w:rFonts w:eastAsia="仿宋_GB2312"/>
          <w:b/>
          <w:color w:val="000000"/>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360" w:lineRule="auto"/>
        <w:rPr>
          <w:rFonts w:eastAsia="仿宋_GB2312"/>
          <w:bCs/>
          <w:color w:val="000000"/>
          <w:sz w:val="32"/>
          <w:szCs w:val="32"/>
        </w:rPr>
      </w:pPr>
      <w:bookmarkStart w:id="149" w:name="_Toc15396618"/>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578" w:lineRule="exact"/>
        <w:outlineLvl w:val="1"/>
        <w:rPr>
          <w:rFonts w:eastAsia="黑体"/>
          <w:color w:val="000000"/>
          <w:sz w:val="32"/>
          <w:szCs w:val="32"/>
        </w:rPr>
      </w:pPr>
      <w:bookmarkStart w:id="150" w:name="_Toc145437074"/>
      <w:bookmarkStart w:id="151" w:name="_Toc145434827"/>
      <w:r>
        <w:rPr>
          <w:rFonts w:eastAsia="黑体"/>
          <w:color w:val="000000"/>
          <w:sz w:val="32"/>
          <w:szCs w:val="32"/>
        </w:rPr>
        <w:t>附件3</w:t>
      </w:r>
      <w:bookmarkEnd w:id="150"/>
      <w:bookmarkEnd w:id="151"/>
    </w:p>
    <w:p>
      <w:pPr>
        <w:spacing w:line="560" w:lineRule="exact"/>
        <w:ind w:firstLineChars="200" w:firstLine="856"/>
        <w:jc w:val="center"/>
        <w:rPr>
          <w:rFonts w:eastAsia="方正小标宋_GBK"/>
          <w:spacing w:val="-6"/>
          <w:sz w:val="44"/>
          <w:szCs w:val="44"/>
        </w:rPr>
      </w:pPr>
    </w:p>
    <w:p>
      <w:pPr>
        <w:spacing w:line="600" w:lineRule="exact"/>
        <w:ind w:firstLineChars="200" w:firstLine="880"/>
        <w:jc w:val="center"/>
        <w:rPr>
          <w:rFonts w:eastAsia="方正小标宋_GBK"/>
          <w:sz w:val="44"/>
          <w:szCs w:val="44"/>
        </w:rPr>
      </w:pPr>
      <w:r>
        <w:rPr>
          <w:rFonts w:eastAsia="方正小标宋_GBK"/>
          <w:sz w:val="44"/>
          <w:szCs w:val="44"/>
        </w:rPr>
        <w:t>攀枝花市医疗保障局</w:t>
      </w:r>
    </w:p>
    <w:p>
      <w:pPr>
        <w:spacing w:line="600" w:lineRule="exact"/>
        <w:ind w:firstLineChars="200" w:firstLine="872"/>
        <w:jc w:val="center"/>
        <w:rPr>
          <w:rFonts w:eastAsia="方正小标宋_GBK"/>
          <w:sz w:val="44"/>
          <w:szCs w:val="44"/>
        </w:rPr>
      </w:pPr>
      <w:r>
        <w:rPr>
          <w:rFonts w:eastAsia="方正小标宋_GBK"/>
          <w:spacing w:val="-2"/>
          <w:sz w:val="44"/>
          <w:szCs w:val="44"/>
        </w:rPr>
        <w:t>关于“</w:t>
      </w:r>
      <w:bookmarkStart w:id="152" w:name="_Hlk163570261"/>
      <w:r>
        <w:rPr>
          <w:rFonts w:eastAsia="方正小标宋_GBK"/>
          <w:spacing w:val="-2"/>
          <w:sz w:val="44"/>
          <w:szCs w:val="44"/>
        </w:rPr>
        <w:t>综合柜员制”系统政策性功能调整项目</w:t>
      </w:r>
      <w:r>
        <w:rPr>
          <w:rFonts w:eastAsia="方正小标宋_GBK"/>
          <w:sz w:val="44"/>
          <w:szCs w:val="44"/>
        </w:rPr>
        <w:t>支出绩效的自评报告</w:t>
      </w:r>
    </w:p>
    <w:p>
      <w:pPr>
        <w:rPr>
          <w:rFonts w:eastAsia="仿宋_GB2312"/>
          <w:sz w:val="44"/>
          <w:szCs w:val="44"/>
        </w:rPr>
      </w:pPr>
      <w:bookmarkEnd w:id="152"/>
    </w:p>
    <w:p>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pPr>
        <w:adjustRightInd w:val="0"/>
        <w:snapToGrid w:val="0"/>
        <w:spacing w:line="560" w:lineRule="exact"/>
        <w:ind w:left="720"/>
        <w:rPr>
          <w:rFonts w:eastAsia="楷体_GB2312"/>
          <w:b/>
          <w:sz w:val="32"/>
          <w:szCs w:val="32"/>
          <w:lang w:val="zh-CN"/>
        </w:rPr>
      </w:pPr>
      <w:r>
        <w:rPr>
          <w:rFonts w:eastAsia="楷体_GB2312"/>
          <w:b/>
          <w:sz w:val="32"/>
          <w:szCs w:val="32"/>
          <w:lang w:val="zh-CN"/>
        </w:rPr>
        <w:t>（一）项目资金申报及批复情况。</w:t>
      </w:r>
    </w:p>
    <w:p>
      <w:pPr>
        <w:spacing w:line="600" w:lineRule="exact"/>
        <w:ind w:firstLineChars="200" w:firstLine="640"/>
        <w:jc w:val="left"/>
        <w:rPr>
          <w:rFonts w:eastAsia="黑体"/>
          <w:kern w:val="0"/>
          <w:sz w:val="32"/>
          <w:szCs w:val="32"/>
        </w:rPr>
      </w:pPr>
      <w:r>
        <w:rPr>
          <w:rFonts w:eastAsia="仿宋_GB2312"/>
          <w:sz w:val="32"/>
          <w:szCs w:val="32"/>
          <w:lang w:val="zh-CN"/>
        </w:rPr>
        <w:t>攀枝花市医疗保障局通过申请</w:t>
      </w:r>
      <w:r>
        <w:rPr>
          <w:rFonts w:eastAsia="仿宋_GB2312"/>
          <w:sz w:val="32"/>
          <w:szCs w:val="32"/>
        </w:rPr>
        <w:t>追加2023年工作经费及项目经费预算（第</w:t>
      </w:r>
      <w:r>
        <w:rPr>
          <w:rFonts w:eastAsia="仿宋_GB2312"/>
          <w:sz w:val="32"/>
          <w:szCs w:val="32"/>
          <w:lang w:val="zh-CN"/>
        </w:rPr>
        <w:t>二批），其中包括“综合柜员制”系统政策性功能调整项目，市财政局下达资金</w:t>
      </w:r>
      <w:r>
        <w:rPr>
          <w:rFonts w:eastAsia="仿宋_GB2312"/>
          <w:sz w:val="32"/>
          <w:szCs w:val="32"/>
        </w:rPr>
        <w:t>116.8</w:t>
      </w:r>
      <w:r>
        <w:rPr>
          <w:rFonts w:eastAsia="仿宋_GB2312" w:hint="eastAsia"/>
          <w:sz w:val="32"/>
          <w:szCs w:val="32"/>
          <w:lang w:val="en-US" w:eastAsia="zh-CN"/>
        </w:rPr>
        <w:t>9</w:t>
      </w:r>
      <w:r>
        <w:rPr>
          <w:rFonts w:eastAsia="仿宋_GB2312"/>
          <w:sz w:val="32"/>
          <w:szCs w:val="32"/>
          <w:lang w:val="zh-CN"/>
        </w:rPr>
        <w:t>万元，资金申报和批复符合资金管理办法等相关规定。</w:t>
      </w:r>
    </w:p>
    <w:p>
      <w:pPr>
        <w:spacing w:line="600" w:lineRule="exact"/>
        <w:ind w:firstLine="640"/>
        <w:rPr>
          <w:rFonts w:eastAsia="楷体_GB2312"/>
          <w:b/>
          <w:sz w:val="32"/>
          <w:szCs w:val="32"/>
          <w:lang w:val="zh-CN"/>
        </w:rPr>
      </w:pPr>
      <w:r>
        <w:rPr>
          <w:rFonts w:eastAsia="楷体_GB2312"/>
          <w:b/>
          <w:sz w:val="32"/>
          <w:szCs w:val="32"/>
          <w:lang w:val="zh-CN"/>
        </w:rPr>
        <w:t>（二）项目绩效目标。</w:t>
      </w:r>
    </w:p>
    <w:p>
      <w:pPr>
        <w:spacing w:line="560" w:lineRule="exact"/>
        <w:ind w:firstLineChars="200" w:firstLine="640"/>
        <w:rPr>
          <w:rFonts w:eastAsia="仿宋_GB2312"/>
          <w:sz w:val="32"/>
          <w:szCs w:val="32"/>
        </w:rPr>
      </w:pPr>
      <w:r>
        <w:rPr>
          <w:rFonts w:eastAsia="仿宋_GB2312"/>
          <w:sz w:val="32"/>
          <w:szCs w:val="32"/>
        </w:rPr>
        <w:t>根据国省市相关政策要求，完成攀枝花市本地化系统改造后，能够实现特殊药品省内异地就医结算、城镇职工基本医疗保险个人账户省内跨统筹区共济、城乡居民医保高血压、糖尿病（两病）认定、管理和结算、生育保险合并至医疗保险、医疗保险征收移交税务平台改造等政策性功能新增，确保相关政策能够落地。</w:t>
      </w:r>
    </w:p>
    <w:p>
      <w:pPr>
        <w:spacing w:line="600" w:lineRule="exact"/>
        <w:ind w:firstLine="640"/>
        <w:rPr>
          <w:rFonts w:eastAsia="楷体_GB2312"/>
          <w:b/>
          <w:sz w:val="32"/>
          <w:szCs w:val="32"/>
          <w:lang w:val="zh-CN"/>
        </w:rPr>
      </w:pPr>
      <w:r>
        <w:rPr>
          <w:rFonts w:eastAsia="楷体_GB2312"/>
          <w:b/>
          <w:sz w:val="32"/>
          <w:szCs w:val="32"/>
          <w:lang w:val="zh-CN"/>
        </w:rPr>
        <w:t>（三）项目资金申报相符性。</w:t>
      </w:r>
    </w:p>
    <w:p>
      <w:pPr>
        <w:autoSpaceDE w:val="0"/>
        <w:autoSpaceDN w:val="0"/>
        <w:adjustRightInd w:val="0"/>
        <w:spacing w:line="600" w:lineRule="exact"/>
        <w:ind w:firstLineChars="200" w:firstLine="640"/>
        <w:jc w:val="left"/>
        <w:rPr>
          <w:rFonts w:eastAsia="仿宋_GB2312"/>
          <w:sz w:val="32"/>
          <w:szCs w:val="32"/>
        </w:rPr>
      </w:pPr>
      <w:r>
        <w:rPr>
          <w:rFonts w:eastAsia="仿宋_GB2312"/>
          <w:kern w:val="0"/>
          <w:sz w:val="32"/>
          <w:szCs w:val="32"/>
        </w:rPr>
        <w:t>“综合柜员制”系统政策性功能调整严格按照项目建设需求进行建设，达到预期目标。资金申报内容和实际相符合。</w:t>
      </w:r>
    </w:p>
    <w:p>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二、项目实施及管理情况</w:t>
      </w:r>
    </w:p>
    <w:p>
      <w:pPr>
        <w:spacing w:line="600" w:lineRule="exact"/>
        <w:ind w:firstLine="640"/>
        <w:rPr>
          <w:rFonts w:eastAsia="楷体_GB2312"/>
          <w:b/>
          <w:sz w:val="32"/>
          <w:szCs w:val="32"/>
          <w:lang w:val="zh-CN"/>
        </w:rPr>
      </w:pPr>
      <w:r>
        <w:rPr>
          <w:rFonts w:eastAsia="楷体_GB2312"/>
          <w:b/>
          <w:sz w:val="32"/>
          <w:szCs w:val="32"/>
          <w:lang w:val="zh-CN"/>
        </w:rPr>
        <w:t>（一）资金计划、到位及使用情况。</w:t>
      </w:r>
    </w:p>
    <w:p>
      <w:pPr>
        <w:adjustRightInd w:val="0"/>
        <w:snapToGrid w:val="0"/>
        <w:spacing w:line="560" w:lineRule="exact"/>
        <w:ind w:firstLine="720"/>
        <w:rPr>
          <w:rFonts w:eastAsia="楷体_GB2312"/>
          <w:sz w:val="32"/>
          <w:szCs w:val="32"/>
          <w:lang w:val="zh-CN"/>
        </w:rPr>
      </w:pPr>
      <w:r>
        <w:rPr>
          <w:rFonts w:eastAsia="楷体_GB2312"/>
          <w:sz w:val="32"/>
          <w:szCs w:val="32"/>
          <w:lang w:val="zh-CN"/>
        </w:rPr>
        <w:t>1．资金计划及到位。</w:t>
      </w:r>
    </w:p>
    <w:p>
      <w:pPr>
        <w:spacing w:line="360" w:lineRule="auto"/>
        <w:ind w:firstLineChars="200" w:firstLine="640"/>
        <w:jc w:val="left"/>
        <w:rPr>
          <w:rFonts w:eastAsia="仿宋_GB2312"/>
          <w:kern w:val="0"/>
          <w:sz w:val="32"/>
          <w:szCs w:val="32"/>
        </w:rPr>
      </w:pPr>
      <w:r>
        <w:rPr>
          <w:rFonts w:eastAsia="仿宋_GB2312"/>
          <w:kern w:val="0"/>
          <w:sz w:val="32"/>
          <w:szCs w:val="32"/>
        </w:rPr>
        <w:t>2023年，我局根据项目开发情况向市财政局追加申请项目预算资金，财政审批后进行资金批复。</w:t>
      </w:r>
    </w:p>
    <w:p>
      <w:pPr>
        <w:adjustRightInd w:val="0"/>
        <w:snapToGrid w:val="0"/>
        <w:spacing w:line="560" w:lineRule="exact"/>
        <w:ind w:firstLine="720"/>
        <w:rPr>
          <w:rFonts w:eastAsia="仿宋_GB2312"/>
          <w:sz w:val="32"/>
          <w:szCs w:val="32"/>
        </w:rPr>
      </w:pPr>
      <w:r>
        <w:rPr>
          <w:rFonts w:eastAsia="楷体_GB2312"/>
          <w:sz w:val="32"/>
          <w:szCs w:val="32"/>
          <w:lang w:val="zh-CN"/>
        </w:rPr>
        <w:t>2．资金使用。</w:t>
      </w:r>
    </w:p>
    <w:p>
      <w:pPr>
        <w:adjustRightInd w:val="0"/>
        <w:snapToGrid w:val="0"/>
        <w:spacing w:line="560" w:lineRule="exact"/>
        <w:ind w:firstLine="720"/>
        <w:rPr>
          <w:rFonts w:eastAsia="仿宋_GB2312"/>
          <w:kern w:val="0"/>
          <w:sz w:val="32"/>
          <w:szCs w:val="32"/>
          <w:lang w:val="zh-CN"/>
        </w:rPr>
      </w:pPr>
      <w:r>
        <w:rPr>
          <w:rFonts w:eastAsia="仿宋_GB2312"/>
          <w:kern w:val="0"/>
          <w:sz w:val="32"/>
          <w:szCs w:val="32"/>
        </w:rPr>
        <w:t>“综合柜员制”系统政策性功能调整项目政府采购中标价166.98万元，2021年已支付50.09万元，2023年支付款项116.8</w:t>
      </w:r>
      <w:r>
        <w:rPr>
          <w:rFonts w:eastAsia="仿宋_GB2312" w:hint="eastAsia"/>
          <w:kern w:val="0"/>
          <w:sz w:val="32"/>
          <w:szCs w:val="32"/>
          <w:lang w:val="en-US" w:eastAsia="zh-CN"/>
        </w:rPr>
        <w:t>9</w:t>
      </w:r>
      <w:r>
        <w:rPr>
          <w:rFonts w:eastAsia="仿宋_GB2312"/>
          <w:kern w:val="0"/>
          <w:sz w:val="32"/>
          <w:szCs w:val="32"/>
        </w:rPr>
        <w:t>万元，截至2023年底，合同款项全部结清。</w:t>
      </w:r>
    </w:p>
    <w:p>
      <w:pPr>
        <w:spacing w:line="600" w:lineRule="exact"/>
        <w:ind w:firstLine="640"/>
        <w:rPr>
          <w:rFonts w:eastAsia="楷体_GB2312"/>
          <w:b/>
          <w:sz w:val="32"/>
          <w:szCs w:val="32"/>
          <w:lang w:val="zh-CN"/>
        </w:rPr>
      </w:pPr>
      <w:r>
        <w:rPr>
          <w:rFonts w:eastAsia="楷体_GB2312"/>
          <w:b/>
          <w:sz w:val="32"/>
          <w:szCs w:val="32"/>
          <w:lang w:val="zh-CN"/>
        </w:rPr>
        <w:t>（二）项目财务管理情况。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在资金使用管理上，严格按照国家财经法规和内部财务管理制度的规定开支，资金结付有完整的审批程序和手续，根据专项资金管理要求，设置专项资金专户，专项核算，分账管理，坚持专款专用，严格按计划使用资金，无挤占挪用或套取资金等现象。</w:t>
      </w:r>
    </w:p>
    <w:p>
      <w:pPr>
        <w:spacing w:line="600" w:lineRule="exact"/>
        <w:ind w:firstLineChars="147" w:firstLine="470"/>
        <w:rPr>
          <w:rFonts w:eastAsia="楷体_GB2312"/>
          <w:b/>
          <w:sz w:val="32"/>
          <w:szCs w:val="32"/>
          <w:lang w:val="zh-CN"/>
        </w:rPr>
      </w:pPr>
      <w:r>
        <w:rPr>
          <w:rFonts w:eastAsia="楷体_GB2312"/>
          <w:b/>
          <w:sz w:val="32"/>
          <w:szCs w:val="32"/>
          <w:lang w:val="zh-CN"/>
        </w:rPr>
        <w:t>（三）项目组织实施情况。</w:t>
      </w:r>
    </w:p>
    <w:p>
      <w:pPr>
        <w:spacing w:line="560" w:lineRule="exact"/>
        <w:ind w:firstLine="645"/>
        <w:rPr>
          <w:rFonts w:eastAsia="楷体_GB2312"/>
          <w:kern w:val="0"/>
          <w:sz w:val="32"/>
          <w:szCs w:val="32"/>
        </w:rPr>
      </w:pPr>
      <w:r>
        <w:rPr>
          <w:rFonts w:eastAsia="仿宋_GB2312"/>
          <w:sz w:val="32"/>
          <w:szCs w:val="32"/>
        </w:rPr>
        <w:t>由市医疗保障信息中心牵头</w:t>
      </w:r>
      <w:r>
        <w:rPr>
          <w:rFonts w:eastAsia="仿宋_GB2312"/>
          <w:kern w:val="0"/>
          <w:sz w:val="32"/>
          <w:szCs w:val="32"/>
        </w:rPr>
        <w:t>统筹谋划推进项目实施，项目组织架构和实施流程完整规范。</w:t>
      </w:r>
      <w:r>
        <w:rPr>
          <w:rFonts w:eastAsia="仿宋_GB2312"/>
          <w:sz w:val="32"/>
          <w:szCs w:val="32"/>
        </w:rPr>
        <w:t>一是按照国家、省、市相关政策文件要求，结合我市工作实际情况和地方特点，准确、合理的制定功能调整、新增方案；二是将实施方案提供至第三方软件公司，完成功能调整、新增功能开发；三是通过开发测试、</w:t>
      </w:r>
      <w:r>
        <w:rPr>
          <w:rFonts w:eastAsia="仿宋_GB2312" w:hint="eastAsia"/>
          <w:sz w:val="32"/>
          <w:szCs w:val="32"/>
          <w:lang w:eastAsia="zh-CN"/>
        </w:rPr>
        <w:t>单位</w:t>
      </w:r>
      <w:r>
        <w:rPr>
          <w:rFonts w:eastAsia="仿宋_GB2312"/>
          <w:sz w:val="32"/>
          <w:szCs w:val="32"/>
        </w:rPr>
        <w:t>测试、现场测试等多次测试改正验收，填写测试报告，保证新增功能符合政策要求，尽力保障每一位参保群众的待遇享受；四是测试通过后提交发布计划，完成相应的程序发布流程后发布程序；五是通过与税务平台、医保省级平台与国家平台等系统联动，为参保群众提供更方便、高效的服务。</w:t>
      </w:r>
    </w:p>
    <w:p>
      <w:pPr>
        <w:adjustRightInd w:val="0"/>
        <w:snapToGrid w:val="0"/>
        <w:spacing w:line="560" w:lineRule="exact"/>
        <w:ind w:firstLine="720"/>
        <w:rPr>
          <w:rFonts w:eastAsia="黑体"/>
          <w:sz w:val="32"/>
          <w:szCs w:val="32"/>
          <w:lang w:val="zh-CN"/>
        </w:rPr>
      </w:pPr>
      <w:r>
        <w:rPr>
          <w:rFonts w:eastAsia="黑体"/>
          <w:sz w:val="32"/>
          <w:szCs w:val="32"/>
        </w:rPr>
        <w:t>三、项目绩效情况</w:t>
      </w:r>
      <w:r>
        <w:rPr>
          <w:rFonts w:eastAsia="黑体"/>
          <w:sz w:val="32"/>
          <w:szCs w:val="32"/>
          <w:lang w:val="zh-CN"/>
        </w:rPr>
        <w:tab/>
      </w:r>
    </w:p>
    <w:p>
      <w:pPr>
        <w:spacing w:line="600" w:lineRule="exact"/>
        <w:ind w:firstLineChars="196" w:firstLine="627"/>
        <w:rPr>
          <w:rFonts w:eastAsia="楷体_GB2312"/>
          <w:b/>
          <w:sz w:val="32"/>
          <w:szCs w:val="32"/>
          <w:lang w:val="zh-CN"/>
        </w:rPr>
      </w:pPr>
      <w:r>
        <w:rPr>
          <w:rFonts w:eastAsia="楷体_GB2312"/>
          <w:b/>
          <w:sz w:val="32"/>
          <w:szCs w:val="32"/>
          <w:lang w:val="zh-CN"/>
        </w:rPr>
        <w:t>（一）项目完成情况。</w:t>
      </w:r>
    </w:p>
    <w:p>
      <w:pPr>
        <w:spacing w:line="360" w:lineRule="auto"/>
        <w:ind w:firstLine="646"/>
        <w:rPr>
          <w:rFonts w:eastAsia="仿宋_GB2312"/>
          <w:sz w:val="32"/>
          <w:szCs w:val="32"/>
        </w:rPr>
      </w:pPr>
      <w:r>
        <w:rPr>
          <w:rFonts w:eastAsia="仿宋_GB2312"/>
          <w:sz w:val="32"/>
          <w:szCs w:val="32"/>
        </w:rPr>
        <w:t>根据国省市相关政策要求，完成了攀枝花市本地化系统改造后，实现了特殊药品省内异地就医结算、城镇职工基本医疗保险个人账户省内跨统筹区共济、城乡居民医保高血压、糖尿病（两病）认定、管理和结算、生育保险合并至医疗保险、医疗保险征收移交税务平台改造等政策性功能。</w:t>
      </w:r>
    </w:p>
    <w:p>
      <w:pPr>
        <w:spacing w:line="600" w:lineRule="exact"/>
        <w:ind w:firstLineChars="147" w:firstLine="470"/>
        <w:rPr>
          <w:rFonts w:eastAsia="楷体_GB2312"/>
          <w:b/>
          <w:sz w:val="32"/>
          <w:szCs w:val="32"/>
          <w:lang w:val="zh-CN"/>
        </w:rPr>
      </w:pPr>
      <w:r>
        <w:rPr>
          <w:rFonts w:eastAsia="楷体_GB2312"/>
          <w:b/>
          <w:sz w:val="32"/>
          <w:szCs w:val="32"/>
          <w:lang w:val="zh-CN"/>
        </w:rPr>
        <w:t>（二）项目效益情况。</w:t>
      </w:r>
    </w:p>
    <w:p>
      <w:pPr>
        <w:autoSpaceDE w:val="0"/>
        <w:autoSpaceDN w:val="0"/>
        <w:adjustRightInd w:val="0"/>
        <w:spacing w:line="560" w:lineRule="exact"/>
        <w:ind w:firstLineChars="200" w:firstLine="640"/>
        <w:jc w:val="left"/>
        <w:rPr>
          <w:rFonts w:eastAsia="仿宋_GB2312"/>
          <w:sz w:val="32"/>
          <w:szCs w:val="32"/>
        </w:rPr>
      </w:pPr>
      <w:r>
        <w:rPr>
          <w:rFonts w:eastAsia="仿宋_GB2312"/>
          <w:kern w:val="0"/>
          <w:sz w:val="32"/>
          <w:szCs w:val="32"/>
        </w:rPr>
        <w:t>“综合柜员制”系统政策性功能调整</w:t>
      </w:r>
      <w:r>
        <w:rPr>
          <w:rFonts w:eastAsia="仿宋_GB2312"/>
          <w:sz w:val="32"/>
          <w:szCs w:val="32"/>
        </w:rPr>
        <w:t>保障了国家、省、市各级的政策能够正常实施，为建设省级统一的医疗保障系统做好基础工作，为全市参保群众提供更加便捷、可靠的服务。</w:t>
      </w:r>
    </w:p>
    <w:p>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四、评价结论及建议</w:t>
      </w:r>
    </w:p>
    <w:p>
      <w:pPr>
        <w:spacing w:line="600" w:lineRule="exact"/>
        <w:ind w:firstLineChars="147" w:firstLine="470"/>
        <w:rPr>
          <w:rFonts w:eastAsia="楷体_GB2312"/>
          <w:b/>
          <w:sz w:val="32"/>
          <w:szCs w:val="32"/>
          <w:lang w:val="zh-CN"/>
        </w:rPr>
      </w:pPr>
      <w:r>
        <w:rPr>
          <w:rFonts w:eastAsia="楷体_GB2312"/>
          <w:b/>
          <w:sz w:val="32"/>
          <w:szCs w:val="32"/>
          <w:lang w:val="zh-CN"/>
        </w:rPr>
        <w:t>（一）存在的问题。</w:t>
      </w:r>
    </w:p>
    <w:p>
      <w:pPr>
        <w:autoSpaceDE w:val="0"/>
        <w:autoSpaceDN w:val="0"/>
        <w:adjustRightInd w:val="0"/>
        <w:spacing w:line="560" w:lineRule="exact"/>
        <w:ind w:firstLineChars="200" w:firstLine="640"/>
        <w:jc w:val="left"/>
        <w:rPr>
          <w:rFonts w:eastAsia="仿宋_GB2312"/>
          <w:sz w:val="32"/>
          <w:szCs w:val="32"/>
        </w:rPr>
      </w:pPr>
      <w:r>
        <w:rPr>
          <w:rFonts w:eastAsia="仿宋_GB2312"/>
          <w:sz w:val="32"/>
          <w:szCs w:val="32"/>
        </w:rPr>
        <w:t>无。</w:t>
      </w:r>
    </w:p>
    <w:p>
      <w:pPr>
        <w:spacing w:line="600" w:lineRule="exact"/>
        <w:ind w:firstLineChars="147" w:firstLine="470"/>
        <w:rPr>
          <w:rFonts w:eastAsia="楷体_GB2312"/>
          <w:b/>
          <w:sz w:val="32"/>
          <w:szCs w:val="32"/>
          <w:lang w:val="zh-CN"/>
        </w:rPr>
      </w:pPr>
      <w:r>
        <w:rPr>
          <w:rFonts w:eastAsia="楷体_GB2312"/>
          <w:b/>
          <w:sz w:val="32"/>
          <w:szCs w:val="32"/>
          <w:lang w:val="zh-CN"/>
        </w:rPr>
        <w:t>（二）相关建议。</w:t>
      </w:r>
    </w:p>
    <w:p>
      <w:pPr>
        <w:spacing w:line="600" w:lineRule="exact"/>
        <w:ind w:firstLineChars="200" w:firstLine="640"/>
        <w:rPr>
          <w:rFonts w:eastAsia="仿宋_GB2312"/>
          <w:sz w:val="32"/>
          <w:szCs w:val="32"/>
          <w:lang w:val="zh-CN"/>
        </w:rPr>
      </w:pPr>
      <w:r>
        <w:rPr>
          <w:rFonts w:eastAsia="仿宋_GB2312"/>
          <w:sz w:val="32"/>
          <w:szCs w:val="32"/>
          <w:lang w:val="zh-CN"/>
        </w:rPr>
        <w:t>无。</w:t>
      </w:r>
    </w:p>
    <w:p>
      <w:pPr>
        <w:spacing w:line="360" w:lineRule="auto"/>
        <w:ind w:firstLine="660"/>
        <w:rPr>
          <w:rFonts w:eastAsia="仿宋_GB2312"/>
          <w:b/>
          <w:sz w:val="32"/>
          <w:szCs w:val="32"/>
        </w:rPr>
      </w:pPr>
    </w:p>
    <w:p>
      <w:pPr>
        <w:spacing w:line="360" w:lineRule="auto"/>
        <w:ind w:firstLine="660"/>
        <w:rPr>
          <w:rFonts w:eastAsia="仿宋_GB2312"/>
          <w:b/>
          <w:sz w:val="32"/>
          <w:szCs w:val="32"/>
        </w:rPr>
      </w:pPr>
    </w:p>
    <w:p>
      <w:pPr>
        <w:spacing w:line="578" w:lineRule="exact"/>
        <w:outlineLvl w:val="1"/>
        <w:rPr>
          <w:rFonts w:eastAsia="黑体"/>
          <w:color w:val="000000"/>
          <w:sz w:val="32"/>
          <w:szCs w:val="32"/>
        </w:rPr>
      </w:pPr>
      <w:r>
        <w:rPr>
          <w:rFonts w:eastAsia="黑体"/>
          <w:color w:val="000000"/>
          <w:sz w:val="32"/>
          <w:szCs w:val="32"/>
        </w:rPr>
        <w:t>附件</w:t>
      </w:r>
      <w:r>
        <w:rPr>
          <w:rFonts w:eastAsia="黑体" w:hint="eastAsia"/>
          <w:color w:val="000000"/>
          <w:sz w:val="32"/>
          <w:szCs w:val="32"/>
        </w:rPr>
        <w:t>4</w:t>
      </w:r>
    </w:p>
    <w:p>
      <w:pPr>
        <w:spacing w:line="360" w:lineRule="auto"/>
        <w:ind w:firstLine="660"/>
        <w:rPr>
          <w:rFonts w:eastAsia="仿宋_GB2312"/>
          <w:b/>
          <w:sz w:val="32"/>
          <w:szCs w:val="32"/>
        </w:rPr>
      </w:pPr>
    </w:p>
    <w:p>
      <w:pPr>
        <w:spacing w:line="600" w:lineRule="exact"/>
        <w:jc w:val="center"/>
        <w:rPr>
          <w:rFonts w:eastAsia="方正小标宋_GBK"/>
          <w:sz w:val="44"/>
          <w:szCs w:val="44"/>
        </w:rPr>
      </w:pPr>
      <w:r>
        <w:rPr>
          <w:rFonts w:eastAsia="方正小标宋_GBK"/>
          <w:sz w:val="44"/>
          <w:szCs w:val="44"/>
        </w:rPr>
        <w:t>攀枝花市医疗保障局</w:t>
      </w:r>
      <w:bookmarkStart w:id="153" w:name="_Hlk163570520"/>
    </w:p>
    <w:p>
      <w:pPr>
        <w:spacing w:line="600" w:lineRule="exact"/>
        <w:jc w:val="center"/>
        <w:rPr>
          <w:rFonts w:eastAsia="方正小标宋_GBK"/>
          <w:sz w:val="44"/>
          <w:szCs w:val="44"/>
        </w:rPr>
      </w:pPr>
      <w:r>
        <w:rPr>
          <w:rFonts w:eastAsia="方正小标宋_GBK"/>
          <w:sz w:val="44"/>
          <w:szCs w:val="44"/>
        </w:rPr>
        <w:t>关于医疗保障公共服务体系建设项目</w:t>
      </w:r>
    </w:p>
    <w:p>
      <w:pPr>
        <w:spacing w:line="600" w:lineRule="exact"/>
        <w:jc w:val="center"/>
        <w:rPr>
          <w:rFonts w:eastAsia="方正小标宋_GBK"/>
          <w:sz w:val="44"/>
          <w:szCs w:val="44"/>
        </w:rPr>
      </w:pPr>
      <w:r>
        <w:rPr>
          <w:rFonts w:eastAsia="方正小标宋_GBK"/>
          <w:sz w:val="44"/>
          <w:szCs w:val="44"/>
        </w:rPr>
        <w:t>支出绩效的自评报告</w:t>
      </w:r>
    </w:p>
    <w:p>
      <w:pPr>
        <w:spacing w:line="560" w:lineRule="exact"/>
        <w:ind w:firstLine="640"/>
        <w:jc w:val="center"/>
        <w:rPr>
          <w:sz w:val="32"/>
          <w:szCs w:val="32"/>
          <w:lang w:val="zh-CN"/>
        </w:rPr>
      </w:pPr>
      <w:bookmarkEnd w:id="153"/>
    </w:p>
    <w:p>
      <w:pPr>
        <w:adjustRightInd w:val="0"/>
        <w:snapToGrid w:val="0"/>
        <w:spacing w:line="56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numPr>
          <w:ilvl w:val="0"/>
          <w:numId w:val="2"/>
        </w:numPr>
        <w:adjustRightInd w:val="0"/>
        <w:snapToGrid w:val="0"/>
        <w:spacing w:line="560" w:lineRule="exact"/>
        <w:rPr>
          <w:rFonts w:eastAsia="楷体_GB2312"/>
          <w:b/>
          <w:sz w:val="32"/>
          <w:szCs w:val="32"/>
          <w:lang w:val="zh-CN"/>
        </w:rPr>
      </w:pPr>
      <w:r>
        <w:rPr>
          <w:rFonts w:eastAsia="楷体_GB2312"/>
          <w:b/>
          <w:sz w:val="32"/>
          <w:szCs w:val="32"/>
          <w:lang w:val="zh-CN"/>
        </w:rPr>
        <w:t>项目资金申报及批复情况。</w:t>
      </w:r>
    </w:p>
    <w:p>
      <w:pPr>
        <w:adjustRightInd w:val="0"/>
        <w:snapToGrid w:val="0"/>
        <w:spacing w:line="560" w:lineRule="exact"/>
        <w:ind w:firstLine="720"/>
        <w:rPr>
          <w:rFonts w:eastAsia="仿宋_GB2312"/>
          <w:sz w:val="32"/>
          <w:szCs w:val="32"/>
        </w:rPr>
      </w:pPr>
      <w:r>
        <w:rPr>
          <w:rFonts w:eastAsia="仿宋_GB2312"/>
          <w:sz w:val="32"/>
          <w:szCs w:val="32"/>
          <w:lang w:val="zh-CN"/>
        </w:rPr>
        <w:t>攀枝花市医疗保障局通过申请</w:t>
      </w:r>
      <w:r>
        <w:rPr>
          <w:rFonts w:eastAsia="仿宋_GB2312"/>
          <w:sz w:val="32"/>
          <w:szCs w:val="32"/>
        </w:rPr>
        <w:t>追加2023年工作经费及项目经费预算（第一批），其中包括医疗保障公共服务体系建设项目，市财政局下达资金65.0</w:t>
      </w:r>
      <w:r>
        <w:rPr>
          <w:rFonts w:eastAsia="仿宋_GB2312" w:hint="eastAsia"/>
          <w:sz w:val="32"/>
          <w:szCs w:val="32"/>
          <w:lang w:val="en-US" w:eastAsia="zh-CN"/>
        </w:rPr>
        <w:t>1</w:t>
      </w:r>
      <w:r>
        <w:rPr>
          <w:rFonts w:eastAsia="仿宋_GB2312"/>
          <w:sz w:val="32"/>
          <w:szCs w:val="32"/>
        </w:rPr>
        <w:t>万元，</w:t>
      </w:r>
      <w:r>
        <w:rPr>
          <w:rFonts w:eastAsia="仿宋_GB2312"/>
          <w:sz w:val="32"/>
          <w:szCs w:val="32"/>
          <w:lang w:val="zh-CN"/>
        </w:rPr>
        <w:t>资金申报和批复符合资金管理办法等相关规定。</w:t>
      </w:r>
    </w:p>
    <w:p>
      <w:pPr>
        <w:spacing w:line="600" w:lineRule="exact"/>
        <w:ind w:firstLine="640"/>
        <w:rPr>
          <w:rFonts w:eastAsia="楷体_GB2312"/>
          <w:b/>
          <w:sz w:val="32"/>
          <w:szCs w:val="32"/>
          <w:lang w:val="zh-CN"/>
        </w:rPr>
      </w:pPr>
      <w:r>
        <w:rPr>
          <w:rFonts w:eastAsia="楷体_GB2312"/>
          <w:b/>
          <w:sz w:val="32"/>
          <w:szCs w:val="32"/>
          <w:lang w:val="zh-CN"/>
        </w:rPr>
        <w:t>（二）项目绩效目标。</w:t>
      </w:r>
    </w:p>
    <w:p>
      <w:pPr>
        <w:spacing w:line="600" w:lineRule="exact"/>
        <w:ind w:firstLine="640"/>
        <w:rPr>
          <w:rFonts w:eastAsia="仿宋_GB2312"/>
          <w:sz w:val="32"/>
          <w:szCs w:val="32"/>
        </w:rPr>
      </w:pPr>
      <w:r>
        <w:rPr>
          <w:rFonts w:eastAsia="仿宋_GB2312"/>
          <w:sz w:val="32"/>
          <w:szCs w:val="32"/>
          <w:lang w:val="zh-CN"/>
        </w:rPr>
        <w:t>该项目主要为开</w:t>
      </w:r>
      <w:r>
        <w:rPr>
          <w:rFonts w:eastAsia="仿宋_GB2312"/>
          <w:sz w:val="32"/>
          <w:szCs w:val="32"/>
        </w:rPr>
        <w:t>展我市公共服务体系建设工作，提升我市医疗保障“一网通办”能力，对本地网厅、微信公众号及自助机公共服务渠道对接省平台进行适应性改造，实现提高医保公共服务能力输出，统一系统接入标准，减少定点医疗机构接入成本，为群众提供便捷高效的医保线上服务目标。2022年开始招标建设，2022年完成上线使用。</w:t>
      </w:r>
    </w:p>
    <w:p>
      <w:pPr>
        <w:spacing w:line="600" w:lineRule="exact"/>
        <w:ind w:firstLine="640"/>
        <w:rPr>
          <w:rFonts w:eastAsia="楷体_GB2312"/>
          <w:b/>
          <w:sz w:val="32"/>
          <w:szCs w:val="32"/>
          <w:lang w:val="zh-CN"/>
        </w:rPr>
      </w:pPr>
      <w:r>
        <w:rPr>
          <w:rFonts w:eastAsia="楷体_GB2312"/>
          <w:b/>
          <w:sz w:val="32"/>
          <w:szCs w:val="32"/>
          <w:lang w:val="zh-CN"/>
        </w:rPr>
        <w:t>（三）项目资金申报相符性。</w:t>
      </w:r>
    </w:p>
    <w:p>
      <w:pPr>
        <w:spacing w:line="600" w:lineRule="exact"/>
        <w:ind w:firstLine="640"/>
        <w:rPr>
          <w:rFonts w:eastAsia="仿宋_GB2312"/>
          <w:sz w:val="32"/>
          <w:szCs w:val="32"/>
        </w:rPr>
      </w:pPr>
      <w:r>
        <w:rPr>
          <w:rFonts w:eastAsia="仿宋_GB2312"/>
          <w:sz w:val="32"/>
          <w:szCs w:val="32"/>
        </w:rPr>
        <w:t>按照四川省医保局《关于做好“一网通办”能力提升百日攻坚行动方案》（川办函〔2021〕7 号）和攀枝花市人民政府办公室关于印发《攀枝花市“一网通办”能力提升集中攻坚行动实施方案》（攀办发〔2021〕22 号）的文件要求，为提高我市医保公共服务和“一网通办”能力，开展本项目</w:t>
      </w:r>
      <w:r>
        <w:rPr>
          <w:rFonts w:eastAsia="仿宋_GB2312" w:hAnsi="仿宋_GB2312"/>
          <w:sz w:val="32"/>
          <w:szCs w:val="32"/>
        </w:rPr>
        <w:t>项目立项、资金申报，</w:t>
      </w:r>
      <w:r>
        <w:rPr>
          <w:rFonts w:eastAsia="仿宋_GB2312"/>
          <w:kern w:val="0"/>
          <w:sz w:val="32"/>
          <w:szCs w:val="32"/>
        </w:rPr>
        <w:t>本项</w:t>
      </w:r>
      <w:r>
        <w:rPr>
          <w:rFonts w:eastAsia="仿宋_GB2312" w:hAnsi="仿宋_GB2312"/>
          <w:sz w:val="32"/>
          <w:szCs w:val="32"/>
        </w:rPr>
        <w:t>目</w:t>
      </w:r>
      <w:r>
        <w:rPr>
          <w:rFonts w:eastAsia="仿宋_GB2312"/>
          <w:kern w:val="0"/>
          <w:sz w:val="32"/>
          <w:szCs w:val="32"/>
        </w:rPr>
        <w:t>严格按照建设需求进行建设，达到预期目标，资金申报内容和实际相符合。</w:t>
      </w:r>
    </w:p>
    <w:p>
      <w:pPr>
        <w:adjustRightInd w:val="0"/>
        <w:snapToGrid w:val="0"/>
        <w:spacing w:line="560" w:lineRule="exact"/>
        <w:ind w:firstLine="720"/>
        <w:rPr>
          <w:rFonts w:eastAsia="黑体"/>
          <w:sz w:val="32"/>
          <w:szCs w:val="32"/>
        </w:rPr>
      </w:pPr>
      <w:r>
        <w:rPr>
          <w:rFonts w:eastAsia="黑体"/>
          <w:sz w:val="32"/>
          <w:szCs w:val="32"/>
        </w:rPr>
        <w:t>二、项目实施及管理情况</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（一）资金计划、到位及使用情况。</w:t>
      </w:r>
    </w:p>
    <w:p>
      <w:pPr>
        <w:adjustRightInd w:val="0"/>
        <w:snapToGrid w:val="0"/>
        <w:spacing w:line="560" w:lineRule="exact"/>
        <w:ind w:firstLine="720"/>
        <w:rPr>
          <w:rFonts w:eastAsia="楷体_GB2312"/>
          <w:sz w:val="32"/>
          <w:szCs w:val="32"/>
          <w:lang w:val="zh-CN"/>
        </w:rPr>
      </w:pPr>
      <w:r>
        <w:rPr>
          <w:rFonts w:eastAsia="楷体_GB2312"/>
          <w:sz w:val="32"/>
          <w:szCs w:val="32"/>
          <w:lang w:val="zh-CN"/>
        </w:rPr>
        <w:t>1．资金计划及到位。</w:t>
      </w:r>
    </w:p>
    <w:p>
      <w:pPr>
        <w:spacing w:line="560" w:lineRule="exact"/>
        <w:ind w:firstLineChars="200" w:firstLine="640"/>
        <w:jc w:val="left"/>
        <w:rPr>
          <w:rFonts w:eastAsia="仿宋_GB2312"/>
          <w:sz w:val="32"/>
          <w:szCs w:val="32"/>
        </w:rPr>
      </w:pPr>
      <w:r>
        <w:rPr>
          <w:rFonts w:eastAsia="仿宋_GB2312"/>
          <w:kern w:val="0"/>
          <w:sz w:val="32"/>
          <w:szCs w:val="32"/>
        </w:rPr>
        <w:t>2023年，我局根据项目维保情况向市财政局申请追加项目预算资金</w:t>
      </w:r>
      <w:r>
        <w:rPr>
          <w:rFonts w:eastAsia="仿宋_GB2312"/>
          <w:sz w:val="32"/>
          <w:szCs w:val="32"/>
        </w:rPr>
        <w:t>65.0</w:t>
      </w:r>
      <w:r>
        <w:rPr>
          <w:rFonts w:eastAsia="仿宋_GB2312" w:hint="eastAsia"/>
          <w:sz w:val="32"/>
          <w:szCs w:val="32"/>
          <w:lang w:val="en-US" w:eastAsia="zh-CN"/>
        </w:rPr>
        <w:t>1</w:t>
      </w:r>
      <w:r>
        <w:rPr>
          <w:rFonts w:eastAsia="仿宋_GB2312"/>
          <w:sz w:val="32"/>
          <w:szCs w:val="32"/>
        </w:rPr>
        <w:t>万</w:t>
      </w:r>
      <w:r>
        <w:rPr>
          <w:rFonts w:eastAsia="仿宋_GB2312"/>
          <w:kern w:val="0"/>
          <w:sz w:val="32"/>
          <w:szCs w:val="32"/>
        </w:rPr>
        <w:t>元，财政审批后进行资金批复。</w:t>
      </w:r>
    </w:p>
    <w:p>
      <w:pPr>
        <w:adjustRightInd w:val="0"/>
        <w:snapToGrid w:val="0"/>
        <w:spacing w:line="560" w:lineRule="exact"/>
        <w:ind w:firstLine="720"/>
        <w:rPr>
          <w:rFonts w:eastAsia="楷体_GB2312"/>
          <w:sz w:val="32"/>
          <w:szCs w:val="32"/>
          <w:lang w:val="zh-CN"/>
        </w:rPr>
      </w:pPr>
      <w:r>
        <w:rPr>
          <w:rFonts w:eastAsia="楷体_GB2312"/>
          <w:sz w:val="32"/>
          <w:szCs w:val="32"/>
          <w:lang w:val="zh-CN"/>
        </w:rPr>
        <w:t>2．资金使用。</w:t>
      </w:r>
    </w:p>
    <w:p>
      <w:pPr>
        <w:adjustRightInd w:val="0"/>
        <w:snapToGrid w:val="0"/>
        <w:spacing w:line="560" w:lineRule="exact"/>
        <w:ind w:firstLine="720"/>
        <w:rPr>
          <w:rFonts w:eastAsia="仿宋_GB2312"/>
          <w:sz w:val="32"/>
          <w:szCs w:val="32"/>
          <w:lang w:val="zh-CN"/>
        </w:rPr>
      </w:pPr>
      <w:r>
        <w:rPr>
          <w:rFonts w:eastAsia="仿宋_GB2312"/>
          <w:sz w:val="32"/>
          <w:szCs w:val="32"/>
        </w:rPr>
        <w:t>医疗保障公共服务体系建设项目政府采购中标价94.8</w:t>
      </w:r>
      <w:r>
        <w:rPr>
          <w:rFonts w:eastAsia="仿宋_GB2312" w:hint="eastAsia"/>
          <w:sz w:val="32"/>
          <w:szCs w:val="32"/>
          <w:lang w:val="en-US" w:eastAsia="zh-CN"/>
        </w:rPr>
        <w:t>9</w:t>
      </w:r>
      <w:r>
        <w:rPr>
          <w:rFonts w:eastAsia="仿宋_GB2312"/>
          <w:sz w:val="32"/>
          <w:szCs w:val="32"/>
        </w:rPr>
        <w:t>万元，2022年已支付29.88万元；2023年支付剩余款项 65.0</w:t>
      </w:r>
      <w:r>
        <w:rPr>
          <w:rFonts w:eastAsia="仿宋_GB2312" w:hint="eastAsia"/>
          <w:sz w:val="32"/>
          <w:szCs w:val="32"/>
          <w:lang w:val="en-US" w:eastAsia="zh-CN"/>
        </w:rPr>
        <w:t>1</w:t>
      </w:r>
      <w:r>
        <w:rPr>
          <w:rFonts w:eastAsia="仿宋_GB2312"/>
          <w:sz w:val="32"/>
          <w:szCs w:val="32"/>
        </w:rPr>
        <w:t>万元，截</w:t>
      </w:r>
      <w:r>
        <w:rPr>
          <w:rFonts w:eastAsia="仿宋_GB2312" w:hint="eastAsia"/>
          <w:sz w:val="32"/>
          <w:szCs w:val="32"/>
          <w:lang w:val="en-US" w:eastAsia="zh-CN"/>
        </w:rPr>
        <w:t>至</w:t>
      </w:r>
      <w:r>
        <w:rPr>
          <w:rFonts w:eastAsia="仿宋_GB2312"/>
          <w:sz w:val="32"/>
          <w:szCs w:val="32"/>
        </w:rPr>
        <w:t>2023年底，合同款项全部结清。</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（二）项目财务管理情况。</w:t>
      </w:r>
    </w:p>
    <w:p>
      <w:pPr>
        <w:autoSpaceDE w:val="0"/>
        <w:autoSpaceDN w:val="0"/>
        <w:spacing w:line="560" w:lineRule="exact"/>
        <w:ind w:firstLineChars="200" w:firstLine="640"/>
        <w:rPr>
          <w:rFonts w:eastAsia="仿宋_GB2312"/>
          <w:kern w:val="0"/>
          <w:sz w:val="32"/>
          <w:szCs w:val="32"/>
        </w:rPr>
      </w:pPr>
      <w:r>
        <w:rPr>
          <w:rFonts w:eastAsia="仿宋_GB2312"/>
          <w:kern w:val="0"/>
          <w:sz w:val="32"/>
          <w:szCs w:val="32"/>
        </w:rPr>
        <w:t>严格执行政府会计制度和财务管理规定，会计资料真实、完整，账务处理及时，会计核算规范。坚持专款专用，严格按计划使用资金，无挤占挪用或套取资金等现象。</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（三）项目组织实施情况。</w:t>
      </w:r>
    </w:p>
    <w:p>
      <w:pPr>
        <w:spacing w:line="560" w:lineRule="exact"/>
        <w:ind w:firstLine="645"/>
        <w:rPr>
          <w:rFonts w:eastAsia="仿宋_GB2312"/>
          <w:sz w:val="32"/>
          <w:szCs w:val="32"/>
        </w:rPr>
      </w:pPr>
      <w:r>
        <w:rPr>
          <w:rFonts w:eastAsia="仿宋_GB2312"/>
          <w:sz w:val="32"/>
          <w:szCs w:val="32"/>
        </w:rPr>
        <w:t>由市医疗保障信息中心牵头</w:t>
      </w:r>
      <w:r>
        <w:rPr>
          <w:rFonts w:eastAsia="仿宋_GB2312"/>
          <w:kern w:val="0"/>
          <w:sz w:val="32"/>
          <w:szCs w:val="32"/>
        </w:rPr>
        <w:t>统筹谋划推进项目实施，项目组织架构和实施流程完整规范。</w:t>
      </w:r>
      <w:r>
        <w:rPr>
          <w:rFonts w:eastAsia="仿宋_GB2312"/>
          <w:sz w:val="32"/>
          <w:szCs w:val="32"/>
        </w:rPr>
        <w:t>一是市医疗保障信息中心牵头，联合市医疗保障事务中心等共同协商实施方案，就实施细节达成一致；二是将实施方案提供至第三方软件公司，完成功能开发；三是对开发功能进行测试，填写测试报告；四是测试通过后提交发布计划，完成相应的程序发布流程后发布程序。</w:t>
      </w:r>
    </w:p>
    <w:p>
      <w:pPr>
        <w:adjustRightInd w:val="0"/>
        <w:snapToGrid w:val="0"/>
        <w:spacing w:line="560" w:lineRule="exact"/>
        <w:ind w:firstLineChars="275" w:firstLine="880"/>
        <w:rPr>
          <w:rFonts w:eastAsia="仿宋_GB2312"/>
          <w:sz w:val="32"/>
          <w:szCs w:val="32"/>
          <w:lang w:val="zh-CN"/>
        </w:rPr>
      </w:pPr>
      <w:r>
        <w:rPr>
          <w:rFonts w:eastAsia="黑体"/>
          <w:sz w:val="32"/>
          <w:szCs w:val="32"/>
        </w:rPr>
        <w:t>三、项目绩效情况</w:t>
      </w:r>
      <w:r>
        <w:rPr>
          <w:rFonts w:eastAsia="仿宋_GB2312"/>
          <w:sz w:val="32"/>
          <w:szCs w:val="32"/>
          <w:lang w:val="zh-CN"/>
        </w:rPr>
        <w:tab/>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pPr>
        <w:spacing w:line="560" w:lineRule="exact"/>
        <w:ind w:firstLineChars="200" w:firstLine="640"/>
        <w:rPr>
          <w:rFonts w:eastAsia="仿宋_GB2312"/>
          <w:sz w:val="32"/>
          <w:szCs w:val="32"/>
        </w:rPr>
      </w:pPr>
      <w:r>
        <w:rPr>
          <w:rFonts w:eastAsia="仿宋_GB2312" w:hAnsi="仿宋_GB2312"/>
          <w:sz w:val="32"/>
          <w:szCs w:val="32"/>
        </w:rPr>
        <w:t>根据项目开发方案进度安排，完成了医疗保障公共服务体系建设项目，实现了</w:t>
      </w:r>
      <w:r>
        <w:rPr>
          <w:rFonts w:eastAsia="仿宋_GB2312"/>
          <w:sz w:val="32"/>
          <w:szCs w:val="32"/>
        </w:rPr>
        <w:t>本地网厅、微信公众号及自助机公共服务渠道对接省平台进行适应性改造，按照医保政务服务清单，完成了与省平台业务系统对接，实现了数据共享和业务协同，推动全省一体化政务服务平台在我市高效运转，建设了统一的医保电子凭证就医购药公共服务平台。</w:t>
      </w:r>
    </w:p>
    <w:p>
      <w:pPr>
        <w:adjustRightInd w:val="0"/>
        <w:snapToGrid w:val="0"/>
        <w:spacing w:line="560" w:lineRule="exact"/>
        <w:ind w:firstLineChars="196" w:firstLine="627"/>
        <w:rPr>
          <w:rFonts w:eastAsia="楷体_GB2312"/>
          <w:b/>
          <w:sz w:val="32"/>
          <w:szCs w:val="32"/>
          <w:lang w:val="zh-CN"/>
        </w:rPr>
      </w:pPr>
      <w:r>
        <w:rPr>
          <w:rFonts w:eastAsia="楷体_GB2312"/>
          <w:b/>
          <w:sz w:val="32"/>
          <w:szCs w:val="32"/>
          <w:lang w:val="zh-CN"/>
        </w:rPr>
        <w:t>（二）项目效益情况。</w:t>
      </w:r>
    </w:p>
    <w:p>
      <w:pPr>
        <w:adjustRightInd w:val="0"/>
        <w:snapToGrid w:val="0"/>
        <w:spacing w:line="560" w:lineRule="exact"/>
        <w:ind w:firstLine="642"/>
        <w:rPr>
          <w:rFonts w:eastAsia="仿宋_GB2312"/>
          <w:sz w:val="32"/>
          <w:szCs w:val="32"/>
        </w:rPr>
      </w:pPr>
      <w:r>
        <w:rPr>
          <w:rFonts w:eastAsia="仿宋_GB2312"/>
          <w:sz w:val="32"/>
          <w:szCs w:val="32"/>
        </w:rPr>
        <w:t>医疗保障公共服务体系建设，有利于提高医保公共服务能力输出，为群众提供更好的医保线上服务体验，提高群众对医保公共服务能力的满意度。参保群众通过医保微信公众号、医保手机APP、网上服务大厅、全省政务服务一体化平台，实现医保政务服务事项业务办理。</w:t>
      </w:r>
    </w:p>
    <w:p>
      <w:pPr>
        <w:adjustRightInd w:val="0"/>
        <w:snapToGrid w:val="0"/>
        <w:spacing w:line="560" w:lineRule="exact"/>
        <w:ind w:firstLine="642"/>
        <w:rPr>
          <w:rFonts w:eastAsia="黑体"/>
          <w:sz w:val="32"/>
          <w:szCs w:val="32"/>
        </w:rPr>
      </w:pPr>
      <w:r>
        <w:rPr>
          <w:rFonts w:eastAsia="黑体"/>
          <w:sz w:val="32"/>
          <w:szCs w:val="32"/>
        </w:rPr>
        <w:t>四、问题及建议</w:t>
      </w:r>
    </w:p>
    <w:p>
      <w:pPr>
        <w:adjustRightInd w:val="0"/>
        <w:snapToGrid w:val="0"/>
        <w:spacing w:line="560" w:lineRule="exact"/>
        <w:ind w:firstLineChars="147" w:firstLine="470"/>
        <w:rPr>
          <w:rFonts w:eastAsia="楷体_GB2312"/>
          <w:b/>
          <w:sz w:val="32"/>
          <w:szCs w:val="32"/>
          <w:lang w:val="zh-CN"/>
        </w:rPr>
      </w:pPr>
      <w:r>
        <w:rPr>
          <w:rFonts w:eastAsia="楷体_GB2312"/>
          <w:b/>
          <w:sz w:val="32"/>
          <w:szCs w:val="32"/>
          <w:lang w:val="zh-CN"/>
        </w:rPr>
        <w:t>（一）存在的问题。</w:t>
      </w:r>
    </w:p>
    <w:p>
      <w:pPr>
        <w:adjustRightInd w:val="0"/>
        <w:snapToGrid w:val="0"/>
        <w:spacing w:line="560" w:lineRule="exact"/>
        <w:ind w:firstLineChars="200" w:firstLine="640"/>
        <w:rPr>
          <w:rFonts w:eastAsia="仿宋_GB2312"/>
          <w:sz w:val="32"/>
          <w:szCs w:val="32"/>
        </w:rPr>
      </w:pPr>
      <w:r>
        <w:rPr>
          <w:rFonts w:eastAsia="仿宋_GB2312"/>
          <w:sz w:val="32"/>
          <w:szCs w:val="32"/>
        </w:rPr>
        <w:t>无。</w:t>
      </w:r>
    </w:p>
    <w:p>
      <w:pPr>
        <w:adjustRightInd w:val="0"/>
        <w:snapToGrid w:val="0"/>
        <w:spacing w:line="560" w:lineRule="exact"/>
        <w:ind w:firstLineChars="147" w:firstLine="470"/>
        <w:rPr>
          <w:rFonts w:eastAsia="仿宋_GB2312"/>
          <w:sz w:val="32"/>
          <w:szCs w:val="32"/>
          <w:lang w:val="zh-CN"/>
        </w:rPr>
      </w:pPr>
      <w:r>
        <w:rPr>
          <w:rFonts w:eastAsia="楷体_GB2312"/>
          <w:b/>
          <w:sz w:val="32"/>
          <w:szCs w:val="32"/>
          <w:lang w:val="zh-CN"/>
        </w:rPr>
        <w:t>（二）相关建议。</w:t>
      </w:r>
    </w:p>
    <w:p>
      <w:pPr>
        <w:adjustRightInd w:val="0"/>
        <w:snapToGrid w:val="0"/>
        <w:spacing w:line="560" w:lineRule="exact"/>
        <w:ind w:firstLineChars="200" w:firstLine="640"/>
        <w:rPr>
          <w:rFonts w:eastAsia="仿宋_GB2312"/>
          <w:sz w:val="32"/>
          <w:szCs w:val="32"/>
        </w:rPr>
      </w:pPr>
      <w:r>
        <w:rPr>
          <w:rFonts w:eastAsia="仿宋_GB2312"/>
          <w:sz w:val="32"/>
          <w:szCs w:val="32"/>
        </w:rPr>
        <w:t>无。</w:t>
      </w:r>
    </w:p>
    <w:p>
      <w:pPr>
        <w:spacing w:line="360" w:lineRule="auto"/>
        <w:ind w:firstLine="660"/>
        <w:rPr>
          <w:rFonts w:eastAsia="仿宋_GB2312"/>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600" w:lineRule="exact"/>
        <w:jc w:val="center"/>
        <w:outlineLvl w:val="0"/>
        <w:rPr>
          <w:rFonts w:eastAsia="仿宋"/>
        </w:rPr>
      </w:pPr>
      <w:bookmarkStart w:id="154" w:name="_Toc144464250"/>
      <w:bookmarkStart w:id="155" w:name="_Toc145437075"/>
      <w:bookmarkStart w:id="156" w:name="_Toc145434830"/>
      <w:bookmarkStart w:id="157" w:name="_Toc15396619"/>
      <w:bookmarkEnd w:id="127"/>
      <w:bookmarkEnd w:id="149"/>
      <w:r>
        <w:rPr>
          <w:rFonts w:eastAsia="黑体"/>
          <w:sz w:val="44"/>
          <w:szCs w:val="44"/>
        </w:rPr>
        <w:t>第</w:t>
      </w:r>
      <w:r>
        <w:rPr>
          <w:rStyle w:val="1Char"/>
          <w:rFonts w:eastAsia="黑体"/>
        </w:rPr>
        <w:t>五部分</w:t>
      </w:r>
      <w:r>
        <w:rPr>
          <w:rStyle w:val="1Char"/>
          <w:rFonts w:eastAsia="黑体" w:hint="eastAsia"/>
        </w:rPr>
        <w:t xml:space="preserve"> </w:t>
      </w:r>
      <w:r>
        <w:rPr>
          <w:rStyle w:val="1Char"/>
          <w:rFonts w:eastAsia="黑体"/>
        </w:rPr>
        <w:t>附表</w:t>
      </w:r>
      <w:bookmarkEnd w:id="154"/>
      <w:bookmarkEnd w:id="155"/>
      <w:bookmarkEnd w:id="156"/>
    </w:p>
    <w:p>
      <w:pPr>
        <w:pStyle w:val="2"/>
        <w:rPr>
          <w:rFonts w:ascii="黑体" w:eastAsia="黑体" w:hAnsi="黑体"/>
          <w:b w:val="0"/>
        </w:rPr>
      </w:pPr>
      <w:bookmarkStart w:id="158" w:name="_Toc145434831"/>
      <w:bookmarkStart w:id="159" w:name="_Toc144464251"/>
      <w:bookmarkStart w:id="160" w:name="_Toc145437076"/>
      <w:r>
        <w:rPr>
          <w:rFonts w:ascii="黑体" w:eastAsia="黑体" w:hAnsi="黑体"/>
          <w:b w:val="0"/>
        </w:rPr>
        <w:t>一、收</w:t>
      </w:r>
      <w:r>
        <w:rPr>
          <w:rStyle w:val="2Char"/>
          <w:rFonts w:ascii="黑体" w:eastAsia="黑体" w:hAnsi="黑体"/>
          <w:b w:val="0"/>
          <w:bCs w:val="0"/>
        </w:rPr>
        <w:t>入支出决算总表</w:t>
      </w:r>
      <w:bookmarkEnd w:id="157"/>
      <w:bookmarkEnd w:id="158"/>
      <w:bookmarkEnd w:id="159"/>
      <w:bookmarkEnd w:id="160"/>
    </w:p>
    <w:p>
      <w:pPr>
        <w:pStyle w:val="2"/>
        <w:rPr>
          <w:rFonts w:ascii="黑体" w:eastAsia="黑体" w:hAnsi="黑体"/>
          <w:b w:val="0"/>
        </w:rPr>
      </w:pPr>
      <w:bookmarkStart w:id="161" w:name="_Toc145437077"/>
      <w:bookmarkStart w:id="162" w:name="_Toc15396620"/>
      <w:bookmarkStart w:id="163" w:name="_Toc145434832"/>
      <w:bookmarkStart w:id="164" w:name="_Toc144464252"/>
      <w:r>
        <w:rPr>
          <w:rFonts w:ascii="黑体" w:eastAsia="黑体" w:hAnsi="黑体"/>
          <w:b w:val="0"/>
        </w:rPr>
        <w:t>二、收</w:t>
      </w:r>
      <w:r>
        <w:rPr>
          <w:rStyle w:val="2Char"/>
          <w:rFonts w:ascii="黑体" w:eastAsia="黑体" w:hAnsi="黑体"/>
          <w:b w:val="0"/>
          <w:bCs w:val="0"/>
        </w:rPr>
        <w:t>入决算表</w:t>
      </w:r>
      <w:bookmarkEnd w:id="161"/>
      <w:bookmarkEnd w:id="162"/>
      <w:bookmarkEnd w:id="163"/>
      <w:bookmarkEnd w:id="164"/>
    </w:p>
    <w:p>
      <w:pPr>
        <w:pStyle w:val="2"/>
        <w:rPr>
          <w:rFonts w:ascii="黑体" w:eastAsia="黑体" w:hAnsi="黑体"/>
          <w:b w:val="0"/>
        </w:rPr>
      </w:pPr>
      <w:bookmarkStart w:id="165" w:name="_Toc145434833"/>
      <w:bookmarkStart w:id="166" w:name="_Toc15396621"/>
      <w:bookmarkStart w:id="167" w:name="_Toc145437078"/>
      <w:bookmarkStart w:id="168" w:name="_Toc144464253"/>
      <w:r>
        <w:rPr>
          <w:rStyle w:val="2Char"/>
          <w:rFonts w:ascii="黑体" w:eastAsia="黑体" w:hAnsi="黑体"/>
          <w:b w:val="0"/>
          <w:bCs w:val="0"/>
        </w:rPr>
        <w:t>三、</w:t>
      </w:r>
      <w:r>
        <w:rPr>
          <w:rFonts w:ascii="黑体" w:eastAsia="黑体" w:hAnsi="黑体"/>
          <w:b w:val="0"/>
        </w:rPr>
        <w:t>支</w:t>
      </w:r>
      <w:r>
        <w:rPr>
          <w:rStyle w:val="2Char"/>
          <w:rFonts w:ascii="黑体" w:eastAsia="黑体" w:hAnsi="黑体"/>
          <w:b w:val="0"/>
          <w:bCs w:val="0"/>
        </w:rPr>
        <w:t>出决算表</w:t>
      </w:r>
      <w:bookmarkEnd w:id="165"/>
      <w:bookmarkEnd w:id="166"/>
      <w:bookmarkEnd w:id="167"/>
      <w:bookmarkEnd w:id="168"/>
    </w:p>
    <w:p>
      <w:pPr>
        <w:pStyle w:val="2"/>
        <w:rPr>
          <w:rFonts w:ascii="黑体" w:eastAsia="黑体" w:hAnsi="黑体"/>
          <w:b w:val="0"/>
        </w:rPr>
      </w:pPr>
      <w:bookmarkStart w:id="169" w:name="_Toc144464254"/>
      <w:bookmarkStart w:id="170" w:name="_Toc145437079"/>
      <w:bookmarkStart w:id="171" w:name="_Toc15396622"/>
      <w:bookmarkStart w:id="172" w:name="_Toc145434834"/>
      <w:r>
        <w:rPr>
          <w:rStyle w:val="2Char"/>
          <w:rFonts w:ascii="黑体" w:eastAsia="黑体" w:hAnsi="黑体"/>
          <w:b w:val="0"/>
          <w:bCs w:val="0"/>
        </w:rPr>
        <w:t>四、</w:t>
      </w:r>
      <w:r>
        <w:rPr>
          <w:rFonts w:ascii="黑体" w:eastAsia="黑体" w:hAnsi="黑体"/>
          <w:b w:val="0"/>
        </w:rPr>
        <w:t>财</w:t>
      </w:r>
      <w:r>
        <w:rPr>
          <w:rStyle w:val="2Char"/>
          <w:rFonts w:ascii="黑体" w:eastAsia="黑体" w:hAnsi="黑体"/>
          <w:b w:val="0"/>
          <w:bCs w:val="0"/>
        </w:rPr>
        <w:t>政拨款收入支出决算总表</w:t>
      </w:r>
      <w:bookmarkEnd w:id="169"/>
      <w:bookmarkEnd w:id="170"/>
      <w:bookmarkEnd w:id="171"/>
      <w:bookmarkEnd w:id="172"/>
    </w:p>
    <w:p>
      <w:pPr>
        <w:pStyle w:val="2"/>
        <w:rPr>
          <w:rStyle w:val="2Char"/>
          <w:rFonts w:ascii="黑体" w:eastAsia="黑体" w:hAnsi="黑体"/>
          <w:b w:val="0"/>
          <w:bCs w:val="0"/>
        </w:rPr>
      </w:pPr>
      <w:bookmarkStart w:id="173" w:name="_Toc144464255"/>
      <w:bookmarkStart w:id="174" w:name="_Toc145437080"/>
      <w:bookmarkStart w:id="175" w:name="_Toc145434835"/>
      <w:bookmarkStart w:id="176" w:name="_Toc15396623"/>
      <w:r>
        <w:rPr>
          <w:rStyle w:val="2Char"/>
          <w:rFonts w:ascii="黑体" w:eastAsia="黑体" w:hAnsi="黑体"/>
          <w:b w:val="0"/>
          <w:bCs w:val="0"/>
        </w:rPr>
        <w:t>五、</w:t>
      </w:r>
      <w:r>
        <w:rPr>
          <w:rFonts w:ascii="黑体" w:eastAsia="黑体" w:hAnsi="黑体"/>
          <w:b w:val="0"/>
        </w:rPr>
        <w:t>财</w:t>
      </w:r>
      <w:r>
        <w:rPr>
          <w:rStyle w:val="2Char"/>
          <w:rFonts w:ascii="黑体" w:eastAsia="黑体" w:hAnsi="黑体"/>
          <w:b w:val="0"/>
          <w:bCs w:val="0"/>
        </w:rPr>
        <w:t>政拨款支出决算明细表</w:t>
      </w:r>
      <w:bookmarkStart w:id="177" w:name="_Toc15396624"/>
      <w:bookmarkEnd w:id="173"/>
      <w:bookmarkEnd w:id="174"/>
      <w:bookmarkEnd w:id="175"/>
      <w:bookmarkEnd w:id="176"/>
    </w:p>
    <w:p>
      <w:pPr>
        <w:pStyle w:val="2"/>
        <w:rPr>
          <w:rFonts w:ascii="黑体" w:eastAsia="黑体" w:hAnsi="黑体"/>
          <w:b w:val="0"/>
        </w:rPr>
      </w:pPr>
      <w:bookmarkStart w:id="178" w:name="_Toc145434836"/>
      <w:bookmarkStart w:id="179" w:name="_Toc144464256"/>
      <w:bookmarkStart w:id="180" w:name="_Toc145437081"/>
      <w:r>
        <w:rPr>
          <w:rStyle w:val="2Char"/>
          <w:rFonts w:ascii="黑体" w:eastAsia="黑体" w:hAnsi="黑体"/>
          <w:b w:val="0"/>
          <w:bCs w:val="0"/>
        </w:rPr>
        <w:t>六、</w:t>
      </w:r>
      <w:r>
        <w:rPr>
          <w:rFonts w:ascii="黑体" w:eastAsia="黑体" w:hAnsi="黑体"/>
          <w:b w:val="0"/>
        </w:rPr>
        <w:t>一</w:t>
      </w:r>
      <w:r>
        <w:rPr>
          <w:rStyle w:val="2Char"/>
          <w:rFonts w:ascii="黑体" w:eastAsia="黑体" w:hAnsi="黑体"/>
          <w:b w:val="0"/>
          <w:bCs w:val="0"/>
        </w:rPr>
        <w:t>般公共预算财政拨款支出决算表</w:t>
      </w:r>
      <w:bookmarkEnd w:id="177"/>
      <w:bookmarkEnd w:id="178"/>
      <w:bookmarkEnd w:id="179"/>
      <w:bookmarkEnd w:id="180"/>
    </w:p>
    <w:p>
      <w:pPr>
        <w:pStyle w:val="2"/>
        <w:rPr>
          <w:rFonts w:ascii="黑体" w:eastAsia="黑体" w:hAnsi="黑体"/>
          <w:b w:val="0"/>
        </w:rPr>
      </w:pPr>
      <w:bookmarkStart w:id="181" w:name="_Toc144464257"/>
      <w:bookmarkStart w:id="182" w:name="_Toc145434837"/>
      <w:bookmarkStart w:id="183" w:name="_Toc15396625"/>
      <w:bookmarkStart w:id="184" w:name="_Toc145437082"/>
      <w:r>
        <w:rPr>
          <w:rStyle w:val="2Char"/>
          <w:rFonts w:ascii="黑体" w:eastAsia="黑体" w:hAnsi="黑体"/>
          <w:b w:val="0"/>
          <w:bCs w:val="0"/>
        </w:rPr>
        <w:t>七、</w:t>
      </w:r>
      <w:r>
        <w:rPr>
          <w:rFonts w:ascii="黑体" w:eastAsia="黑体" w:hAnsi="黑体"/>
          <w:b w:val="0"/>
        </w:rPr>
        <w:t>一</w:t>
      </w:r>
      <w:r>
        <w:rPr>
          <w:rStyle w:val="2Char"/>
          <w:rFonts w:ascii="黑体" w:eastAsia="黑体" w:hAnsi="黑体"/>
          <w:b w:val="0"/>
          <w:bCs w:val="0"/>
        </w:rPr>
        <w:t>般公共预算财政拨款支出决算明细表</w:t>
      </w:r>
      <w:bookmarkEnd w:id="181"/>
      <w:bookmarkEnd w:id="182"/>
      <w:bookmarkEnd w:id="183"/>
      <w:bookmarkEnd w:id="184"/>
    </w:p>
    <w:p>
      <w:pPr>
        <w:pStyle w:val="2"/>
        <w:rPr>
          <w:rFonts w:ascii="黑体" w:eastAsia="黑体" w:hAnsi="黑体"/>
          <w:b w:val="0"/>
        </w:rPr>
      </w:pPr>
      <w:bookmarkStart w:id="185" w:name="_Toc145434838"/>
      <w:bookmarkStart w:id="186" w:name="_Toc15396626"/>
      <w:bookmarkStart w:id="187" w:name="_Toc145437083"/>
      <w:bookmarkStart w:id="188" w:name="_Toc144464258"/>
      <w:r>
        <w:rPr>
          <w:rStyle w:val="2Char"/>
          <w:rFonts w:ascii="黑体" w:eastAsia="黑体" w:hAnsi="黑体"/>
          <w:b w:val="0"/>
          <w:bCs w:val="0"/>
        </w:rPr>
        <w:t>八、</w:t>
      </w:r>
      <w:r>
        <w:rPr>
          <w:rFonts w:ascii="黑体" w:eastAsia="黑体" w:hAnsi="黑体"/>
          <w:b w:val="0"/>
        </w:rPr>
        <w:t>一</w:t>
      </w:r>
      <w:r>
        <w:rPr>
          <w:rStyle w:val="2Char"/>
          <w:rFonts w:ascii="黑体" w:eastAsia="黑体" w:hAnsi="黑体"/>
          <w:b w:val="0"/>
          <w:bCs w:val="0"/>
        </w:rPr>
        <w:t>般公共预算财政拨款基本支出决算表</w:t>
      </w:r>
      <w:bookmarkEnd w:id="185"/>
      <w:bookmarkEnd w:id="186"/>
      <w:bookmarkEnd w:id="187"/>
      <w:bookmarkEnd w:id="188"/>
    </w:p>
    <w:p>
      <w:pPr>
        <w:pStyle w:val="2"/>
        <w:rPr>
          <w:rFonts w:ascii="黑体" w:eastAsia="黑体" w:hAnsi="黑体"/>
          <w:b w:val="0"/>
        </w:rPr>
      </w:pPr>
      <w:bookmarkStart w:id="189" w:name="_Toc145437084"/>
      <w:bookmarkStart w:id="190" w:name="_Toc15396627"/>
      <w:bookmarkStart w:id="191" w:name="_Toc144464259"/>
      <w:bookmarkStart w:id="192" w:name="_Toc145434839"/>
      <w:r>
        <w:rPr>
          <w:rStyle w:val="2Char"/>
          <w:rFonts w:ascii="黑体" w:eastAsia="黑体" w:hAnsi="黑体"/>
          <w:b w:val="0"/>
          <w:bCs w:val="0"/>
        </w:rPr>
        <w:t>九、</w:t>
      </w:r>
      <w:r>
        <w:rPr>
          <w:rFonts w:ascii="黑体" w:eastAsia="黑体" w:hAnsi="黑体"/>
          <w:b w:val="0"/>
        </w:rPr>
        <w:t>一</w:t>
      </w:r>
      <w:r>
        <w:rPr>
          <w:rStyle w:val="2Char"/>
          <w:rFonts w:ascii="黑体" w:eastAsia="黑体" w:hAnsi="黑体"/>
          <w:b w:val="0"/>
          <w:bCs w:val="0"/>
        </w:rPr>
        <w:t>般公共预算财政拨款项目支出决算表</w:t>
      </w:r>
      <w:bookmarkEnd w:id="189"/>
      <w:bookmarkEnd w:id="190"/>
      <w:bookmarkEnd w:id="191"/>
      <w:bookmarkEnd w:id="192"/>
    </w:p>
    <w:p>
      <w:pPr>
        <w:pStyle w:val="2"/>
        <w:rPr>
          <w:rFonts w:ascii="黑体" w:eastAsia="黑体" w:hAnsi="黑体"/>
          <w:b w:val="0"/>
        </w:rPr>
      </w:pPr>
      <w:bookmarkStart w:id="193" w:name="_Toc15396628"/>
      <w:bookmarkStart w:id="194" w:name="_Toc144464260"/>
      <w:bookmarkStart w:id="195" w:name="_Toc145437085"/>
      <w:bookmarkStart w:id="196" w:name="_Toc145434840"/>
      <w:r>
        <w:rPr>
          <w:rStyle w:val="2Char"/>
          <w:rFonts w:ascii="黑体" w:eastAsia="黑体" w:hAnsi="黑体"/>
          <w:b w:val="0"/>
          <w:bCs w:val="0"/>
        </w:rPr>
        <w:t>十、</w:t>
      </w:r>
      <w:bookmarkEnd w:id="193"/>
      <w:r>
        <w:rPr>
          <w:rFonts w:ascii="黑体" w:eastAsia="黑体" w:hAnsi="黑体"/>
          <w:b w:val="0"/>
        </w:rPr>
        <w:t>政</w:t>
      </w:r>
      <w:r>
        <w:rPr>
          <w:rStyle w:val="2Char"/>
          <w:rFonts w:ascii="黑体" w:eastAsia="黑体" w:hAnsi="黑体"/>
          <w:b w:val="0"/>
          <w:bCs w:val="0"/>
        </w:rPr>
        <w:t>府性基金预算财政拨款收入支出决算表</w:t>
      </w:r>
      <w:bookmarkEnd w:id="194"/>
      <w:bookmarkEnd w:id="195"/>
      <w:bookmarkEnd w:id="196"/>
    </w:p>
    <w:p>
      <w:pPr>
        <w:pStyle w:val="2"/>
        <w:rPr>
          <w:rFonts w:ascii="黑体" w:eastAsia="黑体" w:hAnsi="黑体"/>
          <w:b w:val="0"/>
        </w:rPr>
      </w:pPr>
      <w:bookmarkStart w:id="197" w:name="_Toc15396629"/>
      <w:bookmarkStart w:id="198" w:name="_Toc145434841"/>
      <w:bookmarkStart w:id="199" w:name="_Toc144464261"/>
      <w:bookmarkStart w:id="200" w:name="_Toc145437086"/>
      <w:r>
        <w:rPr>
          <w:rStyle w:val="2Char"/>
          <w:rFonts w:ascii="黑体" w:eastAsia="黑体" w:hAnsi="黑体"/>
          <w:b w:val="0"/>
          <w:bCs w:val="0"/>
        </w:rPr>
        <w:t>十一、</w:t>
      </w:r>
      <w:bookmarkEnd w:id="197"/>
      <w:r>
        <w:rPr>
          <w:rFonts w:ascii="黑体" w:eastAsia="黑体" w:hAnsi="黑体"/>
          <w:b w:val="0"/>
        </w:rPr>
        <w:t>国</w:t>
      </w:r>
      <w:r>
        <w:rPr>
          <w:rStyle w:val="2Char"/>
          <w:rFonts w:ascii="黑体" w:eastAsia="黑体" w:hAnsi="黑体"/>
          <w:b w:val="0"/>
          <w:bCs w:val="0"/>
        </w:rPr>
        <w:t>有资本经营预算财政拨款收入支出决算表</w:t>
      </w:r>
      <w:bookmarkEnd w:id="198"/>
      <w:bookmarkEnd w:id="199"/>
      <w:bookmarkEnd w:id="200"/>
    </w:p>
    <w:p>
      <w:pPr>
        <w:pStyle w:val="2"/>
        <w:rPr>
          <w:rFonts w:ascii="黑体" w:eastAsia="黑体" w:hAnsi="黑体"/>
          <w:b w:val="0"/>
        </w:rPr>
      </w:pPr>
      <w:bookmarkStart w:id="201" w:name="_Toc15396630"/>
      <w:bookmarkStart w:id="202" w:name="_Toc145437087"/>
      <w:bookmarkStart w:id="203" w:name="_Toc144464262"/>
      <w:bookmarkStart w:id="204" w:name="_Toc145434842"/>
      <w:r>
        <w:rPr>
          <w:rStyle w:val="2Char"/>
          <w:rFonts w:ascii="黑体" w:eastAsia="黑体" w:hAnsi="黑体"/>
          <w:b w:val="0"/>
          <w:bCs w:val="0"/>
        </w:rPr>
        <w:t>十二、</w:t>
      </w:r>
      <w:bookmarkEnd w:id="201"/>
      <w:r>
        <w:rPr>
          <w:rStyle w:val="2Char"/>
          <w:rFonts w:ascii="黑体" w:eastAsia="黑体" w:hAnsi="黑体"/>
          <w:b w:val="0"/>
          <w:bCs w:val="0"/>
        </w:rPr>
        <w:t>国有资本经营预算财政拨款支出决算表</w:t>
      </w:r>
      <w:bookmarkEnd w:id="202"/>
      <w:bookmarkEnd w:id="203"/>
      <w:bookmarkEnd w:id="204"/>
    </w:p>
    <w:p>
      <w:pPr>
        <w:pStyle w:val="2"/>
        <w:rPr>
          <w:rStyle w:val="2Char"/>
          <w:rFonts w:ascii="黑体" w:eastAsia="黑体" w:hAnsi="黑体"/>
          <w:b w:val="0"/>
          <w:bCs/>
        </w:rPr>
      </w:pPr>
      <w:bookmarkStart w:id="205" w:name="_Toc15396631"/>
      <w:bookmarkStart w:id="206" w:name="_Toc145437088"/>
      <w:bookmarkStart w:id="207" w:name="_Toc145434843"/>
      <w:bookmarkStart w:id="208" w:name="_Toc144464263"/>
      <w:r>
        <w:rPr>
          <w:rStyle w:val="2Char"/>
          <w:rFonts w:ascii="黑体" w:eastAsia="黑体" w:hAnsi="黑体"/>
          <w:b w:val="0"/>
          <w:bCs w:val="0"/>
        </w:rPr>
        <w:t>十三、</w:t>
      </w:r>
      <w:bookmarkEnd w:id="205"/>
      <w:r>
        <w:rPr>
          <w:rStyle w:val="2Char"/>
          <w:rFonts w:ascii="黑体" w:eastAsia="黑体" w:hAnsi="黑体"/>
          <w:b w:val="0"/>
          <w:bCs w:val="0"/>
        </w:rPr>
        <w:t>财政拨款“三公”经费支出决算表</w:t>
      </w:r>
      <w:bookmarkEnd w:id="206"/>
      <w:bookmarkEnd w:id="207"/>
      <w:bookmarkEnd w:id="208"/>
    </w:p>
    <w:sectPr>
      <w:headerReference w:type="default" r:id="rId2"/>
      <w:footerReference w:type="default" r:id="rId3"/>
      <w:footerReference w:type="even" r:id="rId4"/>
      <w:pgSz w:w="11906" w:h="16838"/>
      <w:pgMar w:top="2098" w:right="1474" w:bottom="1985" w:left="1588" w:header="851" w:footer="1418" w:gutter="0"/>
      <w:pgNumType w:start="0"/>
      <w:cols w:num="1" w:space="72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简体">
    <w:altName w:val="方正舒体"/>
    <w:panose1 w:val="00000000000000000000"/>
    <w:charset w:val="86"/>
    <w:family w:val="script"/>
    <w:pitch w:val="variable"/>
    <w:sig w:usb0="00000000" w:usb1="00000000" w:usb2="00000010" w:usb3="00000000" w:csb0="00040000" w:csb1="00000000"/>
  </w:font>
  <w:font w:name="方正小标宋_GBK">
    <w:altName w:val="微软雅黑"/>
    <w:panose1 w:val="00000000000000000000"/>
    <w:charset w:val="86"/>
    <w:family w:val="script"/>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楷体_GB2312">
    <w:altName w:val="楷体"/>
    <w:panose1 w:val="00000000000000000000"/>
    <w:charset w:val="86"/>
    <w:family w:val="modern"/>
    <w:pitch w:val="variable"/>
    <w:sig w:usb0="00000000" w:usb1="00000000" w:usb2="00000010" w:usb3="00000000" w:csb0="00040000" w:csb1="00000000"/>
  </w:font>
  <w:font w:name="Lucida Sans">
    <w:altName w:val="Lucida Sans Unicode"/>
    <w:panose1 w:val="020B0602030504020204"/>
    <w:charset w:val="00"/>
    <w:family w:val="auto"/>
    <w:pitch w:val="variable"/>
    <w:sig w:usb0="00000000" w:usb1="00000000" w:usb2="00000000" w:usb3="00000000" w:csb0="20000001" w:csb1="00000000"/>
  </w:font>
  <w:font w:name="Cambria">
    <w:panose1 w:val="02040503050406030204"/>
    <w:charset w:val="00"/>
    <w:family w:val="roman"/>
    <w:pitch w:val="variable"/>
    <w:sig w:usb0="E00006FF" w:usb1="420024FF" w:usb2="02000000" w:usb3="00000000" w:csb0="2000019F" w:csb1="00000000"/>
  </w:font>
  <w:font w:name="Courier New">
    <w:panose1 w:val="02070409020205090404"/>
    <w:charset w:val="00"/>
    <w:family w:val="auto"/>
    <w:pitch w:val="variable"/>
    <w:sig w:usb0="00007A87" w:usb1="80000000" w:usb2="00000008" w:usb3="00000000" w:csb0="400001FF" w:csb1="FFFF0000"/>
  </w:font>
  <w:font w:name="Calibri">
    <w:panose1 w:val="020F0502020204030204"/>
    <w:charset w:val="00"/>
    <w:family w:val="swiss"/>
    <w:pitch w:val="variable"/>
    <w:sig w:usb0="E4002EFF" w:usb1="C200247B" w:usb2="00000009" w:usb3="00000000" w:csb0="200001FF" w:csb1="00000000"/>
  </w:font>
  <w:font w:name="等线 Light">
    <w:altName w:val="黑体"/>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both"/>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2FA047D"/>
    <w:multiLevelType w:val="singleLevel"/>
    <w:tmpl w:val="E2FA047D"/>
    <w:lvl w:ilvl="0">
      <w:start w:val="3"/>
      <w:numFmt w:val="chineseCounting"/>
      <w:lvlRestart w:val="0"/>
      <w:suff w:val="space"/>
      <w:lvlText w:val="第%1部分"/>
      <w:lvlJc w:val="left"/>
      <w:pPr/>
      <w:rPr>
        <w:rFonts w:cs="Times New Roman" w:hint="eastAsia"/>
      </w:rPr>
    </w:lvl>
  </w:abstractNum>
  <w:abstractNum w:abstractNumId="1">
    <w:nsid w:val="423F21A9"/>
    <w:multiLevelType w:val="multilevel"/>
    <w:tmpl w:val="423F21A9"/>
    <w:lvl w:ilvl="0">
      <w:start w:val="1"/>
      <w:numFmt w:val="japaneseCounting"/>
      <w:lvlRestart w:val="0"/>
      <w:lvlText w:val="（%1）"/>
      <w:lvlJc w:val="left"/>
      <w:pPr>
        <w:ind w:left="1710" w:hanging="99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ocumentProtection w:edit="readOnly" w:enforcement="0"/>
  <w:defaultTabStop w:val="420"/>
  <w:evenAndOddHeaders/>
  <w:mirrorMargins/>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NDc1NWJhZTQ2ZDcwOTBkYjdiM2Q2ZTFhYWQ3YjYyZ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7"/>
    <w:basedOn w:val="0"/>
    <w:next w:val="0"/>
    <w:pPr>
      <w:ind w:left="1260"/>
      <w:jc w:val="left"/>
    </w:pPr>
    <w:rPr>
      <w:sz w:val="18"/>
      <w:szCs w:val="18"/>
    </w:rPr>
  </w:style>
  <w:style w:type="paragraph" w:styleId="16">
    <w:name w:val="Body Text"/>
    <w:basedOn w:val="0"/>
    <w:pPr>
      <w:spacing w:beforeLines="30" w:before="30"/>
    </w:pPr>
    <w:rPr>
      <w:rFonts w:ascii="仿宋_GB2312" w:eastAsia="仿宋_GB2312"/>
      <w:kern w:val="0"/>
      <w:sz w:val="24"/>
      <w:szCs w:val="20"/>
    </w:rPr>
  </w:style>
  <w:style w:type="paragraph" w:styleId="17">
    <w:name w:val="Body Text Indent"/>
    <w:basedOn w:val="0"/>
    <w:pPr>
      <w:spacing w:after="120"/>
      <w:ind w:leftChars="200" w:left="200"/>
    </w:pPr>
  </w:style>
  <w:style w:type="paragraph" w:styleId="18">
    <w:name w:val="toc 5"/>
    <w:basedOn w:val="0"/>
    <w:next w:val="0"/>
    <w:pPr>
      <w:ind w:left="840"/>
      <w:jc w:val="left"/>
    </w:pPr>
    <w:rPr>
      <w:sz w:val="18"/>
      <w:szCs w:val="18"/>
    </w:rPr>
  </w:style>
  <w:style w:type="paragraph" w:styleId="19">
    <w:name w:val="toc 3"/>
    <w:basedOn w:val="0"/>
    <w:next w:val="0"/>
    <w:pPr>
      <w:ind w:left="420"/>
      <w:jc w:val="left"/>
    </w:pPr>
    <w:rPr>
      <w:i/>
      <w:iCs/>
      <w:sz w:val="20"/>
      <w:szCs w:val="20"/>
    </w:rPr>
  </w:style>
  <w:style w:type="paragraph" w:styleId="20">
    <w:name w:val="Plain Text"/>
    <w:basedOn w:val="0"/>
    <w:rPr>
      <w:rFonts w:ascii="宋体" w:hAnsi="Courier New"/>
      <w:sz w:val="32"/>
    </w:rPr>
  </w:style>
  <w:style w:type="paragraph" w:styleId="21">
    <w:name w:val="toc 8"/>
    <w:basedOn w:val="0"/>
    <w:next w:val="0"/>
    <w:pPr>
      <w:ind w:left="1470"/>
      <w:jc w:val="left"/>
    </w:pPr>
    <w:rPr>
      <w:sz w:val="18"/>
      <w:szCs w:val="18"/>
    </w:rPr>
  </w:style>
  <w:style w:type="paragraph" w:styleId="22">
    <w:name w:val="Balloon Text"/>
    <w:basedOn w:val="0"/>
    <w:rPr>
      <w:sz w:val="18"/>
      <w:szCs w:val="18"/>
    </w:rPr>
  </w:style>
  <w:style w:type="paragraph" w:styleId="23">
    <w:name w:val="footer"/>
    <w:basedOn w:val="0"/>
    <w:pPr>
      <w:tabs>
        <w:tab w:val="center" w:pos="4153"/>
        <w:tab w:val="right" w:pos="8306"/>
      </w:tabs>
      <w:snapToGrid w:val="0"/>
      <w:jc w:val="left"/>
    </w:pPr>
    <w:rPr>
      <w:rFonts w:ascii="Calibri" w:hAnsi="Calibri"/>
      <w:kern w:val="0"/>
      <w:sz w:val="18"/>
      <w:szCs w:val="20"/>
    </w:rPr>
  </w:style>
  <w:style w:type="paragraph" w:styleId="24">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5">
    <w:name w:val="toc 1"/>
    <w:basedOn w:val="0"/>
    <w:next w:val="0"/>
    <w:pPr>
      <w:spacing w:before="120" w:after="120"/>
      <w:jc w:val="left"/>
    </w:pPr>
    <w:rPr>
      <w:b/>
      <w:bCs/>
      <w:caps/>
      <w:smallCaps w:val="0"/>
      <w:sz w:val="20"/>
      <w:szCs w:val="20"/>
    </w:rPr>
  </w:style>
  <w:style w:type="paragraph" w:styleId="26">
    <w:name w:val="toc 4"/>
    <w:basedOn w:val="0"/>
    <w:next w:val="0"/>
    <w:pPr>
      <w:ind w:left="630"/>
      <w:jc w:val="left"/>
    </w:pPr>
    <w:rPr>
      <w:sz w:val="18"/>
      <w:szCs w:val="18"/>
    </w:rPr>
  </w:style>
  <w:style w:type="paragraph" w:styleId="27">
    <w:name w:val="toc 6"/>
    <w:basedOn w:val="0"/>
    <w:next w:val="0"/>
    <w:pPr>
      <w:ind w:left="1050"/>
      <w:jc w:val="left"/>
    </w:pPr>
    <w:rPr>
      <w:sz w:val="18"/>
      <w:szCs w:val="18"/>
    </w:rPr>
  </w:style>
  <w:style w:type="paragraph" w:styleId="28">
    <w:name w:val="toc 2"/>
    <w:basedOn w:val="0"/>
    <w:next w:val="0"/>
    <w:pPr>
      <w:ind w:left="210"/>
      <w:jc w:val="left"/>
    </w:pPr>
    <w:rPr>
      <w:caps w:val="0"/>
      <w:smallCaps/>
      <w:sz w:val="20"/>
      <w:szCs w:val="20"/>
    </w:rPr>
  </w:style>
  <w:style w:type="paragraph" w:styleId="29">
    <w:name w:val="toc 9"/>
    <w:basedOn w:val="0"/>
    <w:next w:val="0"/>
    <w:pPr>
      <w:ind w:left="1680"/>
      <w:jc w:val="left"/>
    </w:pPr>
    <w:rPr>
      <w:sz w:val="18"/>
      <w:szCs w:val="18"/>
    </w:rPr>
  </w:style>
  <w:style w:type="paragraph" w:styleId="30">
    <w:name w:val="Normal (Web)"/>
    <w:basedOn w:val="0"/>
    <w:pPr>
      <w:widowControl/>
      <w:spacing w:before="100" w:beforeAutospacing="1" w:after="100" w:afterAutospacing="1"/>
      <w:jc w:val="left"/>
    </w:pPr>
    <w:rPr>
      <w:rFonts w:ascii="宋体" w:cs="宋体" w:hAnsi="宋体"/>
      <w:kern w:val="0"/>
      <w:sz w:val="24"/>
    </w:rPr>
  </w:style>
  <w:style w:type="paragraph" w:styleId="31">
    <w:name w:val="Body Text First Indent 2"/>
    <w:basedOn w:val="17"/>
    <w:pPr>
      <w:ind w:firstLineChars="200" w:firstLine="200"/>
    </w:pPr>
  </w:style>
  <w:style w:type="character" w:styleId="32">
    <w:name w:val="Strong"/>
    <w:basedOn w:val="10"/>
    <w:rPr>
      <w:rFonts w:cs="Times New Roman"/>
      <w:b/>
    </w:rPr>
  </w:style>
  <w:style w:type="character" w:styleId="33">
    <w:name w:val="Emphasis"/>
    <w:rPr>
      <w:i/>
      <w:iCs/>
    </w:rPr>
  </w:style>
  <w:style w:type="character" w:styleId="34">
    <w:name w:val="Hyperlink"/>
    <w:basedOn w:val="10"/>
    <w:rPr>
      <w:rFonts w:cs="Times New Roman"/>
      <w:color w:val="0000FF"/>
      <w:u w:val="single"/>
    </w:rPr>
  </w:style>
  <w:style w:type="character" w:customStyle="1" w:styleId="35">
    <w:name w:val="正文文本 Char"/>
    <w:rPr>
      <w:rFonts w:ascii="仿宋_GB2312" w:eastAsia="仿宋_GB2312" w:hAnsi="Times New Roman"/>
      <w:sz w:val="24"/>
    </w:rPr>
  </w:style>
  <w:style w:type="character" w:customStyle="1" w:styleId="36">
    <w:name w:val="Footer Char"/>
    <w:rPr>
      <w:rFonts w:ascii="Times New Roman" w:cs="Times New Roman" w:hAnsi="Times New Roman"/>
      <w:sz w:val="18"/>
      <w:szCs w:val="18"/>
    </w:rPr>
  </w:style>
  <w:style w:type="character" w:customStyle="1" w:styleId="37">
    <w:name w:val="Body Text Char"/>
    <w:rPr>
      <w:rFonts w:ascii="Times New Roman" w:cs="Times New Roman" w:hAnsi="Times New Roman"/>
      <w:sz w:val="24"/>
      <w:szCs w:val="24"/>
    </w:rPr>
  </w:style>
  <w:style w:type="character" w:customStyle="1" w:styleId="38">
    <w:name w:val="Header Char"/>
    <w:rPr>
      <w:rFonts w:ascii="Times New Roman" w:cs="Times New Roman" w:hAnsi="Times New Roman"/>
      <w:sz w:val="18"/>
      <w:szCs w:val="18"/>
    </w:rPr>
  </w:style>
  <w:style w:type="paragraph" w:customStyle="1" w:styleId="39">
    <w:name w:val="列出段落1"/>
    <w:basedOn w:val="0"/>
    <w:pPr>
      <w:ind w:firstLineChars="200" w:firstLine="200"/>
    </w:pPr>
  </w:style>
  <w:style w:type="paragraph" w:customStyle="1" w:styleId="40">
    <w:name w:val="TOC Heading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41">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customStyle="1" w:styleId="42">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styleId="43">
    <w:name w:val="No Spacing"/>
    <w:rPr>
      <w:rFonts w:ascii="Calibri" w:eastAsia="宋体" w:cs="Times New Roman" w:hAnsi="Calibri"/>
      <w:sz w:val="22"/>
      <w:szCs w:val="22"/>
      <w:lang w:val="en-US" w:eastAsia="zh-CN" w:bidi="ar-SA"/>
    </w:rPr>
  </w:style>
  <w:style w:type="paragraph" w:customStyle="1" w:styleId="44">
    <w:name w:val="TOC 标题2"/>
    <w:basedOn w:val="1"/>
    <w:next w:val="0"/>
    <w:pPr>
      <w:keepNext/>
      <w:keepLines/>
      <w:widowControl/>
      <w:spacing w:before="240" w:after="0" w:line="259" w:lineRule="auto"/>
      <w:jc w:val="left"/>
      <w:outlineLvl w:val="9"/>
    </w:pPr>
    <w:rPr>
      <w:rFonts w:ascii="等线 Light" w:eastAsia="等线 Light" w:cs="Times New Roman"/>
      <w:b w:val="0"/>
      <w:bCs w:val="0"/>
      <w:color w:val="2E74B5"/>
      <w:kern w:val="0"/>
      <w:sz w:val="32"/>
      <w:szCs w:val="32"/>
    </w:rPr>
  </w:style>
  <w:style w:type="paragraph" w:styleId="45">
    <w:name w:val="List Paragraph"/>
    <w:basedOn w:val="0"/>
    <w:pPr>
      <w:ind w:firstLineChars="200" w:firstLine="200"/>
    </w:pPr>
  </w:style>
  <w:style w:type="paragraph" w:customStyle="1" w:styleId="46">
    <w:name w:val="TOC 标题3"/>
    <w:basedOn w:val="1"/>
    <w:next w:val="0"/>
    <w:pPr>
      <w:keepNext/>
      <w:keepLines/>
      <w:widowControl/>
      <w:spacing w:before="480" w:after="0" w:line="276" w:lineRule="auto"/>
      <w:jc w:val="left"/>
      <w:outlineLvl w:val="9"/>
    </w:pPr>
    <w:rPr>
      <w:rFonts w:ascii="等线 Light" w:eastAsia="等线 Light" w:cs="Times New Roman"/>
      <w:color w:val="2E74B5"/>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2.emf"/><Relationship Id="rId6" Type="http://schemas.openxmlformats.org/officeDocument/2006/relationships/oleObject" Target="embeddings/oleObject1.bin"/><Relationship Id="rId7" Type="http://schemas.openxmlformats.org/officeDocument/2006/relationships/image" Target="media/4.emf"/><Relationship Id="rId8" Type="http://schemas.openxmlformats.org/officeDocument/2006/relationships/oleObject" Target="embeddings/oleObject2.bin"/><Relationship Id="rId9" Type="http://schemas.openxmlformats.org/officeDocument/2006/relationships/image" Target="media/6.emf"/><Relationship Id="rId10" Type="http://schemas.openxmlformats.org/officeDocument/2006/relationships/oleObject" Target="embeddings/oleObject3.bin"/><Relationship Id="rId11" Type="http://schemas.openxmlformats.org/officeDocument/2006/relationships/image" Target="media/8.emf"/><Relationship Id="rId12" Type="http://schemas.openxmlformats.org/officeDocument/2006/relationships/oleObject" Target="embeddings/oleObject4.bin"/><Relationship Id="rId13" Type="http://schemas.openxmlformats.org/officeDocument/2006/relationships/image" Target="media/10.emf"/><Relationship Id="rId14" Type="http://schemas.openxmlformats.org/officeDocument/2006/relationships/oleObject" Target="embeddings/oleObject5.bin"/><Relationship Id="rId15" Type="http://schemas.openxmlformats.org/officeDocument/2006/relationships/image" Target="media/12.emf"/><Relationship Id="rId16" Type="http://schemas.openxmlformats.org/officeDocument/2006/relationships/oleObject" Target="embeddings/oleObject6.bin"/><Relationship Id="rId17" Type="http://schemas.openxmlformats.org/officeDocument/2006/relationships/image" Target="media/14.emf"/><Relationship Id="rId18" Type="http://schemas.openxmlformats.org/officeDocument/2006/relationships/oleObject" Target="embeddings/oleObject7.bin"/><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1 3000 0 1 1 1 1"/>
    <sectPr/>
  </customProps>
</customData>
</file>

<file path=customXml/itemProps1.xml><?xml version="1.0" encoding="utf-8"?>
<ds:datastoreItem xmlns:ds="http://schemas.openxmlformats.org/officeDocument/2006/customXml" ds:itemID="{61545C42-8A09-4240-B7DC-A4700DCFF3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1098</TotalTime>
  <Application>Yozo_Office27021597764231179</Application>
  <Pages>41</Pages>
  <Words>0</Words>
  <Characters>12285</Characters>
  <Lines>0</Lines>
  <Paragraphs>413</Paragraphs>
  <CharactersWithSpaces>16381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20</cp:revision>
  <cp:lastPrinted>2023-09-13T10:34:00Z</cp:lastPrinted>
  <dcterms:created xsi:type="dcterms:W3CDTF">2023-09-12T10:20:00Z</dcterms:created>
  <dcterms:modified xsi:type="dcterms:W3CDTF">2024-09-23T03:17:36Z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2F460456E3CD46379DADEFC5CFBBB961_12</vt:lpwstr>
  </property>
</Properties>
</file>