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jc w:val="center"/>
        <w:rPr>
          <w:rFonts w:eastAsia="方正小标宋_GBK"/>
          <w:color w:val="000000"/>
          <w:sz w:val="44"/>
          <w:szCs w:val="44"/>
        </w:rPr>
      </w:pPr>
      <w:bookmarkStart w:id="0" w:name="Content"/>
      <w:bookmarkEnd w:id="0"/>
      <w:r>
        <w:rPr>
          <w:rFonts w:eastAsia="方正小标宋_GBK" w:hint="eastAsia"/>
          <w:color w:val="000000"/>
          <w:sz w:val="44"/>
          <w:szCs w:val="44"/>
        </w:rPr>
        <w:t>攀枝花市医疗保障局</w:t>
      </w:r>
    </w:p>
    <w:p>
      <w:pPr>
        <w:adjustRightInd w:val="0"/>
        <w:snapToGrid w:val="0"/>
        <w:spacing w:line="700" w:lineRule="exact"/>
        <w:jc w:val="center"/>
        <w:rPr>
          <w:rFonts w:eastAsia="方正小标宋_GBK"/>
          <w:color w:val="000000"/>
          <w:sz w:val="44"/>
          <w:szCs w:val="44"/>
        </w:rPr>
      </w:pPr>
      <w:r>
        <w:rPr>
          <w:rFonts w:eastAsia="方正小标宋_GBK"/>
          <w:color w:val="000000"/>
          <w:sz w:val="44"/>
          <w:szCs w:val="44"/>
        </w:rPr>
        <w:t>2023</w:t>
      </w:r>
      <w:r>
        <w:rPr>
          <w:rFonts w:eastAsia="方正小标宋_GBK" w:hint="eastAsia"/>
          <w:color w:val="000000"/>
          <w:sz w:val="44"/>
          <w:szCs w:val="44"/>
        </w:rPr>
        <w:t>年职工基本医疗保险基金绩效</w:t>
      </w:r>
    </w:p>
    <w:p>
      <w:pPr>
        <w:adjustRightInd w:val="0"/>
        <w:snapToGrid w:val="0"/>
        <w:spacing w:line="700" w:lineRule="exact"/>
        <w:jc w:val="center"/>
        <w:rPr>
          <w:rFonts w:eastAsia="方正小标宋_GBK"/>
          <w:color w:val="000000"/>
          <w:sz w:val="44"/>
          <w:szCs w:val="44"/>
        </w:rPr>
      </w:pPr>
      <w:r>
        <w:rPr>
          <w:rFonts w:eastAsia="方正小标宋_GBK" w:hint="eastAsia"/>
          <w:color w:val="000000"/>
          <w:sz w:val="44"/>
          <w:szCs w:val="44"/>
        </w:rPr>
        <w:t>自评报告</w:t>
      </w:r>
    </w:p>
    <w:p>
      <w:pPr>
        <w:spacing w:line="540" w:lineRule="exact"/>
        <w:ind w:left="0"/>
        <w:rPr>
          <w:rFonts w:eastAsia="仿宋_GB2312"/>
          <w:sz w:val="32"/>
          <w:szCs w:val="32"/>
        </w:rPr>
      </w:pPr>
    </w:p>
    <w:p>
      <w:pPr>
        <w:spacing w:line="540" w:lineRule="exact"/>
        <w:rPr>
          <w:rFonts w:eastAsia="仿宋_GB2312"/>
          <w:sz w:val="32"/>
          <w:szCs w:val="32"/>
        </w:rPr>
      </w:pPr>
      <w:r>
        <w:rPr>
          <w:rFonts w:eastAsia="仿宋_GB2312" w:hint="eastAsia"/>
          <w:sz w:val="32"/>
          <w:szCs w:val="32"/>
        </w:rPr>
        <w:t>省医保局：</w:t>
      </w:r>
    </w:p>
    <w:p>
      <w:pPr>
        <w:spacing w:line="540" w:lineRule="exact"/>
        <w:ind w:firstLineChars="200" w:firstLine="640"/>
        <w:rPr>
          <w:rFonts w:eastAsia="仿宋_GB2312"/>
          <w:sz w:val="32"/>
          <w:szCs w:val="32"/>
        </w:rPr>
      </w:pPr>
      <w:r>
        <w:rPr>
          <w:rFonts w:eastAsia="仿宋_GB2312" w:hint="eastAsia"/>
          <w:sz w:val="32"/>
          <w:szCs w:val="32"/>
        </w:rPr>
        <w:t>根据《四川省医疗保障局关于做好</w:t>
      </w:r>
      <w:r>
        <w:rPr>
          <w:rFonts w:eastAsia="仿宋_GB2312"/>
          <w:sz w:val="32"/>
          <w:szCs w:val="32"/>
        </w:rPr>
        <w:t>2023</w:t>
      </w:r>
      <w:r>
        <w:rPr>
          <w:rFonts w:eastAsia="仿宋_GB2312" w:hint="eastAsia"/>
          <w:sz w:val="32"/>
          <w:szCs w:val="32"/>
        </w:rPr>
        <w:t>年度基本医疗保险基金预算绩效评价的通知》要求，现将攀枝花市</w:t>
      </w:r>
      <w:r>
        <w:rPr>
          <w:rFonts w:eastAsia="仿宋_GB2312"/>
          <w:sz w:val="32"/>
          <w:szCs w:val="32"/>
        </w:rPr>
        <w:t>2023</w:t>
      </w:r>
      <w:r>
        <w:rPr>
          <w:rFonts w:eastAsia="仿宋_GB2312" w:hint="eastAsia"/>
          <w:sz w:val="32"/>
          <w:szCs w:val="32"/>
        </w:rPr>
        <w:t>年基本医疗保险基金绩效自评有关情况报告如下。</w:t>
      </w:r>
    </w:p>
    <w:p>
      <w:pPr>
        <w:spacing w:line="540" w:lineRule="exact"/>
        <w:ind w:firstLineChars="200" w:firstLine="640"/>
        <w:rPr>
          <w:rFonts w:eastAsia="黑体"/>
          <w:sz w:val="32"/>
          <w:szCs w:val="32"/>
        </w:rPr>
      </w:pPr>
      <w:r>
        <w:rPr>
          <w:rFonts w:eastAsia="黑体" w:hint="eastAsia"/>
          <w:sz w:val="32"/>
          <w:szCs w:val="32"/>
        </w:rPr>
        <w:t>一、预算绩效管理概况</w:t>
      </w:r>
    </w:p>
    <w:p>
      <w:pPr>
        <w:spacing w:line="540" w:lineRule="exact"/>
        <w:ind w:firstLineChars="200" w:firstLine="640"/>
        <w:rPr>
          <w:rFonts w:eastAsia="楷体"/>
          <w:sz w:val="32"/>
          <w:szCs w:val="32"/>
        </w:rPr>
      </w:pPr>
      <w:r>
        <w:rPr>
          <w:rFonts w:eastAsia="楷体" w:hint="eastAsia"/>
          <w:sz w:val="32"/>
          <w:szCs w:val="32"/>
        </w:rPr>
        <w:t>（一）基金预算管理基本情况。</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年，我市严格按照《中华人民共和国社会保险法》《中华人民共和国预算法》和《四川省社会保险基金预算绩效管理实施办法》编制基金预算，医疗保险基金运行总体稳定。按基金预算严格落实</w:t>
      </w:r>
      <w:r>
        <w:rPr>
          <w:rFonts w:eastAsia="仿宋_GB2312"/>
          <w:sz w:val="32"/>
          <w:szCs w:val="32"/>
        </w:rPr>
        <w:t>DRG</w:t>
      </w:r>
      <w:r>
        <w:rPr>
          <w:rFonts w:eastAsia="仿宋_GB2312" w:hint="eastAsia"/>
          <w:sz w:val="32"/>
          <w:szCs w:val="32"/>
        </w:rPr>
        <w:t>总额控制付费办法，不断完善公平适度的待遇保障机制，以“零容忍”态度严厉打击欺诈骗保，切实抓好药械集中带量采购和医药服务改革，进一步打造便捷高效的医保经办管理服务体系。</w:t>
      </w:r>
    </w:p>
    <w:p>
      <w:pPr>
        <w:spacing w:line="540" w:lineRule="exact"/>
        <w:ind w:firstLineChars="200" w:firstLine="640"/>
        <w:rPr>
          <w:rFonts w:eastAsia="楷体"/>
          <w:sz w:val="32"/>
          <w:szCs w:val="32"/>
        </w:rPr>
      </w:pPr>
      <w:r>
        <w:rPr>
          <w:rFonts w:eastAsia="楷体" w:hint="eastAsia"/>
          <w:sz w:val="32"/>
          <w:szCs w:val="32"/>
        </w:rPr>
        <w:t>（二）基本医疗保险基金预算绩效目标。</w:t>
      </w:r>
    </w:p>
    <w:p>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年度总体目标。</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年职工基本医疗保险总体目标为健全以基本医疗保障为主体、</w:t>
      </w:r>
      <w:r>
        <w:rPr>
          <w:rFonts w:eastAsia="仿宋_GB2312"/>
          <w:sz w:val="32"/>
          <w:szCs w:val="32"/>
        </w:rPr>
        <w:t>其他</w:t>
      </w:r>
      <w:r>
        <w:rPr>
          <w:rFonts w:eastAsia="仿宋_GB2312" w:hint="eastAsia"/>
          <w:sz w:val="32"/>
          <w:szCs w:val="32"/>
        </w:rPr>
        <w:t>多种形式补充保险和商业健康保险为补充的多层次医疗保障体系，稳定我市职工医保参保人数、稳步提高医疗保障水平、确保职工医保基金收支平衡。</w:t>
      </w:r>
    </w:p>
    <w:p>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具体绩效指标。</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年职工医保基金绩效具体目标为：</w:t>
      </w:r>
      <w:r>
        <w:rPr>
          <w:rFonts w:ascii="宋体" w:cs="宋体" w:hAnsi="宋体" w:hint="eastAsia"/>
          <w:sz w:val="32"/>
          <w:szCs w:val="32"/>
        </w:rPr>
        <w:t>①</w:t>
      </w:r>
      <w:r>
        <w:rPr>
          <w:rFonts w:eastAsia="仿宋_GB2312" w:hint="eastAsia"/>
          <w:sz w:val="32"/>
          <w:szCs w:val="32"/>
        </w:rPr>
        <w:t>全市职工医保稳定参保人数</w:t>
      </w:r>
      <w:r>
        <w:rPr>
          <w:rFonts w:eastAsia="仿宋_GB2312"/>
          <w:sz w:val="32"/>
          <w:szCs w:val="32"/>
        </w:rPr>
        <w:t>43.06</w:t>
      </w:r>
      <w:r>
        <w:rPr>
          <w:rFonts w:eastAsia="仿宋_GB2312" w:hint="eastAsia"/>
          <w:sz w:val="32"/>
          <w:szCs w:val="32"/>
        </w:rPr>
        <w:t>万人，参保缴费人数基本稳定；</w:t>
      </w:r>
      <w:r>
        <w:rPr>
          <w:rFonts w:ascii="宋体" w:cs="宋体" w:hAnsi="宋体" w:hint="eastAsia"/>
          <w:sz w:val="32"/>
          <w:szCs w:val="32"/>
        </w:rPr>
        <w:t>②</w:t>
      </w:r>
      <w:r>
        <w:rPr>
          <w:rFonts w:eastAsia="仿宋_GB2312" w:hint="eastAsia"/>
          <w:sz w:val="32"/>
          <w:szCs w:val="32"/>
        </w:rPr>
        <w:t>参保人政策范围内住院费用报销比例≥保人政；</w:t>
      </w:r>
      <w:r>
        <w:rPr>
          <w:rFonts w:ascii="宋体" w:cs="宋体" w:hAnsi="宋体" w:hint="eastAsia"/>
          <w:sz w:val="32"/>
          <w:szCs w:val="32"/>
        </w:rPr>
        <w:t>③</w:t>
      </w:r>
      <w:r>
        <w:rPr>
          <w:rFonts w:eastAsia="仿宋_GB2312" w:hint="eastAsia"/>
          <w:sz w:val="32"/>
          <w:szCs w:val="32"/>
        </w:rPr>
        <w:t>完善按人头付费、单病种付费和总额预付相结合的多种复合式付费方式</w:t>
      </w:r>
      <w:r>
        <w:rPr>
          <w:rFonts w:eastAsia="仿宋_GB2312"/>
          <w:sz w:val="32"/>
          <w:szCs w:val="32"/>
        </w:rPr>
        <w:t>,</w:t>
      </w:r>
      <w:r>
        <w:rPr>
          <w:rFonts w:eastAsia="仿宋_GB2312" w:hint="eastAsia"/>
          <w:sz w:val="32"/>
          <w:szCs w:val="32"/>
        </w:rPr>
        <w:t>占住院费用的比例为</w:t>
      </w:r>
      <w:r>
        <w:rPr>
          <w:rFonts w:eastAsia="仿宋_GB2312"/>
          <w:sz w:val="32"/>
          <w:szCs w:val="32"/>
        </w:rPr>
        <w:t>96%</w:t>
      </w:r>
      <w:r>
        <w:rPr>
          <w:rFonts w:eastAsia="仿宋_GB2312" w:hint="eastAsia"/>
          <w:sz w:val="32"/>
          <w:szCs w:val="32"/>
        </w:rPr>
        <w:t>。统筹基金当期结余为</w:t>
      </w:r>
      <w:r>
        <w:rPr>
          <w:rFonts w:eastAsia="仿宋_GB2312"/>
          <w:sz w:val="32"/>
          <w:szCs w:val="32"/>
        </w:rPr>
        <w:t>18,806.55</w:t>
      </w:r>
      <w:r>
        <w:rPr>
          <w:rFonts w:eastAsia="仿宋_GB2312" w:hint="eastAsia"/>
          <w:sz w:val="32"/>
          <w:szCs w:val="32"/>
        </w:rPr>
        <w:t>万元，基金支撑能力逐渐提高，统筹基金滚存结余可支付月数</w:t>
      </w:r>
      <w:r>
        <w:rPr>
          <w:rFonts w:eastAsia="仿宋_GB2312"/>
          <w:sz w:val="32"/>
          <w:szCs w:val="32"/>
        </w:rPr>
        <w:t>4.45</w:t>
      </w:r>
      <w:r>
        <w:rPr>
          <w:rFonts w:eastAsia="仿宋_GB2312" w:hint="eastAsia"/>
          <w:sz w:val="32"/>
          <w:szCs w:val="32"/>
        </w:rPr>
        <w:t>个月。</w:t>
      </w:r>
      <w:r>
        <w:rPr>
          <w:rFonts w:ascii="宋体" w:cs="宋体" w:hAnsi="宋体" w:hint="eastAsia"/>
          <w:sz w:val="32"/>
          <w:szCs w:val="32"/>
        </w:rPr>
        <w:t>④</w:t>
      </w:r>
      <w:r>
        <w:rPr>
          <w:rFonts w:eastAsia="仿宋_GB2312" w:hint="eastAsia"/>
          <w:sz w:val="32"/>
          <w:szCs w:val="32"/>
        </w:rPr>
        <w:t>基金征缴率≥金征缴，缴费费率不变的情况下缴费基数稳步增长，当年保费应收尽收；</w:t>
      </w:r>
      <w:r>
        <w:rPr>
          <w:rFonts w:ascii="宋体" w:cs="宋体" w:hAnsi="宋体" w:hint="eastAsia"/>
          <w:sz w:val="32"/>
          <w:szCs w:val="32"/>
        </w:rPr>
        <w:t>⑤</w:t>
      </w:r>
      <w:r>
        <w:rPr>
          <w:rFonts w:eastAsia="仿宋_GB2312" w:hint="eastAsia"/>
          <w:sz w:val="32"/>
          <w:szCs w:val="32"/>
        </w:rPr>
        <w:t>医保定点医药机构数量相对稳定，扎实推行便民利民举措</w:t>
      </w:r>
      <w:r>
        <w:rPr>
          <w:rFonts w:eastAsia="仿宋_GB2312"/>
          <w:sz w:val="32"/>
          <w:szCs w:val="32"/>
        </w:rPr>
        <w:t>,</w:t>
      </w:r>
      <w:r>
        <w:rPr>
          <w:rFonts w:eastAsia="仿宋_GB2312" w:hint="eastAsia"/>
          <w:sz w:val="32"/>
          <w:szCs w:val="32"/>
        </w:rPr>
        <w:t>不断提高参保群众幸福感、获得感。</w:t>
      </w:r>
      <w:r>
        <w:rPr>
          <w:rFonts w:ascii="宋体" w:cs="宋体" w:hAnsi="宋体" w:hint="eastAsia"/>
          <w:sz w:val="32"/>
          <w:szCs w:val="32"/>
        </w:rPr>
        <w:t>⑥</w:t>
      </w:r>
      <w:r>
        <w:rPr>
          <w:rFonts w:eastAsia="仿宋_GB2312" w:hint="eastAsia"/>
          <w:sz w:val="32"/>
          <w:szCs w:val="32"/>
        </w:rPr>
        <w:t>不断加强基金监管</w:t>
      </w:r>
      <w:r>
        <w:rPr>
          <w:rFonts w:eastAsia="仿宋_GB2312"/>
          <w:sz w:val="32"/>
          <w:szCs w:val="32"/>
        </w:rPr>
        <w:t>,</w:t>
      </w:r>
      <w:r>
        <w:rPr>
          <w:rFonts w:eastAsia="仿宋_GB2312" w:hint="eastAsia"/>
          <w:sz w:val="32"/>
          <w:szCs w:val="32"/>
        </w:rPr>
        <w:t>守住医保基金安全底线，减轻医疗保险基金支付压力，参保人员住院率控制在一定比例内。</w:t>
      </w:r>
    </w:p>
    <w:p>
      <w:pPr>
        <w:spacing w:line="540" w:lineRule="exact"/>
        <w:ind w:firstLineChars="200" w:firstLine="640"/>
        <w:rPr>
          <w:rFonts w:eastAsia="黑体"/>
          <w:sz w:val="32"/>
          <w:szCs w:val="32"/>
        </w:rPr>
      </w:pPr>
      <w:r>
        <w:rPr>
          <w:rFonts w:eastAsia="黑体" w:hint="eastAsia"/>
          <w:sz w:val="32"/>
          <w:szCs w:val="32"/>
        </w:rPr>
        <w:t>二、预算编制及执行情况</w:t>
      </w:r>
    </w:p>
    <w:p>
      <w:pPr>
        <w:spacing w:line="540" w:lineRule="exact"/>
        <w:ind w:firstLineChars="200" w:firstLine="640"/>
        <w:rPr>
          <w:rFonts w:eastAsia="楷体"/>
          <w:sz w:val="32"/>
          <w:szCs w:val="32"/>
        </w:rPr>
      </w:pPr>
      <w:r>
        <w:rPr>
          <w:rFonts w:eastAsia="楷体" w:hint="eastAsia"/>
          <w:sz w:val="32"/>
          <w:szCs w:val="32"/>
        </w:rPr>
        <w:t>（一）预算编制情况。</w:t>
      </w:r>
    </w:p>
    <w:p>
      <w:pPr>
        <w:spacing w:line="540" w:lineRule="exact"/>
        <w:ind w:firstLineChars="200" w:firstLine="640"/>
        <w:rPr>
          <w:rFonts w:eastAsia="仿宋_GB2312"/>
          <w:sz w:val="32"/>
          <w:szCs w:val="32"/>
        </w:rPr>
      </w:pPr>
      <w:r>
        <w:rPr>
          <w:rFonts w:eastAsia="仿宋_GB2312" w:hint="eastAsia"/>
          <w:sz w:val="32"/>
          <w:szCs w:val="32"/>
        </w:rPr>
        <w:t>根据《中华人民共和国预算法》《四川省社会保险基金预算绩效管理实施办法》要求，结合</w:t>
      </w:r>
      <w:r>
        <w:rPr>
          <w:rFonts w:eastAsia="仿宋_GB2312"/>
          <w:sz w:val="32"/>
          <w:szCs w:val="32"/>
        </w:rPr>
        <w:t>2022</w:t>
      </w:r>
      <w:r>
        <w:rPr>
          <w:rFonts w:eastAsia="仿宋_GB2312" w:hint="eastAsia"/>
          <w:sz w:val="32"/>
          <w:szCs w:val="32"/>
        </w:rPr>
        <w:t>年我市基本医疗保险基金运行情况，社会经济发展、人口发展情况，合理编制</w:t>
      </w:r>
      <w:r>
        <w:rPr>
          <w:rFonts w:eastAsia="仿宋_GB2312"/>
          <w:sz w:val="32"/>
          <w:szCs w:val="32"/>
        </w:rPr>
        <w:t>2023</w:t>
      </w:r>
      <w:r>
        <w:rPr>
          <w:rFonts w:eastAsia="仿宋_GB2312" w:hint="eastAsia"/>
          <w:sz w:val="32"/>
          <w:szCs w:val="32"/>
        </w:rPr>
        <w:t>年基本医疗保险基金预算。</w:t>
      </w:r>
      <w:r>
        <w:rPr>
          <w:rFonts w:eastAsia="仿宋_GB2312"/>
          <w:sz w:val="32"/>
          <w:szCs w:val="32"/>
        </w:rPr>
        <w:t>2023</w:t>
      </w:r>
      <w:r>
        <w:rPr>
          <w:rFonts w:eastAsia="仿宋_GB2312" w:hint="eastAsia"/>
          <w:sz w:val="32"/>
          <w:szCs w:val="32"/>
        </w:rPr>
        <w:t>年职工基本医疗保险收入预算为</w:t>
      </w:r>
      <w:r>
        <w:rPr>
          <w:rFonts w:eastAsia="仿宋_GB2312"/>
          <w:sz w:val="32"/>
          <w:szCs w:val="32"/>
        </w:rPr>
        <w:t>240,705.21</w:t>
      </w:r>
      <w:r>
        <w:rPr>
          <w:rFonts w:eastAsia="仿宋_GB2312" w:hint="eastAsia"/>
          <w:sz w:val="32"/>
          <w:szCs w:val="32"/>
        </w:rPr>
        <w:t>万元，支出预算为</w:t>
      </w:r>
      <w:r>
        <w:rPr>
          <w:rFonts w:eastAsia="仿宋_GB2312"/>
          <w:sz w:val="32"/>
          <w:szCs w:val="32"/>
        </w:rPr>
        <w:t>207,611.34</w:t>
      </w:r>
      <w:r>
        <w:rPr>
          <w:rFonts w:eastAsia="仿宋_GB2312" w:hint="eastAsia"/>
          <w:sz w:val="32"/>
          <w:szCs w:val="32"/>
        </w:rPr>
        <w:t>万元，预算当期结余为</w:t>
      </w:r>
      <w:r>
        <w:rPr>
          <w:rFonts w:eastAsia="仿宋_GB2312"/>
          <w:sz w:val="32"/>
          <w:szCs w:val="32"/>
        </w:rPr>
        <w:t>33,093.87</w:t>
      </w:r>
      <w:r>
        <w:rPr>
          <w:rFonts w:eastAsia="仿宋_GB2312" w:hint="eastAsia"/>
          <w:sz w:val="32"/>
          <w:szCs w:val="32"/>
        </w:rPr>
        <w:t>万元，累计结余为</w:t>
      </w:r>
      <w:r>
        <w:rPr>
          <w:rFonts w:eastAsia="仿宋_GB2312"/>
          <w:sz w:val="32"/>
          <w:szCs w:val="32"/>
        </w:rPr>
        <w:t>204,377.33</w:t>
      </w:r>
      <w:r>
        <w:rPr>
          <w:rFonts w:eastAsia="仿宋_GB2312" w:hint="eastAsia"/>
          <w:sz w:val="32"/>
          <w:szCs w:val="32"/>
        </w:rPr>
        <w:t>万元。</w:t>
      </w:r>
    </w:p>
    <w:p>
      <w:pPr>
        <w:spacing w:line="540" w:lineRule="exact"/>
        <w:ind w:firstLineChars="200" w:firstLine="640"/>
        <w:rPr>
          <w:rFonts w:eastAsia="楷体"/>
          <w:sz w:val="32"/>
          <w:szCs w:val="32"/>
        </w:rPr>
      </w:pPr>
      <w:r>
        <w:rPr>
          <w:rFonts w:eastAsia="楷体" w:hint="eastAsia"/>
          <w:sz w:val="32"/>
          <w:szCs w:val="32"/>
        </w:rPr>
        <w:t>（二）预算执行情况。</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年度，我市职工医保参保人数</w:t>
      </w:r>
      <w:r>
        <w:rPr>
          <w:rFonts w:eastAsia="仿宋_GB2312"/>
          <w:sz w:val="32"/>
          <w:szCs w:val="32"/>
        </w:rPr>
        <w:t>42.79</w:t>
      </w:r>
      <w:r>
        <w:rPr>
          <w:rFonts w:eastAsia="仿宋_GB2312" w:hint="eastAsia"/>
          <w:sz w:val="32"/>
          <w:szCs w:val="32"/>
        </w:rPr>
        <w:t>万人（其中在职职工</w:t>
      </w:r>
      <w:r>
        <w:rPr>
          <w:rFonts w:eastAsia="仿宋_GB2312"/>
          <w:sz w:val="32"/>
          <w:szCs w:val="32"/>
        </w:rPr>
        <w:t>22.52</w:t>
      </w:r>
      <w:r>
        <w:rPr>
          <w:rFonts w:eastAsia="仿宋_GB2312" w:hint="eastAsia"/>
          <w:sz w:val="32"/>
          <w:szCs w:val="32"/>
        </w:rPr>
        <w:t>万人，退休职工</w:t>
      </w:r>
      <w:r>
        <w:rPr>
          <w:rFonts w:eastAsia="仿宋_GB2312"/>
          <w:sz w:val="32"/>
          <w:szCs w:val="32"/>
        </w:rPr>
        <w:t>20.27</w:t>
      </w:r>
      <w:r>
        <w:rPr>
          <w:rFonts w:eastAsia="仿宋_GB2312" w:hint="eastAsia"/>
          <w:sz w:val="32"/>
          <w:szCs w:val="32"/>
        </w:rPr>
        <w:t>万人，供养比为</w:t>
      </w:r>
      <w:r>
        <w:rPr>
          <w:rFonts w:eastAsia="仿宋_GB2312"/>
          <w:sz w:val="32"/>
          <w:szCs w:val="32"/>
        </w:rPr>
        <w:t>1.11</w:t>
      </w: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sz w:val="32"/>
          <w:szCs w:val="32"/>
        </w:rPr>
        <w:t>2023</w:t>
      </w:r>
      <w:r>
        <w:rPr>
          <w:rFonts w:eastAsia="仿宋_GB2312" w:hint="eastAsia"/>
          <w:sz w:val="32"/>
          <w:szCs w:val="32"/>
        </w:rPr>
        <w:t>年预算数</w:t>
      </w:r>
      <w:r>
        <w:rPr>
          <w:rFonts w:eastAsia="仿宋_GB2312"/>
          <w:sz w:val="32"/>
          <w:szCs w:val="32"/>
        </w:rPr>
        <w:t>43.06</w:t>
      </w:r>
      <w:r>
        <w:rPr>
          <w:rFonts w:eastAsia="仿宋_GB2312" w:hint="eastAsia"/>
          <w:sz w:val="32"/>
          <w:szCs w:val="32"/>
        </w:rPr>
        <w:t>万人，完成预算的</w:t>
      </w:r>
      <w:r>
        <w:rPr>
          <w:rFonts w:eastAsia="仿宋_GB2312"/>
          <w:sz w:val="32"/>
          <w:szCs w:val="32"/>
        </w:rPr>
        <w:t>99.37%</w:t>
      </w:r>
      <w:r>
        <w:rPr>
          <w:rFonts w:eastAsia="仿宋_GB2312" w:hint="eastAsia"/>
          <w:sz w:val="32"/>
          <w:szCs w:val="32"/>
        </w:rPr>
        <w:t>。全市职工医保基金总收入</w:t>
      </w:r>
      <w:r>
        <w:rPr>
          <w:rFonts w:eastAsia="仿宋_GB2312"/>
          <w:sz w:val="32"/>
          <w:szCs w:val="32"/>
        </w:rPr>
        <w:t>245,774.82</w:t>
      </w:r>
      <w:r>
        <w:rPr>
          <w:rFonts w:eastAsia="仿宋_GB2312" w:hint="eastAsia"/>
          <w:sz w:val="32"/>
          <w:szCs w:val="32"/>
        </w:rPr>
        <w:t>万元，完成预算的</w:t>
      </w:r>
      <w:r>
        <w:rPr>
          <w:rFonts w:eastAsia="仿宋_GB2312"/>
          <w:sz w:val="32"/>
          <w:szCs w:val="32"/>
        </w:rPr>
        <w:t>102.11%</w:t>
      </w:r>
      <w:r>
        <w:rPr>
          <w:rFonts w:eastAsia="仿宋_GB2312" w:hint="eastAsia"/>
          <w:sz w:val="32"/>
          <w:szCs w:val="32"/>
        </w:rPr>
        <w:t>，统筹基金收入</w:t>
      </w:r>
      <w:r>
        <w:rPr>
          <w:rFonts w:eastAsia="仿宋_GB2312"/>
          <w:sz w:val="32"/>
          <w:szCs w:val="32"/>
        </w:rPr>
        <w:t>153,129.63</w:t>
      </w:r>
      <w:r>
        <w:rPr>
          <w:rFonts w:eastAsia="仿宋_GB2312" w:hint="eastAsia"/>
          <w:sz w:val="32"/>
          <w:szCs w:val="32"/>
        </w:rPr>
        <w:t>万元，完成预算的</w:t>
      </w:r>
      <w:r>
        <w:rPr>
          <w:rFonts w:eastAsia="仿宋_GB2312"/>
          <w:sz w:val="32"/>
          <w:szCs w:val="32"/>
        </w:rPr>
        <w:t>101.05%</w:t>
      </w:r>
      <w:r>
        <w:rPr>
          <w:rFonts w:eastAsia="仿宋_GB2312" w:hint="eastAsia"/>
          <w:sz w:val="32"/>
          <w:szCs w:val="32"/>
        </w:rPr>
        <w:t>，个人账户收入</w:t>
      </w:r>
      <w:r>
        <w:rPr>
          <w:rFonts w:eastAsia="仿宋_GB2312"/>
          <w:sz w:val="32"/>
          <w:szCs w:val="32"/>
        </w:rPr>
        <w:t>92,645.19</w:t>
      </w:r>
      <w:r>
        <w:rPr>
          <w:rFonts w:eastAsia="仿宋_GB2312" w:hint="eastAsia"/>
          <w:sz w:val="32"/>
          <w:szCs w:val="32"/>
        </w:rPr>
        <w:t>万元，完成预算的</w:t>
      </w:r>
      <w:r>
        <w:rPr>
          <w:rFonts w:eastAsia="仿宋_GB2312"/>
          <w:sz w:val="32"/>
          <w:szCs w:val="32"/>
        </w:rPr>
        <w:t>103.90%</w:t>
      </w:r>
      <w:r>
        <w:rPr>
          <w:rFonts w:eastAsia="仿宋_GB2312" w:hint="eastAsia"/>
          <w:sz w:val="32"/>
          <w:szCs w:val="32"/>
        </w:rPr>
        <w:t>。总体来看，基金收入预算执行在正常范围内。截至</w:t>
      </w:r>
      <w:r>
        <w:rPr>
          <w:rFonts w:eastAsia="仿宋_GB2312"/>
          <w:sz w:val="32"/>
          <w:szCs w:val="32"/>
        </w:rPr>
        <w:t>2023</w:t>
      </w:r>
      <w:r>
        <w:rPr>
          <w:rFonts w:eastAsia="仿宋_GB2312" w:hint="eastAsia"/>
          <w:sz w:val="32"/>
          <w:szCs w:val="32"/>
        </w:rPr>
        <w:t>年末，全市职工医保基金总支出</w:t>
      </w:r>
      <w:r>
        <w:rPr>
          <w:rFonts w:eastAsia="仿宋_GB2312"/>
          <w:sz w:val="32"/>
          <w:szCs w:val="32"/>
        </w:rPr>
        <w:t>207,319.01</w:t>
      </w:r>
      <w:r>
        <w:rPr>
          <w:rFonts w:eastAsia="仿宋_GB2312" w:hint="eastAsia"/>
          <w:sz w:val="32"/>
          <w:szCs w:val="32"/>
        </w:rPr>
        <w:t>万元，完成预算的</w:t>
      </w:r>
      <w:r>
        <w:rPr>
          <w:rFonts w:eastAsia="仿宋_GB2312"/>
          <w:sz w:val="32"/>
          <w:szCs w:val="32"/>
        </w:rPr>
        <w:t>99.86%</w:t>
      </w:r>
      <w:r>
        <w:rPr>
          <w:rFonts w:eastAsia="仿宋_GB2312" w:hint="eastAsia"/>
          <w:sz w:val="32"/>
          <w:szCs w:val="32"/>
        </w:rPr>
        <w:t>，统筹基金支出</w:t>
      </w:r>
      <w:r>
        <w:rPr>
          <w:rFonts w:eastAsia="仿宋_GB2312"/>
          <w:sz w:val="32"/>
          <w:szCs w:val="32"/>
        </w:rPr>
        <w:t>134,323.08</w:t>
      </w:r>
      <w:r>
        <w:rPr>
          <w:rFonts w:eastAsia="仿宋_GB2312" w:hint="eastAsia"/>
          <w:sz w:val="32"/>
          <w:szCs w:val="32"/>
        </w:rPr>
        <w:t>万元，完成预算的</w:t>
      </w:r>
      <w:r>
        <w:rPr>
          <w:rFonts w:eastAsia="仿宋_GB2312"/>
          <w:sz w:val="32"/>
          <w:szCs w:val="32"/>
        </w:rPr>
        <w:t>98.60%</w:t>
      </w:r>
      <w:r>
        <w:rPr>
          <w:rFonts w:eastAsia="仿宋_GB2312" w:hint="eastAsia"/>
          <w:sz w:val="32"/>
          <w:szCs w:val="32"/>
        </w:rPr>
        <w:t>，个人账户基金支出</w:t>
      </w:r>
      <w:r>
        <w:rPr>
          <w:rFonts w:eastAsia="仿宋_GB2312"/>
          <w:sz w:val="32"/>
          <w:szCs w:val="32"/>
        </w:rPr>
        <w:t>72,995.93</w:t>
      </w:r>
      <w:r>
        <w:rPr>
          <w:rFonts w:eastAsia="仿宋_GB2312" w:hint="eastAsia"/>
          <w:sz w:val="32"/>
          <w:szCs w:val="32"/>
        </w:rPr>
        <w:t>万元，完成预算的</w:t>
      </w:r>
      <w:r>
        <w:rPr>
          <w:rFonts w:eastAsia="仿宋_GB2312"/>
          <w:sz w:val="32"/>
          <w:szCs w:val="32"/>
        </w:rPr>
        <w:t>102.26%</w:t>
      </w:r>
      <w:r>
        <w:rPr>
          <w:rFonts w:eastAsia="仿宋_GB2312" w:hint="eastAsia"/>
          <w:sz w:val="32"/>
          <w:szCs w:val="32"/>
        </w:rPr>
        <w:t>。总体来看，基金支出预算执行进度在正常范围内。</w:t>
      </w:r>
    </w:p>
    <w:p>
      <w:pPr>
        <w:spacing w:line="540" w:lineRule="exact"/>
        <w:ind w:firstLineChars="200" w:firstLine="640"/>
        <w:rPr>
          <w:rFonts w:eastAsia="楷体"/>
          <w:sz w:val="32"/>
          <w:szCs w:val="32"/>
        </w:rPr>
      </w:pPr>
      <w:r>
        <w:rPr>
          <w:rFonts w:eastAsia="楷体" w:hint="eastAsia"/>
          <w:sz w:val="32"/>
          <w:szCs w:val="32"/>
        </w:rPr>
        <w:t>（三）基金财务管理情况。</w:t>
      </w:r>
    </w:p>
    <w:p>
      <w:pPr>
        <w:spacing w:line="540" w:lineRule="exact"/>
        <w:ind w:firstLineChars="200" w:firstLine="640"/>
        <w:rPr>
          <w:rFonts w:eastAsia="仿宋_GB2312"/>
          <w:sz w:val="32"/>
          <w:szCs w:val="32"/>
        </w:rPr>
      </w:pPr>
      <w:r>
        <w:rPr>
          <w:rFonts w:eastAsia="仿宋_GB2312" w:hint="eastAsia"/>
          <w:sz w:val="32"/>
          <w:szCs w:val="32"/>
        </w:rPr>
        <w:t>为建立健全基金财务管理体系，我市先后印发了《攀枝花市基本医疗保险基金管理内部控制制度（试行）》《攀枝花市医疗保险基金统收统支财务经办规程》，设立三级审核机制，确保不相容岗位分离，实现无纸化支付，建立财务—业务—财政—税务四方对账机制，不断提高经办效率，确保医保基金安全完整。</w:t>
      </w:r>
    </w:p>
    <w:p>
      <w:pPr>
        <w:spacing w:line="540" w:lineRule="exact"/>
        <w:ind w:firstLineChars="200" w:firstLine="640"/>
        <w:rPr>
          <w:rFonts w:eastAsia="黑体"/>
          <w:sz w:val="32"/>
          <w:szCs w:val="32"/>
        </w:rPr>
      </w:pPr>
      <w:r>
        <w:rPr>
          <w:rFonts w:eastAsia="黑体" w:hint="eastAsia"/>
          <w:sz w:val="32"/>
          <w:szCs w:val="32"/>
        </w:rPr>
        <w:t>三、基金预算实施及管理情况</w:t>
      </w:r>
    </w:p>
    <w:p>
      <w:pPr>
        <w:spacing w:line="540" w:lineRule="exact"/>
        <w:ind w:firstLineChars="200" w:firstLine="640"/>
        <w:rPr>
          <w:rFonts w:eastAsia="仿宋_GB2312"/>
          <w:sz w:val="32"/>
          <w:szCs w:val="32"/>
        </w:rPr>
      </w:pPr>
      <w:r>
        <w:rPr>
          <w:rFonts w:eastAsia="仿宋_GB2312" w:hint="eastAsia"/>
          <w:sz w:val="32"/>
          <w:szCs w:val="32"/>
        </w:rPr>
        <w:t>基本医疗保险基金预算实施及管理已融入到全市医保工作中，组织税务、医保业务骨干集体审编基本医疗保险基金预算报表是我市的一项常态化工作。</w:t>
      </w:r>
      <w:r>
        <w:rPr>
          <w:rFonts w:eastAsia="仿宋_GB2312" w:hint="eastAsia"/>
          <w:b/>
          <w:sz w:val="32"/>
          <w:szCs w:val="32"/>
        </w:rPr>
        <w:t>一是</w:t>
      </w:r>
      <w:r>
        <w:rPr>
          <w:rFonts w:eastAsia="仿宋_GB2312" w:hint="eastAsia"/>
          <w:sz w:val="32"/>
          <w:szCs w:val="32"/>
        </w:rPr>
        <w:t>从业务、财务、信息数据等方面反复论证职工普通门诊共济医保待遇政策对我市参保人员的待遇影响因素，精准测算待遇保障水平。我市职工门诊共济保障政策从</w:t>
      </w:r>
      <w:r>
        <w:rPr>
          <w:rFonts w:eastAsia="仿宋_GB2312"/>
          <w:sz w:val="32"/>
          <w:szCs w:val="32"/>
        </w:rPr>
        <w:t>2023</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w:t>
      </w:r>
      <w:r>
        <w:rPr>
          <w:rFonts w:eastAsia="仿宋_GB2312" w:hint="eastAsia"/>
          <w:sz w:val="32"/>
          <w:szCs w:val="32"/>
        </w:rPr>
        <w:t>日正式实施，截至</w:t>
      </w:r>
      <w:r>
        <w:rPr>
          <w:rFonts w:eastAsia="仿宋_GB2312"/>
          <w:sz w:val="32"/>
          <w:szCs w:val="32"/>
        </w:rPr>
        <w:t>2023</w:t>
      </w:r>
      <w:r>
        <w:rPr>
          <w:rFonts w:eastAsia="仿宋_GB2312" w:hint="eastAsia"/>
          <w:sz w:val="32"/>
          <w:szCs w:val="32"/>
        </w:rPr>
        <w:t>年年末，职工门诊共济保障待遇共</w:t>
      </w:r>
      <w:r>
        <w:rPr>
          <w:rFonts w:eastAsia="仿宋_GB2312"/>
          <w:sz w:val="32"/>
          <w:szCs w:val="32"/>
        </w:rPr>
        <w:t>1,851,145</w:t>
      </w:r>
      <w:r>
        <w:rPr>
          <w:rFonts w:eastAsia="仿宋_GB2312" w:hint="eastAsia"/>
          <w:sz w:val="32"/>
          <w:szCs w:val="32"/>
        </w:rPr>
        <w:t>人次，共计</w:t>
      </w:r>
      <w:r>
        <w:rPr>
          <w:rFonts w:eastAsia="仿宋_GB2312"/>
          <w:sz w:val="32"/>
          <w:szCs w:val="32"/>
        </w:rPr>
        <w:t>248,528</w:t>
      </w:r>
      <w:r>
        <w:rPr>
          <w:rFonts w:eastAsia="仿宋_GB2312" w:hint="eastAsia"/>
          <w:sz w:val="32"/>
          <w:szCs w:val="32"/>
        </w:rPr>
        <w:t>人，其中退休</w:t>
      </w:r>
      <w:r>
        <w:rPr>
          <w:rFonts w:eastAsia="仿宋_GB2312"/>
          <w:sz w:val="32"/>
          <w:szCs w:val="32"/>
        </w:rPr>
        <w:t>130,733</w:t>
      </w:r>
      <w:r>
        <w:rPr>
          <w:rFonts w:eastAsia="仿宋_GB2312" w:hint="eastAsia"/>
          <w:sz w:val="32"/>
          <w:szCs w:val="32"/>
        </w:rPr>
        <w:t>人，实际发生费用</w:t>
      </w:r>
      <w:r>
        <w:rPr>
          <w:rFonts w:eastAsia="仿宋_GB2312"/>
          <w:sz w:val="32"/>
          <w:szCs w:val="32"/>
        </w:rPr>
        <w:t>7,297</w:t>
      </w:r>
      <w:r>
        <w:rPr>
          <w:rFonts w:eastAsia="仿宋_GB2312" w:hint="eastAsia"/>
          <w:sz w:val="32"/>
          <w:szCs w:val="32"/>
        </w:rPr>
        <w:t>万元</w:t>
      </w:r>
      <w:r>
        <w:rPr>
          <w:rFonts w:eastAsia="仿宋_GB2312"/>
          <w:sz w:val="32"/>
          <w:szCs w:val="32"/>
        </w:rPr>
        <w:t>,</w:t>
      </w:r>
      <w:r>
        <w:rPr>
          <w:rFonts w:eastAsia="仿宋_GB2312" w:hint="eastAsia"/>
          <w:sz w:val="32"/>
          <w:szCs w:val="32"/>
        </w:rPr>
        <w:t>目前该项政策运行平稳，对统筹基金支撑能力影响不大。</w:t>
      </w:r>
      <w:r>
        <w:rPr>
          <w:rFonts w:eastAsia="仿宋_GB2312" w:hint="eastAsia"/>
          <w:b/>
          <w:sz w:val="32"/>
          <w:szCs w:val="32"/>
        </w:rPr>
        <w:t>二是</w:t>
      </w:r>
      <w:r>
        <w:rPr>
          <w:rFonts w:eastAsia="仿宋_GB2312" w:hint="eastAsia"/>
          <w:sz w:val="32"/>
          <w:szCs w:val="32"/>
        </w:rPr>
        <w:t>通过医保基金预算执行中发现的问题，全方位、多角度的开展基金监管工作，加强基金预算绩效管理。</w:t>
      </w:r>
      <w:r>
        <w:rPr>
          <w:rFonts w:eastAsia="仿宋_GB2312" w:hint="eastAsia"/>
          <w:b/>
          <w:sz w:val="32"/>
          <w:szCs w:val="32"/>
        </w:rPr>
        <w:t>三是</w:t>
      </w:r>
      <w:r>
        <w:rPr>
          <w:rFonts w:eastAsia="仿宋_GB2312" w:hint="eastAsia"/>
          <w:sz w:val="32"/>
          <w:szCs w:val="32"/>
        </w:rPr>
        <w:t>充分研究国家、省医保政策调整对</w:t>
      </w:r>
      <w:r>
        <w:rPr>
          <w:rFonts w:eastAsia="仿宋_GB2312"/>
          <w:sz w:val="32"/>
          <w:szCs w:val="32"/>
        </w:rPr>
        <w:t>2023</w:t>
      </w:r>
      <w:r>
        <w:rPr>
          <w:rFonts w:eastAsia="仿宋_GB2312" w:hint="eastAsia"/>
          <w:sz w:val="32"/>
          <w:szCs w:val="32"/>
        </w:rPr>
        <w:t>年医保基金运行的影响，对我市医保政策的拟订提供了强有力的数据支撑，为</w:t>
      </w:r>
      <w:r>
        <w:rPr>
          <w:rFonts w:eastAsia="仿宋_GB2312"/>
          <w:sz w:val="32"/>
          <w:szCs w:val="32"/>
        </w:rPr>
        <w:t>2024</w:t>
      </w:r>
      <w:r>
        <w:rPr>
          <w:rFonts w:eastAsia="仿宋_GB2312" w:hint="eastAsia"/>
          <w:sz w:val="32"/>
          <w:szCs w:val="32"/>
        </w:rPr>
        <w:t>年医疗保险省级统筹做好准备工作。</w:t>
      </w:r>
    </w:p>
    <w:p>
      <w:pPr>
        <w:spacing w:line="540" w:lineRule="exact"/>
        <w:ind w:firstLineChars="200" w:firstLine="640"/>
        <w:rPr>
          <w:rFonts w:eastAsia="仿宋_GB2312"/>
          <w:sz w:val="32"/>
          <w:szCs w:val="32"/>
        </w:rPr>
      </w:pPr>
      <w:r>
        <w:rPr>
          <w:rFonts w:eastAsia="仿宋_GB2312" w:hint="eastAsia"/>
          <w:sz w:val="32"/>
          <w:szCs w:val="32"/>
        </w:rPr>
        <w:t>我市医保全方位推进预算绩效管理，将绩效理念融入预算管理全过程，与预算编制、预算执行、预算监督成为预算管理的组成部分，逐步建立“预算编制有目标、预算执行有监控、预算完成有评价、评价结果有反馈、反馈结果有应用”的预算绩效管理机制。进一步加强医保基金预算管理，按照“以收定支、收支平衡、略有结余”的原则，合理编制基金预算，年中根据医保基金预算执行情况统筹安排全市医保基金收支进度，年末做好医保基金绩效自评工作，确保医保基金安全平稳运行。</w:t>
      </w:r>
    </w:p>
    <w:p>
      <w:pPr>
        <w:spacing w:line="540" w:lineRule="exact"/>
        <w:ind w:firstLineChars="200" w:firstLine="640"/>
        <w:rPr>
          <w:rFonts w:eastAsia="黑体"/>
          <w:sz w:val="32"/>
          <w:szCs w:val="32"/>
        </w:rPr>
      </w:pPr>
      <w:r>
        <w:rPr>
          <w:rFonts w:eastAsia="黑体" w:hint="eastAsia"/>
          <w:sz w:val="32"/>
          <w:szCs w:val="32"/>
        </w:rPr>
        <w:t>四、预算绩效指标完成情况</w:t>
      </w:r>
    </w:p>
    <w:p>
      <w:pPr>
        <w:spacing w:line="540" w:lineRule="exact"/>
        <w:ind w:firstLineChars="200" w:firstLine="640"/>
        <w:rPr>
          <w:rFonts w:eastAsia="楷体"/>
          <w:sz w:val="32"/>
          <w:szCs w:val="32"/>
        </w:rPr>
      </w:pPr>
      <w:r>
        <w:rPr>
          <w:rFonts w:eastAsia="楷体" w:hint="eastAsia"/>
          <w:sz w:val="32"/>
          <w:szCs w:val="32"/>
        </w:rPr>
        <w:t>（一）决策指标。</w:t>
      </w:r>
    </w:p>
    <w:p>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政策制定。</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年攀枝花市职工基本医疗保险基金资金项目决策严格按照《中华人民共和国社会保险法》《中华人民共和国预算法》《中共中央</w:t>
      </w:r>
      <w:r>
        <w:rPr>
          <w:rFonts w:eastAsia="仿宋_GB2312"/>
          <w:sz w:val="32"/>
          <w:szCs w:val="32"/>
        </w:rPr>
        <w:t xml:space="preserve"> </w:t>
      </w:r>
      <w:r>
        <w:rPr>
          <w:rFonts w:eastAsia="仿宋_GB2312" w:hint="eastAsia"/>
          <w:sz w:val="32"/>
          <w:szCs w:val="32"/>
        </w:rPr>
        <w:t>国务院关于深化医疗保障制度改革的意见》《项目支出绩效评价管理办法》《攀枝花市医疗保险基金统收统支财务经办规范》等文件严格执行，程序合规完整。此项自评得</w:t>
      </w:r>
      <w:r>
        <w:rPr>
          <w:rFonts w:eastAsia="仿宋_GB2312"/>
          <w:sz w:val="32"/>
          <w:szCs w:val="32"/>
        </w:rPr>
        <w:t>5</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决策过程。</w:t>
      </w:r>
    </w:p>
    <w:p>
      <w:pPr>
        <w:spacing w:line="540" w:lineRule="exact"/>
        <w:ind w:firstLineChars="200" w:firstLine="640"/>
        <w:rPr>
          <w:rFonts w:eastAsia="仿宋_GB2312"/>
          <w:sz w:val="32"/>
          <w:szCs w:val="32"/>
        </w:rPr>
      </w:pPr>
      <w:r>
        <w:rPr>
          <w:rFonts w:eastAsia="仿宋_GB2312" w:hint="eastAsia"/>
          <w:sz w:val="32"/>
          <w:szCs w:val="32"/>
        </w:rPr>
        <w:t>严格按照规定履行决策程序，按规定履行报批程序，预决算草案、预算调整方案程序合规完整，部门职责清晰，按要求进行基本医疗保险预决算公开。此项自评得</w:t>
      </w:r>
      <w:r>
        <w:rPr>
          <w:rFonts w:eastAsia="仿宋_GB2312"/>
          <w:sz w:val="32"/>
          <w:szCs w:val="32"/>
        </w:rPr>
        <w:t>3</w:t>
      </w:r>
      <w:r>
        <w:rPr>
          <w:rFonts w:eastAsia="仿宋_GB2312" w:hint="eastAsia"/>
          <w:sz w:val="32"/>
          <w:szCs w:val="32"/>
        </w:rPr>
        <w:t>分。</w:t>
      </w:r>
    </w:p>
    <w:p>
      <w:pPr>
        <w:spacing w:line="540" w:lineRule="exact"/>
        <w:ind w:firstLineChars="200" w:firstLine="640"/>
        <w:rPr>
          <w:rFonts w:eastAsia="楷体"/>
          <w:sz w:val="32"/>
          <w:szCs w:val="32"/>
        </w:rPr>
      </w:pPr>
      <w:r>
        <w:rPr>
          <w:rFonts w:eastAsia="楷体" w:hint="eastAsia"/>
          <w:sz w:val="32"/>
          <w:szCs w:val="32"/>
        </w:rPr>
        <w:t>（二）过程指标。</w:t>
      </w:r>
    </w:p>
    <w:p>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管理制度。</w:t>
      </w:r>
    </w:p>
    <w:p>
      <w:pPr>
        <w:spacing w:line="540" w:lineRule="exact"/>
        <w:ind w:firstLineChars="200" w:firstLine="640"/>
        <w:rPr>
          <w:rFonts w:eastAsia="仿宋_GB2312"/>
          <w:sz w:val="32"/>
          <w:szCs w:val="32"/>
        </w:rPr>
      </w:pPr>
      <w:r>
        <w:rPr>
          <w:rFonts w:eastAsia="仿宋_GB2312" w:hint="eastAsia"/>
          <w:sz w:val="32"/>
          <w:szCs w:val="32"/>
        </w:rPr>
        <w:t>我市职工医保基金实行市级统筹，统收统支，全市统一基金管理，统一基金财务核算，统一编制基金预决算。全市职工医保基金统一纳入财政专户，基金实行“收支两条线”管理，会计核算真实、规范，无违反《社保基金财务制度》情况。</w:t>
      </w:r>
      <w:r>
        <w:rPr>
          <w:rFonts w:eastAsia="仿宋_GB2312"/>
          <w:sz w:val="32"/>
          <w:szCs w:val="32"/>
        </w:rPr>
        <w:t>2023</w:t>
      </w:r>
      <w:r>
        <w:rPr>
          <w:rFonts w:eastAsia="仿宋_GB2312" w:hint="eastAsia"/>
          <w:sz w:val="32"/>
          <w:szCs w:val="32"/>
        </w:rPr>
        <w:t>年由市医保事务中心修订《攀枝花市医疗保障基金统收统支财务经办规范》《攀枝花市基本医疗保险基金管理内部控制制度（试行）》，进一步细化医疗保障基金财务经办管理流程，健全基金财务管理办法、预算管理办法、内部控制制度，明确职工基本医疗基金收支审核层级和风险管控责任，加强了基金安全管理。此项自评得</w:t>
      </w:r>
      <w:r>
        <w:rPr>
          <w:rFonts w:eastAsia="仿宋_GB2312"/>
          <w:sz w:val="32"/>
          <w:szCs w:val="32"/>
        </w:rPr>
        <w:t>3</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预算管理。</w:t>
      </w:r>
    </w:p>
    <w:p>
      <w:pPr>
        <w:spacing w:line="540" w:lineRule="exact"/>
        <w:ind w:firstLineChars="200" w:firstLine="640"/>
        <w:rPr>
          <w:rFonts w:eastAsia="仿宋_GB2312"/>
          <w:sz w:val="32"/>
          <w:szCs w:val="32"/>
        </w:rPr>
      </w:pPr>
      <w:r>
        <w:rPr>
          <w:rFonts w:eastAsia="仿宋_GB2312" w:hint="eastAsia"/>
          <w:sz w:val="32"/>
          <w:szCs w:val="32"/>
        </w:rPr>
        <w:t>严格按照《中华人民共和国社会保险法》《中华人民共和国预算法》和《四川省社会保险基金预算绩效管理实施办法》编制基金预算。预决算报表无漏填、错填，编报说明合理；严格执行批复预算，预算执行报表报送及时准确；按照国家规定进行预算调整工作。此项自评得</w:t>
      </w:r>
      <w:r>
        <w:rPr>
          <w:rFonts w:eastAsia="仿宋_GB2312"/>
          <w:sz w:val="32"/>
          <w:szCs w:val="32"/>
        </w:rPr>
        <w:t>4</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绩效管理。</w:t>
      </w:r>
    </w:p>
    <w:p>
      <w:pPr>
        <w:spacing w:line="540" w:lineRule="exact"/>
        <w:ind w:firstLineChars="200" w:firstLine="640"/>
        <w:rPr>
          <w:rFonts w:eastAsia="仿宋_GB2312"/>
          <w:sz w:val="32"/>
          <w:szCs w:val="32"/>
        </w:rPr>
      </w:pPr>
      <w:r>
        <w:rPr>
          <w:rFonts w:eastAsia="仿宋_GB2312" w:hint="eastAsia"/>
          <w:sz w:val="32"/>
          <w:szCs w:val="32"/>
        </w:rPr>
        <w:t>严格按照基本医疗保险基金预算绩效管理办法开展预算绩效工作。合理设定绩效目标，按时报送绩效自评报告，评价报告内容规范完整，做好绩效信息公开，强化社会监督。此项自评得</w:t>
      </w:r>
      <w:r>
        <w:rPr>
          <w:rFonts w:eastAsia="仿宋_GB2312"/>
          <w:sz w:val="32"/>
          <w:szCs w:val="32"/>
        </w:rPr>
        <w:t>5</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政策执行。</w:t>
      </w:r>
    </w:p>
    <w:p>
      <w:pPr>
        <w:spacing w:line="540" w:lineRule="exact"/>
        <w:ind w:firstLineChars="200" w:firstLine="640"/>
        <w:rPr>
          <w:rFonts w:eastAsia="仿宋_GB2312"/>
          <w:sz w:val="32"/>
          <w:szCs w:val="32"/>
        </w:rPr>
      </w:pPr>
      <w:r>
        <w:rPr>
          <w:rFonts w:eastAsia="仿宋_GB2312" w:hint="eastAsia"/>
          <w:sz w:val="32"/>
          <w:szCs w:val="32"/>
        </w:rPr>
        <w:t>严格执行国家基本医疗保险有关政策，我市参保、缴费率、缴费基数、待遇支付范围及标准等政策均符合国家、省级规定，无未执行国家、省级规定自行出台有关政策的情形。此项自评得</w:t>
      </w:r>
      <w:r>
        <w:rPr>
          <w:rFonts w:eastAsia="仿宋_GB2312"/>
          <w:sz w:val="32"/>
          <w:szCs w:val="32"/>
        </w:rPr>
        <w:t>3</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组织管理。</w:t>
      </w:r>
    </w:p>
    <w:p>
      <w:pPr>
        <w:spacing w:line="540" w:lineRule="exact"/>
        <w:ind w:firstLineChars="200" w:firstLine="640"/>
        <w:rPr>
          <w:rFonts w:eastAsia="仿宋_GB2312"/>
          <w:sz w:val="32"/>
          <w:szCs w:val="32"/>
        </w:rPr>
      </w:pPr>
      <w:r>
        <w:rPr>
          <w:rFonts w:eastAsia="仿宋_GB2312" w:hint="eastAsia"/>
          <w:sz w:val="32"/>
          <w:szCs w:val="32"/>
        </w:rPr>
        <w:t>结合我市医疗保障有关职能整合，在确保覆盖范围、筹资政策、保障待遇、医保目录、定点管理、基金管理“六统一”的基础上，统一经办服务和信息系统，进一步提高运行质量和效率，全面建立市级统筹的职工医保制度。定点医药机构实行协议管理，建立考核评价机制，建立动态准入和退出机制：</w:t>
      </w:r>
      <w:r>
        <w:rPr>
          <w:rFonts w:eastAsia="仿宋_GB2312" w:hint="eastAsia"/>
          <w:b/>
          <w:sz w:val="32"/>
          <w:szCs w:val="32"/>
        </w:rPr>
        <w:t>一是</w:t>
      </w:r>
      <w:r>
        <w:rPr>
          <w:rFonts w:eastAsia="仿宋_GB2312" w:hint="eastAsia"/>
          <w:sz w:val="32"/>
          <w:szCs w:val="32"/>
        </w:rPr>
        <w:t>规范开展定点评估，认真落实《四川省医药机构医疗保障定点评估细则》，印发了《攀枝花市医疗保障局关于转发〈四川省医疗保障局关于印发四川省医药机构医疗保障定点评估细则（试行）的通知〉的通知》（攀医保〔</w:t>
      </w:r>
      <w:r>
        <w:rPr>
          <w:rFonts w:eastAsia="仿宋_GB2312"/>
          <w:sz w:val="32"/>
          <w:szCs w:val="32"/>
        </w:rPr>
        <w:t>2022</w:t>
      </w:r>
      <w:r>
        <w:rPr>
          <w:rFonts w:eastAsia="仿宋_GB2312" w:hint="eastAsia"/>
          <w:sz w:val="32"/>
          <w:szCs w:val="32"/>
        </w:rPr>
        <w:t>〕</w:t>
      </w:r>
      <w:r>
        <w:rPr>
          <w:rFonts w:eastAsia="仿宋_GB2312"/>
          <w:sz w:val="32"/>
          <w:szCs w:val="32"/>
        </w:rPr>
        <w:t>7</w:t>
      </w:r>
      <w:r>
        <w:rPr>
          <w:rFonts w:eastAsia="仿宋_GB2312" w:hint="eastAsia"/>
          <w:sz w:val="32"/>
          <w:szCs w:val="32"/>
        </w:rPr>
        <w:t>号），细化本地具体评估指标，公平公正组织医药机构定点评估，将符合条件的医药机构纳入医保定点，并签订医保服务协议。</w:t>
      </w:r>
      <w:r>
        <w:rPr>
          <w:rFonts w:eastAsia="仿宋_GB2312" w:hint="eastAsia"/>
          <w:b/>
          <w:sz w:val="32"/>
          <w:szCs w:val="32"/>
        </w:rPr>
        <w:t>二是</w:t>
      </w:r>
      <w:r>
        <w:rPr>
          <w:rFonts w:eastAsia="仿宋_GB2312" w:hint="eastAsia"/>
          <w:sz w:val="32"/>
          <w:szCs w:val="32"/>
        </w:rPr>
        <w:t>进一步规范医保协议，</w:t>
      </w:r>
      <w:r>
        <w:rPr>
          <w:rFonts w:eastAsia="仿宋_GB2312"/>
          <w:sz w:val="32"/>
          <w:szCs w:val="32"/>
        </w:rPr>
        <w:t>2023</w:t>
      </w:r>
      <w:r>
        <w:rPr>
          <w:rFonts w:eastAsia="仿宋_GB2312" w:hint="eastAsia"/>
          <w:sz w:val="32"/>
          <w:szCs w:val="32"/>
        </w:rPr>
        <w:t>年修订完善了两定机构协议文本，充分发挥协议对两定机构的约束作用。</w:t>
      </w:r>
      <w:r>
        <w:rPr>
          <w:rFonts w:eastAsia="仿宋_GB2312" w:hint="eastAsia"/>
          <w:b/>
          <w:sz w:val="32"/>
          <w:szCs w:val="32"/>
        </w:rPr>
        <w:t>三是</w:t>
      </w:r>
      <w:r>
        <w:rPr>
          <w:rFonts w:eastAsia="仿宋_GB2312" w:hint="eastAsia"/>
          <w:sz w:val="32"/>
          <w:szCs w:val="32"/>
        </w:rPr>
        <w:t>规范执行协议履约考核，根据《攀枝花市医疗保障事务中心关于印发〈攀枝花市医疗保障定点医药机构年度综合考核办法实施细则（试行）的通知〉》（攀医保〔</w:t>
      </w:r>
      <w:r>
        <w:rPr>
          <w:rFonts w:eastAsia="仿宋_GB2312"/>
          <w:sz w:val="32"/>
          <w:szCs w:val="32"/>
        </w:rPr>
        <w:t>2020</w:t>
      </w:r>
      <w:r>
        <w:rPr>
          <w:rFonts w:eastAsia="仿宋_GB2312" w:hint="eastAsia"/>
          <w:sz w:val="32"/>
          <w:szCs w:val="32"/>
        </w:rPr>
        <w:t>〕</w:t>
      </w:r>
      <w:r>
        <w:rPr>
          <w:rFonts w:eastAsia="仿宋_GB2312"/>
          <w:sz w:val="32"/>
          <w:szCs w:val="32"/>
        </w:rPr>
        <w:t>141</w:t>
      </w:r>
      <w:r>
        <w:rPr>
          <w:rFonts w:eastAsia="仿宋_GB2312" w:hint="eastAsia"/>
          <w:sz w:val="32"/>
          <w:szCs w:val="32"/>
        </w:rPr>
        <w:t>号）印发</w:t>
      </w:r>
      <w:r>
        <w:rPr>
          <w:rFonts w:eastAsia="仿宋_GB2312"/>
          <w:sz w:val="32"/>
          <w:szCs w:val="32"/>
        </w:rPr>
        <w:t>2023</w:t>
      </w:r>
      <w:r>
        <w:rPr>
          <w:rFonts w:eastAsia="仿宋_GB2312" w:hint="eastAsia"/>
          <w:sz w:val="32"/>
          <w:szCs w:val="32"/>
        </w:rPr>
        <w:t>年年度考核通知并开展年度考核工作。强化考核结果应用，将考核结果与定点医药机构服务协议续签、病组点数法付费的年度预算总额预付比例、病组点数法年终清算系数、支付违约金等方面挂钩。我市有序开展</w:t>
      </w:r>
      <w:r>
        <w:rPr>
          <w:rFonts w:eastAsia="仿宋_GB2312"/>
          <w:sz w:val="32"/>
          <w:szCs w:val="32"/>
        </w:rPr>
        <w:t>DRG</w:t>
      </w:r>
      <w:r>
        <w:rPr>
          <w:rFonts w:eastAsia="仿宋_GB2312" w:hint="eastAsia"/>
          <w:sz w:val="32"/>
          <w:szCs w:val="32"/>
        </w:rPr>
        <w:t>、按病种（组）、按人头付费等支付方式改革工作，住院医疗费用按疾病诊断相关分组或按病种付费等非项目付费占住院费用的比例高达</w:t>
      </w:r>
      <w:r>
        <w:rPr>
          <w:rFonts w:eastAsia="仿宋_GB2312"/>
          <w:sz w:val="32"/>
          <w:szCs w:val="32"/>
        </w:rPr>
        <w:t>96%</w:t>
      </w:r>
      <w:r>
        <w:rPr>
          <w:rFonts w:eastAsia="仿宋_GB2312" w:hint="eastAsia"/>
          <w:sz w:val="32"/>
          <w:szCs w:val="32"/>
        </w:rPr>
        <w:t>。此项自评医保管理制度统一得</w:t>
      </w:r>
      <w:r>
        <w:rPr>
          <w:rFonts w:eastAsia="仿宋_GB2312"/>
          <w:sz w:val="32"/>
          <w:szCs w:val="32"/>
        </w:rPr>
        <w:t>4</w:t>
      </w:r>
      <w:r>
        <w:rPr>
          <w:rFonts w:eastAsia="仿宋_GB2312" w:hint="eastAsia"/>
          <w:sz w:val="32"/>
          <w:szCs w:val="32"/>
        </w:rPr>
        <w:t>分，两定机构管理得</w:t>
      </w:r>
      <w:r>
        <w:rPr>
          <w:rFonts w:eastAsia="仿宋_GB2312"/>
          <w:sz w:val="32"/>
          <w:szCs w:val="32"/>
        </w:rPr>
        <w:t>2</w:t>
      </w:r>
      <w:r>
        <w:rPr>
          <w:rFonts w:eastAsia="仿宋_GB2312" w:hint="eastAsia"/>
          <w:sz w:val="32"/>
          <w:szCs w:val="32"/>
        </w:rPr>
        <w:t>分，支付方式改革得</w:t>
      </w:r>
      <w:r>
        <w:rPr>
          <w:rFonts w:eastAsia="仿宋_GB2312"/>
          <w:sz w:val="32"/>
          <w:szCs w:val="32"/>
        </w:rPr>
        <w:t>2</w:t>
      </w:r>
      <w:r>
        <w:rPr>
          <w:rFonts w:eastAsia="仿宋_GB2312" w:hint="eastAsia"/>
          <w:sz w:val="32"/>
          <w:szCs w:val="32"/>
        </w:rPr>
        <w:t>分，组织管理共计得</w:t>
      </w:r>
      <w:r>
        <w:rPr>
          <w:rFonts w:eastAsia="仿宋_GB2312"/>
          <w:sz w:val="32"/>
          <w:szCs w:val="32"/>
        </w:rPr>
        <w:t>8</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财务管理。</w:t>
      </w:r>
    </w:p>
    <w:p>
      <w:pPr>
        <w:spacing w:line="540" w:lineRule="exact"/>
        <w:ind w:firstLineChars="200" w:firstLine="640"/>
        <w:rPr>
          <w:rFonts w:eastAsia="仿宋_GB2312"/>
          <w:sz w:val="32"/>
          <w:szCs w:val="32"/>
        </w:rPr>
      </w:pPr>
      <w:r>
        <w:rPr>
          <w:rFonts w:eastAsia="仿宋_GB2312" w:hint="eastAsia"/>
          <w:sz w:val="32"/>
          <w:szCs w:val="32"/>
        </w:rPr>
        <w:t>我市严格按照《社保基金会计制度》开展财务工作，按险种分别建账、分账核算、分别计息、专款专用。根据省医保局工作安排，</w:t>
      </w:r>
      <w:r>
        <w:rPr>
          <w:rFonts w:eastAsia="仿宋_GB2312"/>
          <w:sz w:val="32"/>
          <w:szCs w:val="32"/>
        </w:rPr>
        <w:t>2024</w:t>
      </w:r>
      <w:r>
        <w:rPr>
          <w:rFonts w:eastAsia="仿宋_GB2312" w:hint="eastAsia"/>
          <w:sz w:val="32"/>
          <w:szCs w:val="32"/>
        </w:rPr>
        <w:t>年</w:t>
      </w:r>
      <w:r>
        <w:rPr>
          <w:rFonts w:eastAsia="仿宋_GB2312"/>
          <w:sz w:val="32"/>
          <w:szCs w:val="32"/>
        </w:rPr>
        <w:t>4</w:t>
      </w:r>
      <w:r>
        <w:rPr>
          <w:rFonts w:eastAsia="仿宋_GB2312" w:hint="eastAsia"/>
          <w:sz w:val="32"/>
          <w:szCs w:val="32"/>
        </w:rPr>
        <w:t>月我市开展医保基金财务管理问题“回头看”并深入排查基金安全风险工作，经全面排查</w:t>
      </w:r>
      <w:r>
        <w:rPr>
          <w:rFonts w:eastAsia="仿宋_GB2312"/>
          <w:sz w:val="32"/>
          <w:szCs w:val="32"/>
        </w:rPr>
        <w:t>，</w:t>
      </w:r>
      <w:bookmarkStart w:id="1" w:name="_GoBack"/>
      <w:bookmarkEnd w:id="1"/>
      <w:r>
        <w:rPr>
          <w:rFonts w:eastAsia="仿宋_GB2312" w:hint="eastAsia"/>
          <w:sz w:val="32"/>
          <w:szCs w:val="32"/>
        </w:rPr>
        <w:t>除</w:t>
      </w:r>
      <w:r>
        <w:rPr>
          <w:rFonts w:eastAsia="仿宋_GB2312"/>
          <w:sz w:val="32"/>
          <w:szCs w:val="32"/>
        </w:rPr>
        <w:t>2024</w:t>
      </w:r>
      <w:r>
        <w:rPr>
          <w:rFonts w:eastAsia="仿宋_GB2312" w:hint="eastAsia"/>
          <w:sz w:val="32"/>
          <w:szCs w:val="32"/>
        </w:rPr>
        <w:t>年</w:t>
      </w:r>
      <w:r>
        <w:rPr>
          <w:rFonts w:eastAsia="仿宋_GB2312"/>
          <w:sz w:val="32"/>
          <w:szCs w:val="32"/>
        </w:rPr>
        <w:t>3</w:t>
      </w:r>
      <w:r>
        <w:rPr>
          <w:rFonts w:eastAsia="仿宋_GB2312" w:hint="eastAsia"/>
          <w:sz w:val="32"/>
          <w:szCs w:val="32"/>
        </w:rPr>
        <w:t>月西区、仁和区收入户共计</w:t>
      </w:r>
      <w:r>
        <w:rPr>
          <w:rFonts w:eastAsia="仿宋_GB2312"/>
          <w:sz w:val="32"/>
          <w:szCs w:val="32"/>
        </w:rPr>
        <w:t>1.53</w:t>
      </w:r>
      <w:r>
        <w:rPr>
          <w:rFonts w:eastAsia="仿宋_GB2312" w:hint="eastAsia"/>
          <w:sz w:val="32"/>
          <w:szCs w:val="32"/>
        </w:rPr>
        <w:t>万元未在月底及时划入财政专户管理外，不存在挤占挪用医保基金、账户管理不规范、基金收支管理不规范、医保基金保值增值方面不规范等问题。此项自评扣</w:t>
      </w:r>
      <w:r>
        <w:rPr>
          <w:rFonts w:eastAsia="仿宋_GB2312"/>
          <w:sz w:val="32"/>
          <w:szCs w:val="32"/>
        </w:rPr>
        <w:t>1</w:t>
      </w:r>
      <w:r>
        <w:rPr>
          <w:rFonts w:eastAsia="仿宋_GB2312" w:hint="eastAsia"/>
          <w:sz w:val="32"/>
          <w:szCs w:val="32"/>
        </w:rPr>
        <w:t>分，得</w:t>
      </w:r>
      <w:r>
        <w:rPr>
          <w:rFonts w:eastAsia="仿宋_GB2312"/>
          <w:sz w:val="32"/>
          <w:szCs w:val="32"/>
        </w:rPr>
        <w:t>3</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风险控制。</w:t>
      </w:r>
    </w:p>
    <w:p>
      <w:pPr>
        <w:spacing w:line="540" w:lineRule="exact"/>
        <w:ind w:firstLineChars="200" w:firstLine="640"/>
        <w:rPr>
          <w:rFonts w:eastAsia="仿宋_GB2312"/>
          <w:sz w:val="32"/>
          <w:szCs w:val="32"/>
        </w:rPr>
      </w:pPr>
      <w:r>
        <w:rPr>
          <w:rFonts w:eastAsia="仿宋_GB2312" w:hint="eastAsia"/>
          <w:sz w:val="32"/>
          <w:szCs w:val="32"/>
        </w:rPr>
        <w:t>按照《关于做好我省</w:t>
      </w:r>
      <w:r>
        <w:rPr>
          <w:rFonts w:eastAsia="仿宋_GB2312"/>
          <w:sz w:val="32"/>
          <w:szCs w:val="32"/>
        </w:rPr>
        <w:t>2023</w:t>
      </w:r>
      <w:r>
        <w:rPr>
          <w:rFonts w:eastAsia="仿宋_GB2312" w:hint="eastAsia"/>
          <w:sz w:val="32"/>
          <w:szCs w:val="32"/>
        </w:rPr>
        <w:t>年度医保基金监管综合考核工作的通知》中的《基金监管综合评价表（</w:t>
      </w:r>
      <w:r>
        <w:rPr>
          <w:rFonts w:eastAsia="仿宋_GB2312"/>
          <w:sz w:val="32"/>
          <w:szCs w:val="32"/>
        </w:rPr>
        <w:t>2023</w:t>
      </w:r>
      <w:r>
        <w:rPr>
          <w:rFonts w:eastAsia="仿宋_GB2312" w:hint="eastAsia"/>
          <w:sz w:val="32"/>
          <w:szCs w:val="32"/>
        </w:rPr>
        <w:t>年度）》进行综合评价，我市</w:t>
      </w:r>
      <w:r>
        <w:rPr>
          <w:rFonts w:eastAsia="仿宋_GB2312"/>
          <w:sz w:val="32"/>
          <w:szCs w:val="32"/>
        </w:rPr>
        <w:t>2023</w:t>
      </w:r>
      <w:r>
        <w:rPr>
          <w:rFonts w:eastAsia="仿宋_GB2312" w:hint="eastAsia"/>
          <w:sz w:val="32"/>
          <w:szCs w:val="32"/>
        </w:rPr>
        <w:t>年度基金监督管理综合评价得分</w:t>
      </w:r>
      <w:r>
        <w:rPr>
          <w:rFonts w:eastAsia="仿宋_GB2312"/>
          <w:sz w:val="32"/>
          <w:szCs w:val="32"/>
        </w:rPr>
        <w:t>75</w:t>
      </w:r>
      <w:r>
        <w:rPr>
          <w:rFonts w:eastAsia="仿宋_GB2312" w:hint="eastAsia"/>
          <w:sz w:val="32"/>
          <w:szCs w:val="32"/>
        </w:rPr>
        <w:t>分。全省以</w:t>
      </w:r>
      <w:r>
        <w:rPr>
          <w:rFonts w:eastAsia="仿宋_GB2312"/>
          <w:sz w:val="32"/>
          <w:szCs w:val="32"/>
        </w:rPr>
        <w:t>100</w:t>
      </w:r>
      <w:r>
        <w:rPr>
          <w:rFonts w:eastAsia="仿宋_GB2312" w:hint="eastAsia"/>
          <w:sz w:val="32"/>
          <w:szCs w:val="32"/>
        </w:rPr>
        <w:t>分为基数，以减分制方式评价，我市基金监管综合评价为全省第</w:t>
      </w:r>
      <w:r>
        <w:rPr>
          <w:rFonts w:eastAsia="仿宋_GB2312"/>
          <w:sz w:val="32"/>
          <w:szCs w:val="32"/>
        </w:rPr>
        <w:t>10</w:t>
      </w:r>
      <w:r>
        <w:rPr>
          <w:rFonts w:eastAsia="仿宋_GB2312" w:hint="eastAsia"/>
          <w:sz w:val="32"/>
          <w:szCs w:val="32"/>
        </w:rPr>
        <w:t>名。扣分项如下：通过智能监控追回医保基金金额占上年度基金支出额的比例偏低，全省排</w:t>
      </w:r>
      <w:r>
        <w:rPr>
          <w:rFonts w:eastAsia="仿宋_GB2312"/>
          <w:sz w:val="32"/>
          <w:szCs w:val="32"/>
        </w:rPr>
        <w:t>20</w:t>
      </w:r>
      <w:r>
        <w:rPr>
          <w:rFonts w:eastAsia="仿宋_GB2312" w:hint="eastAsia"/>
          <w:sz w:val="32"/>
          <w:szCs w:val="32"/>
        </w:rPr>
        <w:t>名；通过抽查、复查等方式开展现场检查，以追回资金总额排名占比</w:t>
      </w:r>
      <w:r>
        <w:rPr>
          <w:rFonts w:eastAsia="仿宋_GB2312"/>
          <w:sz w:val="32"/>
          <w:szCs w:val="32"/>
        </w:rPr>
        <w:t>60%</w:t>
      </w:r>
      <w:r>
        <w:rPr>
          <w:rFonts w:eastAsia="仿宋_GB2312" w:hint="eastAsia"/>
          <w:sz w:val="32"/>
          <w:szCs w:val="32"/>
        </w:rPr>
        <w:t>和追回资金总额占当地上年度医保基金支出占比排名占</w:t>
      </w:r>
      <w:r>
        <w:rPr>
          <w:rFonts w:eastAsia="仿宋_GB2312"/>
          <w:sz w:val="32"/>
          <w:szCs w:val="32"/>
        </w:rPr>
        <w:t>40%</w:t>
      </w:r>
      <w:r>
        <w:rPr>
          <w:rFonts w:eastAsia="仿宋_GB2312" w:hint="eastAsia"/>
          <w:sz w:val="32"/>
          <w:szCs w:val="32"/>
        </w:rPr>
        <w:t>的综合排名，全省排</w:t>
      </w:r>
      <w:r>
        <w:rPr>
          <w:rFonts w:eastAsia="仿宋_GB2312"/>
          <w:sz w:val="32"/>
          <w:szCs w:val="32"/>
        </w:rPr>
        <w:t>16</w:t>
      </w:r>
      <w:r>
        <w:rPr>
          <w:rFonts w:eastAsia="仿宋_GB2312" w:hint="eastAsia"/>
          <w:sz w:val="32"/>
          <w:szCs w:val="32"/>
        </w:rPr>
        <w:t>名；作为参保地跨省异地就医直接结算费用协查申请情况全省排</w:t>
      </w:r>
      <w:r>
        <w:rPr>
          <w:rFonts w:eastAsia="仿宋_GB2312"/>
          <w:sz w:val="32"/>
          <w:szCs w:val="32"/>
        </w:rPr>
        <w:t>19</w:t>
      </w:r>
      <w:r>
        <w:rPr>
          <w:rFonts w:eastAsia="仿宋_GB2312" w:hint="eastAsia"/>
          <w:sz w:val="32"/>
          <w:szCs w:val="32"/>
        </w:rPr>
        <w:t>名；经医保部门作出行政处罚或移送公安机关立案处理的案件，涉案金额没有超过</w:t>
      </w:r>
      <w:r>
        <w:rPr>
          <w:rFonts w:eastAsia="仿宋_GB2312"/>
          <w:sz w:val="32"/>
          <w:szCs w:val="32"/>
        </w:rPr>
        <w:t>300</w:t>
      </w:r>
      <w:r>
        <w:rPr>
          <w:rFonts w:eastAsia="仿宋_GB2312" w:hint="eastAsia"/>
          <w:sz w:val="32"/>
          <w:szCs w:val="32"/>
        </w:rPr>
        <w:t>万元的情况等原因，累计扣分</w:t>
      </w:r>
      <w:r>
        <w:rPr>
          <w:rFonts w:eastAsia="仿宋_GB2312"/>
          <w:sz w:val="32"/>
          <w:szCs w:val="32"/>
        </w:rPr>
        <w:t>25</w:t>
      </w:r>
      <w:r>
        <w:rPr>
          <w:rFonts w:eastAsia="仿宋_GB2312" w:hint="eastAsia"/>
          <w:sz w:val="32"/>
          <w:szCs w:val="32"/>
        </w:rPr>
        <w:t>分。我市建立基金运行动态监测及风险预警机制，通过基金收支情况和累计结余可支付月数等数据，科学研判基金保障能力趋势，按时报送基金运行监测及风险预警分析报告，运行监控有力，预警分析报告规范完整。此项自评基金监督管理扣</w:t>
      </w:r>
      <w:r>
        <w:rPr>
          <w:rFonts w:eastAsia="仿宋_GB2312"/>
          <w:sz w:val="32"/>
          <w:szCs w:val="32"/>
        </w:rPr>
        <w:t>4</w:t>
      </w:r>
      <w:r>
        <w:rPr>
          <w:rFonts w:eastAsia="仿宋_GB2312" w:hint="eastAsia"/>
          <w:sz w:val="32"/>
          <w:szCs w:val="32"/>
        </w:rPr>
        <w:t>分，得</w:t>
      </w:r>
      <w:r>
        <w:rPr>
          <w:rFonts w:eastAsia="仿宋_GB2312"/>
          <w:sz w:val="32"/>
          <w:szCs w:val="32"/>
        </w:rPr>
        <w:t>6</w:t>
      </w:r>
      <w:r>
        <w:rPr>
          <w:rFonts w:eastAsia="仿宋_GB2312" w:hint="eastAsia"/>
          <w:sz w:val="32"/>
          <w:szCs w:val="32"/>
        </w:rPr>
        <w:t>分，基金风险防控得</w:t>
      </w:r>
      <w:r>
        <w:rPr>
          <w:rFonts w:eastAsia="仿宋_GB2312"/>
          <w:sz w:val="32"/>
          <w:szCs w:val="32"/>
        </w:rPr>
        <w:t>1</w:t>
      </w:r>
      <w:r>
        <w:rPr>
          <w:rFonts w:eastAsia="仿宋_GB2312" w:hint="eastAsia"/>
          <w:sz w:val="32"/>
          <w:szCs w:val="32"/>
        </w:rPr>
        <w:t>分，风险控制共得</w:t>
      </w:r>
      <w:r>
        <w:rPr>
          <w:rFonts w:eastAsia="仿宋_GB2312"/>
          <w:sz w:val="32"/>
          <w:szCs w:val="32"/>
        </w:rPr>
        <w:t>7</w:t>
      </w:r>
      <w:r>
        <w:rPr>
          <w:rFonts w:eastAsia="仿宋_GB2312" w:hint="eastAsia"/>
          <w:sz w:val="32"/>
          <w:szCs w:val="32"/>
        </w:rPr>
        <w:t>分。</w:t>
      </w:r>
    </w:p>
    <w:p>
      <w:pPr>
        <w:spacing w:line="540" w:lineRule="exact"/>
        <w:ind w:firstLineChars="200" w:firstLine="640"/>
        <w:rPr>
          <w:rFonts w:eastAsia="楷体"/>
          <w:sz w:val="32"/>
          <w:szCs w:val="32"/>
        </w:rPr>
      </w:pPr>
      <w:r>
        <w:rPr>
          <w:rFonts w:eastAsia="楷体" w:hint="eastAsia"/>
          <w:sz w:val="32"/>
          <w:szCs w:val="32"/>
        </w:rPr>
        <w:t>（三）产出指标。</w:t>
      </w:r>
    </w:p>
    <w:p>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参保政策落实。</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年，全市以常住人口为基础计算的基本医保综合参保率</w:t>
      </w:r>
      <w:r>
        <w:rPr>
          <w:rFonts w:eastAsia="仿宋_GB2312"/>
          <w:sz w:val="32"/>
          <w:szCs w:val="32"/>
        </w:rPr>
        <w:t>88.56%</w:t>
      </w:r>
      <w:r>
        <w:rPr>
          <w:rFonts w:eastAsia="仿宋_GB2312" w:hint="eastAsia"/>
          <w:sz w:val="32"/>
          <w:szCs w:val="32"/>
        </w:rPr>
        <w:t>，无重复参保、虚报参保人数。此项自评扣</w:t>
      </w:r>
      <w:r>
        <w:rPr>
          <w:rFonts w:eastAsia="仿宋_GB2312"/>
          <w:sz w:val="32"/>
          <w:szCs w:val="32"/>
        </w:rPr>
        <w:t>5</w:t>
      </w:r>
      <w:r>
        <w:rPr>
          <w:rFonts w:eastAsia="仿宋_GB2312" w:hint="eastAsia"/>
          <w:sz w:val="32"/>
          <w:szCs w:val="32"/>
        </w:rPr>
        <w:t>分，不得分。</w:t>
      </w:r>
    </w:p>
    <w:p>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缴费政策落实。</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年，我市持续开展全民参保，配合税务部门做好职工医保“统征收”各项工作，加大医保政策宣传力度，鼓励灵活就业人员应参尽参，保证基本医疗保险基金收支平衡。职工医保基金缴费基数做实率达</w:t>
      </w:r>
      <w:r>
        <w:rPr>
          <w:rFonts w:eastAsia="仿宋_GB2312"/>
          <w:sz w:val="32"/>
          <w:szCs w:val="32"/>
        </w:rPr>
        <w:t>119.40%</w:t>
      </w:r>
      <w:r>
        <w:rPr>
          <w:rFonts w:eastAsia="仿宋_GB2312" w:hint="eastAsia"/>
          <w:sz w:val="32"/>
          <w:szCs w:val="32"/>
        </w:rPr>
        <w:t>，征缴率达</w:t>
      </w:r>
      <w:r>
        <w:rPr>
          <w:rFonts w:eastAsia="仿宋_GB2312"/>
          <w:sz w:val="32"/>
          <w:szCs w:val="32"/>
        </w:rPr>
        <w:t>98.89%</w:t>
      </w:r>
      <w:r>
        <w:rPr>
          <w:rFonts w:eastAsia="仿宋_GB2312" w:hint="eastAsia"/>
          <w:sz w:val="32"/>
          <w:szCs w:val="32"/>
        </w:rPr>
        <w:t>，缴费费率不变的情况下缴费基数稳步增长，当年保费应收尽收。此项自评缴费基数做实率得</w:t>
      </w:r>
      <w:r>
        <w:rPr>
          <w:rFonts w:eastAsia="仿宋_GB2312"/>
          <w:sz w:val="32"/>
          <w:szCs w:val="32"/>
        </w:rPr>
        <w:t>5</w:t>
      </w:r>
      <w:r>
        <w:rPr>
          <w:rFonts w:eastAsia="仿宋_GB2312" w:hint="eastAsia"/>
          <w:sz w:val="32"/>
          <w:szCs w:val="32"/>
        </w:rPr>
        <w:t>分，征缴率得</w:t>
      </w:r>
      <w:r>
        <w:rPr>
          <w:rFonts w:eastAsia="仿宋_GB2312"/>
          <w:sz w:val="32"/>
          <w:szCs w:val="32"/>
        </w:rPr>
        <w:t>5</w:t>
      </w:r>
      <w:r>
        <w:rPr>
          <w:rFonts w:eastAsia="仿宋_GB2312" w:hint="eastAsia"/>
          <w:sz w:val="32"/>
          <w:szCs w:val="32"/>
        </w:rPr>
        <w:t>分，缴费政策落实共得</w:t>
      </w:r>
      <w:r>
        <w:rPr>
          <w:rFonts w:eastAsia="仿宋_GB2312"/>
          <w:sz w:val="32"/>
          <w:szCs w:val="32"/>
        </w:rPr>
        <w:t>10</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预算准确性。</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年度，全市职工医保基金总收入</w:t>
      </w:r>
      <w:r>
        <w:rPr>
          <w:rFonts w:eastAsia="仿宋_GB2312"/>
          <w:sz w:val="32"/>
          <w:szCs w:val="32"/>
        </w:rPr>
        <w:t>245,774.82</w:t>
      </w:r>
      <w:r>
        <w:rPr>
          <w:rFonts w:eastAsia="仿宋_GB2312" w:hint="eastAsia"/>
          <w:sz w:val="32"/>
          <w:szCs w:val="32"/>
        </w:rPr>
        <w:t>万元，完成预算的</w:t>
      </w:r>
      <w:r>
        <w:rPr>
          <w:rFonts w:eastAsia="仿宋_GB2312"/>
          <w:sz w:val="32"/>
          <w:szCs w:val="32"/>
        </w:rPr>
        <w:t>102.11%</w:t>
      </w:r>
      <w:r>
        <w:rPr>
          <w:rFonts w:eastAsia="仿宋_GB2312" w:hint="eastAsia"/>
          <w:sz w:val="32"/>
          <w:szCs w:val="32"/>
        </w:rPr>
        <w:t>，总支出</w:t>
      </w:r>
      <w:r>
        <w:rPr>
          <w:rFonts w:eastAsia="仿宋_GB2312"/>
          <w:sz w:val="32"/>
          <w:szCs w:val="32"/>
        </w:rPr>
        <w:t>207,319.01</w:t>
      </w:r>
      <w:r>
        <w:rPr>
          <w:rFonts w:eastAsia="仿宋_GB2312" w:hint="eastAsia"/>
          <w:sz w:val="32"/>
          <w:szCs w:val="32"/>
        </w:rPr>
        <w:t>万元，完成预算的</w:t>
      </w:r>
      <w:r>
        <w:rPr>
          <w:rFonts w:eastAsia="仿宋_GB2312"/>
          <w:sz w:val="32"/>
          <w:szCs w:val="32"/>
        </w:rPr>
        <w:t>99.86%</w:t>
      </w:r>
      <w:r>
        <w:rPr>
          <w:rFonts w:eastAsia="仿宋_GB2312" w:hint="eastAsia"/>
          <w:sz w:val="32"/>
          <w:szCs w:val="32"/>
        </w:rPr>
        <w:t>，总体来看，基金收入、支出预算执行进度在正常范围内。此项自评收入预算完成得</w:t>
      </w:r>
      <w:r>
        <w:rPr>
          <w:rFonts w:eastAsia="仿宋_GB2312"/>
          <w:sz w:val="32"/>
          <w:szCs w:val="32"/>
        </w:rPr>
        <w:t>4</w:t>
      </w:r>
      <w:r>
        <w:rPr>
          <w:rFonts w:eastAsia="仿宋_GB2312" w:hint="eastAsia"/>
          <w:sz w:val="32"/>
          <w:szCs w:val="32"/>
        </w:rPr>
        <w:t>分，支出预算完成得</w:t>
      </w:r>
      <w:r>
        <w:rPr>
          <w:rFonts w:eastAsia="仿宋_GB2312"/>
          <w:sz w:val="32"/>
          <w:szCs w:val="32"/>
        </w:rPr>
        <w:t>4</w:t>
      </w:r>
      <w:r>
        <w:rPr>
          <w:rFonts w:eastAsia="仿宋_GB2312" w:hint="eastAsia"/>
          <w:sz w:val="32"/>
          <w:szCs w:val="32"/>
        </w:rPr>
        <w:t>分，预算准确性共得</w:t>
      </w:r>
      <w:r>
        <w:rPr>
          <w:rFonts w:eastAsia="仿宋_GB2312"/>
          <w:sz w:val="32"/>
          <w:szCs w:val="32"/>
        </w:rPr>
        <w:t>8</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收入支出质量。</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年度，全市职工医保基金当期基本医疗保险费收入与基金收入合计比值为</w:t>
      </w:r>
      <w:r>
        <w:rPr>
          <w:rFonts w:eastAsia="仿宋_GB2312"/>
          <w:sz w:val="32"/>
          <w:szCs w:val="32"/>
        </w:rPr>
        <w:t>97.77%</w:t>
      </w:r>
      <w:r>
        <w:rPr>
          <w:rFonts w:eastAsia="仿宋_GB2312" w:hint="eastAsia"/>
          <w:sz w:val="32"/>
          <w:szCs w:val="32"/>
        </w:rPr>
        <w:t>；全市职工医保基金当期基本医疗保险费支出与基金支出合计比值为</w:t>
      </w:r>
      <w:r>
        <w:rPr>
          <w:rFonts w:eastAsia="仿宋_GB2312"/>
          <w:sz w:val="32"/>
          <w:szCs w:val="32"/>
        </w:rPr>
        <w:t>96.34%</w:t>
      </w:r>
      <w:r>
        <w:rPr>
          <w:rFonts w:eastAsia="仿宋_GB2312" w:hint="eastAsia"/>
          <w:sz w:val="32"/>
          <w:szCs w:val="32"/>
        </w:rPr>
        <w:t>；全市职工医保基金当期其他支出与基金支出合计的比值为</w:t>
      </w:r>
      <w:r>
        <w:rPr>
          <w:rFonts w:eastAsia="仿宋_GB2312"/>
          <w:sz w:val="32"/>
          <w:szCs w:val="32"/>
        </w:rPr>
        <w:t>3.48%</w:t>
      </w:r>
      <w:r>
        <w:rPr>
          <w:rFonts w:eastAsia="仿宋_GB2312" w:hint="eastAsia"/>
          <w:sz w:val="32"/>
          <w:szCs w:val="32"/>
        </w:rPr>
        <w:t>，总体来看，收入支出质量较高。此项自评社会保险费收入占基金收入比重得</w:t>
      </w:r>
      <w:r>
        <w:rPr>
          <w:rFonts w:eastAsia="仿宋_GB2312"/>
          <w:sz w:val="32"/>
          <w:szCs w:val="32"/>
        </w:rPr>
        <w:t>1</w:t>
      </w:r>
      <w:r>
        <w:rPr>
          <w:rFonts w:eastAsia="仿宋_GB2312" w:hint="eastAsia"/>
          <w:sz w:val="32"/>
          <w:szCs w:val="32"/>
        </w:rPr>
        <w:t>分，社会保险待遇支出占基金支出比重得</w:t>
      </w:r>
      <w:r>
        <w:rPr>
          <w:rFonts w:eastAsia="仿宋_GB2312"/>
          <w:sz w:val="32"/>
          <w:szCs w:val="32"/>
        </w:rPr>
        <w:t>1</w:t>
      </w:r>
      <w:r>
        <w:rPr>
          <w:rFonts w:eastAsia="仿宋_GB2312" w:hint="eastAsia"/>
          <w:sz w:val="32"/>
          <w:szCs w:val="32"/>
        </w:rPr>
        <w:t>分，其他支出占基金支出比重得</w:t>
      </w:r>
      <w:r>
        <w:rPr>
          <w:rFonts w:eastAsia="仿宋_GB2312"/>
          <w:sz w:val="32"/>
          <w:szCs w:val="32"/>
        </w:rPr>
        <w:t>1</w:t>
      </w:r>
      <w:r>
        <w:rPr>
          <w:rFonts w:eastAsia="仿宋_GB2312" w:hint="eastAsia"/>
          <w:sz w:val="32"/>
          <w:szCs w:val="32"/>
        </w:rPr>
        <w:t>分，收入支出质量共得</w:t>
      </w:r>
      <w:r>
        <w:rPr>
          <w:rFonts w:eastAsia="仿宋_GB2312"/>
          <w:sz w:val="32"/>
          <w:szCs w:val="32"/>
        </w:rPr>
        <w:t>3</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待遇支付时效。</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年度，全市职工医保基金待遇正常拨付，未拖欠参保个人、单位、两定机构医疗费用。此项自评得</w:t>
      </w:r>
      <w:r>
        <w:rPr>
          <w:rFonts w:eastAsia="仿宋_GB2312"/>
          <w:sz w:val="32"/>
          <w:szCs w:val="32"/>
        </w:rPr>
        <w:t>5</w:t>
      </w:r>
      <w:r>
        <w:rPr>
          <w:rFonts w:eastAsia="仿宋_GB2312" w:hint="eastAsia"/>
          <w:sz w:val="32"/>
          <w:szCs w:val="32"/>
        </w:rPr>
        <w:t>分。</w:t>
      </w:r>
    </w:p>
    <w:p>
      <w:pPr>
        <w:spacing w:line="540" w:lineRule="exact"/>
        <w:ind w:firstLineChars="200" w:firstLine="640"/>
        <w:rPr>
          <w:rFonts w:eastAsia="楷体"/>
          <w:sz w:val="32"/>
          <w:szCs w:val="32"/>
        </w:rPr>
      </w:pPr>
      <w:r>
        <w:rPr>
          <w:rFonts w:eastAsia="楷体" w:hint="eastAsia"/>
          <w:sz w:val="32"/>
          <w:szCs w:val="32"/>
        </w:rPr>
        <w:t>（四）效益指标。</w:t>
      </w:r>
    </w:p>
    <w:p>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经济效益。</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年度，我市在保证</w:t>
      </w:r>
      <w:r>
        <w:rPr>
          <w:rFonts w:eastAsia="仿宋_GB2312"/>
          <w:sz w:val="32"/>
          <w:szCs w:val="32"/>
        </w:rPr>
        <w:t>3</w:t>
      </w:r>
      <w:r>
        <w:rPr>
          <w:rFonts w:eastAsia="仿宋_GB2312" w:hint="eastAsia"/>
          <w:sz w:val="32"/>
          <w:szCs w:val="32"/>
        </w:rPr>
        <w:t>个月正常支付水平的情况下，将医保基金及时转存定期，落实银行优惠利率，利息收益率为</w:t>
      </w:r>
      <w:r>
        <w:rPr>
          <w:rFonts w:eastAsia="仿宋_GB2312"/>
          <w:sz w:val="32"/>
          <w:szCs w:val="32"/>
        </w:rPr>
        <w:t>1.41%</w:t>
      </w:r>
      <w:r>
        <w:rPr>
          <w:rFonts w:eastAsia="仿宋_GB2312" w:hint="eastAsia"/>
          <w:sz w:val="32"/>
          <w:szCs w:val="32"/>
        </w:rPr>
        <w:t>，确保基金保值增值。此项自评得</w:t>
      </w:r>
      <w:r>
        <w:rPr>
          <w:rFonts w:eastAsia="仿宋_GB2312"/>
          <w:sz w:val="32"/>
          <w:szCs w:val="32"/>
        </w:rPr>
        <w:t>3</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社会效益。</w:t>
      </w:r>
    </w:p>
    <w:p>
      <w:pPr>
        <w:spacing w:line="540" w:lineRule="exact"/>
        <w:ind w:firstLineChars="200" w:firstLine="640"/>
        <w:rPr>
          <w:rFonts w:eastAsia="仿宋_GB2312"/>
          <w:sz w:val="32"/>
          <w:szCs w:val="32"/>
        </w:rPr>
      </w:pPr>
      <w:r>
        <w:rPr>
          <w:rFonts w:eastAsia="仿宋_GB2312" w:hint="eastAsia"/>
          <w:sz w:val="32"/>
          <w:szCs w:val="32"/>
        </w:rPr>
        <w:t>在执行《攀枝花市职工医疗保险办法》《攀枝花市职工医疗保险办法实施细则》的基础上，</w:t>
      </w:r>
      <w:r>
        <w:rPr>
          <w:rFonts w:eastAsia="仿宋_GB2312"/>
          <w:sz w:val="32"/>
          <w:szCs w:val="32"/>
        </w:rPr>
        <w:t>2022</w:t>
      </w:r>
      <w:r>
        <w:rPr>
          <w:rFonts w:eastAsia="仿宋_GB2312" w:hint="eastAsia"/>
          <w:sz w:val="32"/>
          <w:szCs w:val="32"/>
        </w:rPr>
        <w:t>年我市又相继印发《攀枝花市建立健全职工基本医疗保险门诊共济保障机制实施细则》《攀枝花市医疗保障事务中心关于做好攀枝花市职工基本医疗保险普通门诊费用统筹保障定点医药机构管理工作的通知》（攀医保中心〔</w:t>
      </w:r>
      <w:r>
        <w:rPr>
          <w:rFonts w:eastAsia="仿宋_GB2312"/>
          <w:sz w:val="32"/>
          <w:szCs w:val="32"/>
        </w:rPr>
        <w:t>2022</w:t>
      </w:r>
      <w:r>
        <w:rPr>
          <w:rFonts w:eastAsia="仿宋_GB2312" w:hint="eastAsia"/>
          <w:sz w:val="32"/>
          <w:szCs w:val="32"/>
        </w:rPr>
        <w:t>〕</w:t>
      </w:r>
      <w:r>
        <w:rPr>
          <w:rFonts w:eastAsia="仿宋_GB2312"/>
          <w:sz w:val="32"/>
          <w:szCs w:val="32"/>
        </w:rPr>
        <w:t>90</w:t>
      </w:r>
      <w:r>
        <w:rPr>
          <w:rFonts w:eastAsia="仿宋_GB2312" w:hint="eastAsia"/>
          <w:sz w:val="32"/>
          <w:szCs w:val="32"/>
        </w:rPr>
        <w:t>号）。</w:t>
      </w:r>
      <w:r>
        <w:rPr>
          <w:rFonts w:eastAsia="仿宋_GB2312"/>
          <w:sz w:val="32"/>
          <w:szCs w:val="32"/>
        </w:rPr>
        <w:t>2023</w:t>
      </w:r>
      <w:r>
        <w:rPr>
          <w:rFonts w:eastAsia="仿宋_GB2312" w:hint="eastAsia"/>
          <w:sz w:val="32"/>
          <w:szCs w:val="32"/>
        </w:rPr>
        <w:t>年，我市职工基本医疗保险政策范围内住院费用报销比例</w:t>
      </w:r>
      <w:r>
        <w:rPr>
          <w:rFonts w:eastAsia="仿宋_GB2312"/>
          <w:sz w:val="32"/>
          <w:szCs w:val="32"/>
        </w:rPr>
        <w:t>88.66%</w:t>
      </w:r>
      <w:r>
        <w:rPr>
          <w:rFonts w:eastAsia="仿宋_GB2312" w:hint="eastAsia"/>
          <w:sz w:val="32"/>
          <w:szCs w:val="32"/>
        </w:rPr>
        <w:t>，政策范围内门诊费用报销比例</w:t>
      </w:r>
      <w:r>
        <w:rPr>
          <w:rFonts w:eastAsia="仿宋_GB2312"/>
          <w:sz w:val="32"/>
          <w:szCs w:val="32"/>
        </w:rPr>
        <w:t>84.21%</w:t>
      </w:r>
      <w:r>
        <w:rPr>
          <w:rFonts w:eastAsia="仿宋_GB2312" w:hint="eastAsia"/>
          <w:sz w:val="32"/>
          <w:szCs w:val="32"/>
        </w:rPr>
        <w:t>。此项自评住院费用报销比例得</w:t>
      </w:r>
      <w:r>
        <w:rPr>
          <w:rFonts w:eastAsia="仿宋_GB2312"/>
          <w:sz w:val="32"/>
          <w:szCs w:val="32"/>
        </w:rPr>
        <w:t>5</w:t>
      </w:r>
      <w:r>
        <w:rPr>
          <w:rFonts w:eastAsia="仿宋_GB2312" w:hint="eastAsia"/>
          <w:sz w:val="32"/>
          <w:szCs w:val="32"/>
        </w:rPr>
        <w:t>分，门诊费用报销比例得</w:t>
      </w:r>
      <w:r>
        <w:rPr>
          <w:rFonts w:eastAsia="仿宋_GB2312"/>
          <w:sz w:val="32"/>
          <w:szCs w:val="32"/>
        </w:rPr>
        <w:t>5</w:t>
      </w:r>
      <w:r>
        <w:rPr>
          <w:rFonts w:eastAsia="仿宋_GB2312" w:hint="eastAsia"/>
          <w:sz w:val="32"/>
          <w:szCs w:val="32"/>
        </w:rPr>
        <w:t>分，社会效益共得</w:t>
      </w:r>
      <w:r>
        <w:rPr>
          <w:rFonts w:eastAsia="仿宋_GB2312"/>
          <w:sz w:val="32"/>
          <w:szCs w:val="32"/>
        </w:rPr>
        <w:t>10</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基金运行可持续性。</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年度，我市职工基本医疗保险统筹基金当期结余</w:t>
      </w:r>
      <w:r>
        <w:rPr>
          <w:rFonts w:eastAsia="仿宋_GB2312"/>
          <w:sz w:val="32"/>
          <w:szCs w:val="32"/>
        </w:rPr>
        <w:t>18,806.55</w:t>
      </w:r>
      <w:r>
        <w:rPr>
          <w:rFonts w:eastAsia="仿宋_GB2312" w:hint="eastAsia"/>
          <w:sz w:val="32"/>
          <w:szCs w:val="32"/>
        </w:rPr>
        <w:t>万元，我市职工基本医疗保险统筹基金受参保人数逐年下降，参保人员老龄化严重等因素影响，累计可支付月数为</w:t>
      </w:r>
      <w:r>
        <w:rPr>
          <w:rFonts w:eastAsia="仿宋_GB2312"/>
          <w:sz w:val="32"/>
          <w:szCs w:val="32"/>
        </w:rPr>
        <w:t>4.45</w:t>
      </w:r>
      <w:r>
        <w:rPr>
          <w:rFonts w:eastAsia="仿宋_GB2312" w:hint="eastAsia"/>
          <w:sz w:val="32"/>
          <w:szCs w:val="32"/>
        </w:rPr>
        <w:t>个月，处于三级风险预警（一般预警）。此项自评统筹基金当期收支平衡得</w:t>
      </w:r>
      <w:r>
        <w:rPr>
          <w:rFonts w:eastAsia="仿宋_GB2312"/>
          <w:sz w:val="32"/>
          <w:szCs w:val="32"/>
        </w:rPr>
        <w:t>3</w:t>
      </w:r>
      <w:r>
        <w:rPr>
          <w:rFonts w:eastAsia="仿宋_GB2312" w:hint="eastAsia"/>
          <w:sz w:val="32"/>
          <w:szCs w:val="32"/>
        </w:rPr>
        <w:t>分，基金运行安全可持续扣</w:t>
      </w:r>
      <w:r>
        <w:rPr>
          <w:rFonts w:eastAsia="仿宋_GB2312"/>
          <w:sz w:val="32"/>
          <w:szCs w:val="32"/>
        </w:rPr>
        <w:t>1</w:t>
      </w:r>
      <w:r>
        <w:rPr>
          <w:rFonts w:eastAsia="仿宋_GB2312" w:hint="eastAsia"/>
          <w:sz w:val="32"/>
          <w:szCs w:val="32"/>
        </w:rPr>
        <w:t>分，得</w:t>
      </w:r>
      <w:r>
        <w:rPr>
          <w:rFonts w:eastAsia="仿宋_GB2312"/>
          <w:sz w:val="32"/>
          <w:szCs w:val="32"/>
        </w:rPr>
        <w:t>1</w:t>
      </w:r>
      <w:r>
        <w:rPr>
          <w:rFonts w:eastAsia="仿宋_GB2312" w:hint="eastAsia"/>
          <w:sz w:val="32"/>
          <w:szCs w:val="32"/>
        </w:rPr>
        <w:t>分，基金运行可持续性共得</w:t>
      </w:r>
      <w:r>
        <w:rPr>
          <w:rFonts w:eastAsia="仿宋_GB2312"/>
          <w:sz w:val="32"/>
          <w:szCs w:val="32"/>
        </w:rPr>
        <w:t>4</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满意度。</w:t>
      </w:r>
    </w:p>
    <w:p>
      <w:pPr>
        <w:spacing w:line="54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年攀枝花市职工基本医疗保险政策知晓率</w:t>
      </w:r>
      <w:r>
        <w:rPr>
          <w:rFonts w:eastAsia="仿宋_GB2312"/>
          <w:sz w:val="32"/>
          <w:szCs w:val="32"/>
        </w:rPr>
        <w:t>95%</w:t>
      </w:r>
      <w:r>
        <w:rPr>
          <w:rFonts w:eastAsia="仿宋_GB2312" w:hint="eastAsia"/>
          <w:sz w:val="32"/>
          <w:szCs w:val="32"/>
        </w:rPr>
        <w:t>以上，参保和待遇享受政策对所有参保对象公平一致，参保对象对政策的满意度达到</w:t>
      </w:r>
      <w:r>
        <w:rPr>
          <w:rFonts w:eastAsia="仿宋_GB2312"/>
          <w:sz w:val="32"/>
          <w:szCs w:val="32"/>
        </w:rPr>
        <w:t>98%</w:t>
      </w:r>
      <w:r>
        <w:rPr>
          <w:rFonts w:eastAsia="仿宋_GB2312" w:hint="eastAsia"/>
          <w:sz w:val="32"/>
          <w:szCs w:val="32"/>
        </w:rPr>
        <w:t>，参保对象对经办服务的满意度达到</w:t>
      </w:r>
      <w:r>
        <w:rPr>
          <w:rFonts w:eastAsia="仿宋_GB2312"/>
          <w:sz w:val="32"/>
          <w:szCs w:val="32"/>
        </w:rPr>
        <w:t>100%</w:t>
      </w:r>
      <w:r>
        <w:rPr>
          <w:rFonts w:eastAsia="仿宋_GB2312" w:hint="eastAsia"/>
          <w:sz w:val="32"/>
          <w:szCs w:val="32"/>
        </w:rPr>
        <w:t>。此项自评得</w:t>
      </w:r>
      <w:r>
        <w:rPr>
          <w:rFonts w:eastAsia="仿宋_GB2312"/>
          <w:sz w:val="32"/>
          <w:szCs w:val="32"/>
        </w:rPr>
        <w:t>5</w:t>
      </w:r>
      <w:r>
        <w:rPr>
          <w:rFonts w:eastAsia="仿宋_GB2312" w:hint="eastAsia"/>
          <w:sz w:val="32"/>
          <w:szCs w:val="32"/>
        </w:rPr>
        <w:t>分。</w:t>
      </w:r>
    </w:p>
    <w:p>
      <w:pPr>
        <w:spacing w:line="540" w:lineRule="exact"/>
        <w:ind w:firstLineChars="200" w:firstLine="640"/>
        <w:rPr>
          <w:rFonts w:eastAsia="楷体"/>
          <w:sz w:val="32"/>
          <w:szCs w:val="32"/>
        </w:rPr>
      </w:pPr>
      <w:r>
        <w:rPr>
          <w:rFonts w:eastAsia="楷体" w:hint="eastAsia"/>
          <w:sz w:val="32"/>
          <w:szCs w:val="32"/>
        </w:rPr>
        <w:t>（五）加分项。</w:t>
      </w:r>
    </w:p>
    <w:p>
      <w:pPr>
        <w:spacing w:line="540" w:lineRule="exact"/>
        <w:ind w:firstLineChars="200" w:firstLine="640"/>
        <w:rPr>
          <w:rFonts w:eastAsia="仿宋_GB2312"/>
          <w:sz w:val="32"/>
          <w:szCs w:val="32"/>
        </w:rPr>
      </w:pPr>
      <w:r>
        <w:rPr>
          <w:rFonts w:eastAsia="仿宋_GB2312" w:hint="eastAsia"/>
          <w:sz w:val="32"/>
          <w:szCs w:val="32"/>
        </w:rPr>
        <w:t>根据中共四川省委四川省人民政府《关于表彰第七届四川省“人民满意的公务员”“人民满意的公务员集体”和记一等功公务员、记一等功公务员集体的决定》，攀枝花市医疗保障事务中心被授予记一等功公务员集体，此项自评得</w:t>
      </w:r>
      <w:r>
        <w:rPr>
          <w:rFonts w:eastAsia="仿宋_GB2312"/>
          <w:sz w:val="32"/>
          <w:szCs w:val="32"/>
        </w:rPr>
        <w:t>5</w:t>
      </w:r>
      <w:r>
        <w:rPr>
          <w:rFonts w:eastAsia="仿宋_GB2312" w:hint="eastAsia"/>
          <w:sz w:val="32"/>
          <w:szCs w:val="32"/>
        </w:rPr>
        <w:t>分。</w:t>
      </w:r>
    </w:p>
    <w:p>
      <w:pPr>
        <w:spacing w:line="540" w:lineRule="exact"/>
        <w:ind w:firstLineChars="200" w:firstLine="640"/>
        <w:rPr>
          <w:rFonts w:eastAsia="楷体"/>
          <w:sz w:val="32"/>
          <w:szCs w:val="32"/>
        </w:rPr>
      </w:pPr>
      <w:r>
        <w:rPr>
          <w:rFonts w:eastAsia="楷体" w:hint="eastAsia"/>
          <w:sz w:val="32"/>
          <w:szCs w:val="32"/>
        </w:rPr>
        <w:t>（六）评价结论及改进措施。</w:t>
      </w:r>
    </w:p>
    <w:p>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评价结果。</w:t>
      </w:r>
    </w:p>
    <w:p>
      <w:pPr>
        <w:spacing w:line="540" w:lineRule="exact"/>
        <w:ind w:firstLineChars="200" w:firstLine="640"/>
        <w:rPr>
          <w:rFonts w:eastAsia="仿宋_GB2312"/>
          <w:sz w:val="32"/>
          <w:szCs w:val="32"/>
        </w:rPr>
      </w:pPr>
      <w:r>
        <w:rPr>
          <w:rFonts w:eastAsia="仿宋_GB2312" w:hint="eastAsia"/>
          <w:sz w:val="32"/>
          <w:szCs w:val="32"/>
        </w:rPr>
        <w:t>按照《</w:t>
      </w:r>
      <w:r>
        <w:rPr>
          <w:rFonts w:eastAsia="仿宋_GB2312"/>
          <w:sz w:val="32"/>
          <w:szCs w:val="32"/>
        </w:rPr>
        <w:t>2023</w:t>
      </w:r>
      <w:r>
        <w:rPr>
          <w:rFonts w:eastAsia="仿宋_GB2312" w:hint="eastAsia"/>
          <w:sz w:val="32"/>
          <w:szCs w:val="32"/>
        </w:rPr>
        <w:t>年基本医疗保险基金预算绩效指标表》进行自评，自评得分为</w:t>
      </w:r>
      <w:r>
        <w:rPr>
          <w:rFonts w:eastAsia="仿宋_GB2312"/>
          <w:sz w:val="32"/>
          <w:szCs w:val="32"/>
        </w:rPr>
        <w:t>94</w:t>
      </w:r>
      <w:r>
        <w:rPr>
          <w:rFonts w:eastAsia="仿宋_GB2312" w:hint="eastAsia"/>
          <w:sz w:val="32"/>
          <w:szCs w:val="32"/>
        </w:rPr>
        <w:t>分，自评等次为优秀。</w:t>
      </w:r>
      <w:r>
        <w:rPr>
          <w:rFonts w:eastAsia="仿宋_GB2312" w:hint="eastAsia"/>
          <w:b/>
          <w:sz w:val="32"/>
          <w:szCs w:val="32"/>
        </w:rPr>
        <w:t>一是</w:t>
      </w:r>
      <w:r>
        <w:rPr>
          <w:rFonts w:eastAsia="仿宋_GB2312" w:hint="eastAsia"/>
          <w:sz w:val="32"/>
          <w:szCs w:val="32"/>
        </w:rPr>
        <w:t>我市按照《四川省医疗保障局关于开展医保基金财务管理问题“回头看”并深入排查基金安全风险的通知》文件要求进行检查，发现县区仍存在月末收入户余额未划归财政专户管理情况，自评扣</w:t>
      </w:r>
      <w:r>
        <w:rPr>
          <w:rFonts w:eastAsia="仿宋_GB2312"/>
          <w:sz w:val="32"/>
          <w:szCs w:val="32"/>
        </w:rPr>
        <w:t>1</w:t>
      </w:r>
      <w:r>
        <w:rPr>
          <w:rFonts w:eastAsia="仿宋_GB2312" w:hint="eastAsia"/>
          <w:sz w:val="32"/>
          <w:szCs w:val="32"/>
        </w:rPr>
        <w:t>分。</w:t>
      </w:r>
      <w:r>
        <w:rPr>
          <w:rFonts w:eastAsia="仿宋_GB2312" w:hint="eastAsia"/>
          <w:b/>
          <w:sz w:val="32"/>
          <w:szCs w:val="32"/>
        </w:rPr>
        <w:t>二是</w:t>
      </w:r>
      <w:r>
        <w:rPr>
          <w:rFonts w:eastAsia="仿宋_GB2312" w:hint="eastAsia"/>
          <w:sz w:val="32"/>
          <w:szCs w:val="32"/>
        </w:rPr>
        <w:t>我市</w:t>
      </w:r>
      <w:r>
        <w:rPr>
          <w:rFonts w:eastAsia="仿宋_GB2312"/>
          <w:sz w:val="32"/>
          <w:szCs w:val="32"/>
        </w:rPr>
        <w:t>2023</w:t>
      </w:r>
      <w:r>
        <w:rPr>
          <w:rFonts w:eastAsia="仿宋_GB2312" w:hint="eastAsia"/>
          <w:sz w:val="32"/>
          <w:szCs w:val="32"/>
        </w:rPr>
        <w:t>年度基金监管综合评价得分</w:t>
      </w:r>
      <w:r>
        <w:rPr>
          <w:rFonts w:eastAsia="仿宋_GB2312"/>
          <w:sz w:val="32"/>
          <w:szCs w:val="32"/>
        </w:rPr>
        <w:t>75</w:t>
      </w:r>
      <w:r>
        <w:rPr>
          <w:rFonts w:eastAsia="仿宋_GB2312" w:hint="eastAsia"/>
          <w:sz w:val="32"/>
          <w:szCs w:val="32"/>
        </w:rPr>
        <w:t>分，基金监督管理自评扣</w:t>
      </w:r>
      <w:r>
        <w:rPr>
          <w:rFonts w:eastAsia="仿宋_GB2312"/>
          <w:sz w:val="32"/>
          <w:szCs w:val="32"/>
        </w:rPr>
        <w:t>4</w:t>
      </w:r>
      <w:r>
        <w:rPr>
          <w:rFonts w:eastAsia="仿宋_GB2312" w:hint="eastAsia"/>
          <w:sz w:val="32"/>
          <w:szCs w:val="32"/>
        </w:rPr>
        <w:t>分。</w:t>
      </w:r>
      <w:r>
        <w:rPr>
          <w:rFonts w:eastAsia="仿宋_GB2312" w:hint="eastAsia"/>
          <w:b/>
          <w:sz w:val="32"/>
          <w:szCs w:val="32"/>
        </w:rPr>
        <w:t>三是</w:t>
      </w:r>
      <w:r>
        <w:rPr>
          <w:rFonts w:eastAsia="仿宋_GB2312" w:hint="eastAsia"/>
          <w:sz w:val="32"/>
          <w:szCs w:val="32"/>
        </w:rPr>
        <w:t>我市以常住人口为基数计算基本医保综合参保率为</w:t>
      </w:r>
      <w:r>
        <w:rPr>
          <w:rFonts w:eastAsia="仿宋_GB2312"/>
          <w:sz w:val="32"/>
          <w:szCs w:val="32"/>
        </w:rPr>
        <w:t>88.56%</w:t>
      </w:r>
      <w:r>
        <w:rPr>
          <w:rFonts w:eastAsia="仿宋_GB2312" w:hint="eastAsia"/>
          <w:sz w:val="32"/>
          <w:szCs w:val="32"/>
        </w:rPr>
        <w:t>，低于</w:t>
      </w:r>
      <w:r>
        <w:rPr>
          <w:rFonts w:eastAsia="仿宋_GB2312"/>
          <w:sz w:val="32"/>
          <w:szCs w:val="32"/>
        </w:rPr>
        <w:t>95%5</w:t>
      </w:r>
      <w:r>
        <w:rPr>
          <w:rFonts w:eastAsia="仿宋_GB2312" w:hint="eastAsia"/>
          <w:sz w:val="32"/>
          <w:szCs w:val="32"/>
        </w:rPr>
        <w:t>个百分点，自评扣</w:t>
      </w:r>
      <w:r>
        <w:rPr>
          <w:rFonts w:eastAsia="仿宋_GB2312"/>
          <w:sz w:val="32"/>
          <w:szCs w:val="32"/>
        </w:rPr>
        <w:t>5</w:t>
      </w:r>
      <w:r>
        <w:rPr>
          <w:rFonts w:eastAsia="仿宋_GB2312" w:hint="eastAsia"/>
          <w:sz w:val="32"/>
          <w:szCs w:val="32"/>
        </w:rPr>
        <w:t>分。</w:t>
      </w:r>
      <w:r>
        <w:rPr>
          <w:rFonts w:eastAsia="仿宋_GB2312" w:hint="eastAsia"/>
          <w:b/>
          <w:sz w:val="32"/>
          <w:szCs w:val="32"/>
        </w:rPr>
        <w:t>四是</w:t>
      </w:r>
      <w:r>
        <w:rPr>
          <w:rFonts w:eastAsia="仿宋_GB2312" w:hint="eastAsia"/>
          <w:sz w:val="32"/>
          <w:szCs w:val="32"/>
        </w:rPr>
        <w:t>我市</w:t>
      </w:r>
      <w:r>
        <w:rPr>
          <w:rFonts w:eastAsia="仿宋_GB2312"/>
          <w:sz w:val="32"/>
          <w:szCs w:val="32"/>
        </w:rPr>
        <w:t>2023</w:t>
      </w:r>
      <w:r>
        <w:rPr>
          <w:rFonts w:eastAsia="仿宋_GB2312" w:hint="eastAsia"/>
          <w:sz w:val="32"/>
          <w:szCs w:val="32"/>
        </w:rPr>
        <w:t>年基本医疗保险统筹基金累计结余为</w:t>
      </w:r>
      <w:r>
        <w:rPr>
          <w:rFonts w:eastAsia="仿宋_GB2312"/>
          <w:sz w:val="32"/>
          <w:szCs w:val="32"/>
        </w:rPr>
        <w:t>57,803.76</w:t>
      </w:r>
      <w:r>
        <w:rPr>
          <w:rFonts w:eastAsia="仿宋_GB2312" w:hint="eastAsia"/>
          <w:sz w:val="32"/>
          <w:szCs w:val="32"/>
        </w:rPr>
        <w:t>万元，可支付月数为</w:t>
      </w:r>
      <w:r>
        <w:rPr>
          <w:rFonts w:eastAsia="仿宋_GB2312"/>
          <w:sz w:val="32"/>
          <w:szCs w:val="32"/>
        </w:rPr>
        <w:t>4.45</w:t>
      </w:r>
      <w:r>
        <w:rPr>
          <w:rFonts w:eastAsia="仿宋_GB2312" w:hint="eastAsia"/>
          <w:sz w:val="32"/>
          <w:szCs w:val="32"/>
        </w:rPr>
        <w:t>个月，处于三级风险预警（一般预警），低于</w:t>
      </w:r>
      <w:r>
        <w:rPr>
          <w:rFonts w:eastAsia="仿宋_GB2312"/>
          <w:sz w:val="32"/>
          <w:szCs w:val="32"/>
        </w:rPr>
        <w:t>6</w:t>
      </w:r>
      <w:r>
        <w:rPr>
          <w:rFonts w:eastAsia="仿宋_GB2312" w:hint="eastAsia"/>
          <w:sz w:val="32"/>
          <w:szCs w:val="32"/>
        </w:rPr>
        <w:t>个月的安全预警线，自评扣分</w:t>
      </w:r>
      <w:r>
        <w:rPr>
          <w:rFonts w:eastAsia="仿宋_GB2312"/>
          <w:sz w:val="32"/>
          <w:szCs w:val="32"/>
        </w:rPr>
        <w:t>1</w:t>
      </w:r>
      <w:r>
        <w:rPr>
          <w:rFonts w:eastAsia="仿宋_GB2312" w:hint="eastAsia"/>
          <w:sz w:val="32"/>
          <w:szCs w:val="32"/>
        </w:rPr>
        <w:t>分。</w:t>
      </w:r>
      <w:r>
        <w:rPr>
          <w:rFonts w:eastAsia="仿宋_GB2312" w:hint="eastAsia"/>
          <w:b/>
          <w:sz w:val="32"/>
          <w:szCs w:val="32"/>
        </w:rPr>
        <w:t>五是</w:t>
      </w:r>
      <w:r>
        <w:rPr>
          <w:rFonts w:eastAsia="仿宋_GB2312" w:hint="eastAsia"/>
          <w:sz w:val="32"/>
          <w:szCs w:val="32"/>
        </w:rPr>
        <w:t>攀枝花市医疗保障事务中心被中共四川省委、四川省人民政府授予记一等功公务员集体，此项自评加</w:t>
      </w:r>
      <w:r>
        <w:rPr>
          <w:rFonts w:eastAsia="仿宋_GB2312"/>
          <w:sz w:val="32"/>
          <w:szCs w:val="32"/>
        </w:rPr>
        <w:t>5</w:t>
      </w:r>
      <w:r>
        <w:rPr>
          <w:rFonts w:eastAsia="仿宋_GB2312" w:hint="eastAsia"/>
          <w:sz w:val="32"/>
          <w:szCs w:val="32"/>
        </w:rPr>
        <w:t>分。</w:t>
      </w:r>
    </w:p>
    <w:p>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存在的问题。</w:t>
      </w:r>
    </w:p>
    <w:p>
      <w:pPr>
        <w:spacing w:line="540" w:lineRule="exact"/>
        <w:ind w:firstLineChars="200" w:firstLine="640"/>
        <w:rPr>
          <w:rFonts w:eastAsia="仿宋_GB2312"/>
          <w:sz w:val="32"/>
          <w:szCs w:val="32"/>
        </w:rPr>
      </w:pPr>
      <w:r>
        <w:rPr>
          <w:rFonts w:eastAsia="仿宋_GB2312" w:hint="eastAsia"/>
          <w:sz w:val="32"/>
          <w:szCs w:val="32"/>
        </w:rPr>
        <w:t>医保基金结构性矛盾突出。</w:t>
      </w:r>
      <w:r>
        <w:rPr>
          <w:rFonts w:eastAsia="仿宋_GB2312" w:hint="eastAsia"/>
          <w:b/>
          <w:sz w:val="32"/>
          <w:szCs w:val="32"/>
        </w:rPr>
        <w:t>一是</w:t>
      </w:r>
      <w:r>
        <w:rPr>
          <w:rFonts w:eastAsia="仿宋_GB2312" w:hint="eastAsia"/>
          <w:sz w:val="32"/>
          <w:szCs w:val="32"/>
        </w:rPr>
        <w:t>城市建设发展历史导致的供养比持续恶化问题突出，近年来职工医保在职退休供养比逐年下降（</w:t>
      </w:r>
      <w:r>
        <w:rPr>
          <w:rFonts w:eastAsia="仿宋_GB2312"/>
          <w:sz w:val="32"/>
          <w:szCs w:val="32"/>
        </w:rPr>
        <w:t>2023</w:t>
      </w:r>
      <w:r>
        <w:rPr>
          <w:rFonts w:eastAsia="仿宋_GB2312" w:hint="eastAsia"/>
          <w:sz w:val="32"/>
          <w:szCs w:val="32"/>
        </w:rPr>
        <w:t>年底已低至</w:t>
      </w:r>
      <w:r>
        <w:rPr>
          <w:rFonts w:eastAsia="仿宋_GB2312"/>
          <w:sz w:val="32"/>
          <w:szCs w:val="32"/>
        </w:rPr>
        <w:t>1.11</w:t>
      </w:r>
      <w:r>
        <w:rPr>
          <w:rFonts w:eastAsia="仿宋_GB2312" w:hint="eastAsia"/>
          <w:sz w:val="32"/>
          <w:szCs w:val="32"/>
        </w:rPr>
        <w:t>：</w:t>
      </w:r>
      <w:r>
        <w:rPr>
          <w:rFonts w:eastAsia="仿宋_GB2312"/>
          <w:sz w:val="32"/>
          <w:szCs w:val="32"/>
        </w:rPr>
        <w:t>1</w:t>
      </w:r>
      <w:r>
        <w:rPr>
          <w:rFonts w:eastAsia="仿宋_GB2312" w:hint="eastAsia"/>
          <w:sz w:val="32"/>
          <w:szCs w:val="32"/>
        </w:rPr>
        <w:t>），参保扩面已无空间。</w:t>
      </w:r>
      <w:r>
        <w:rPr>
          <w:rFonts w:eastAsia="仿宋_GB2312" w:hint="eastAsia"/>
          <w:b/>
          <w:sz w:val="32"/>
          <w:szCs w:val="32"/>
        </w:rPr>
        <w:t>二是</w:t>
      </w:r>
      <w:r>
        <w:rPr>
          <w:rFonts w:eastAsia="仿宋_GB2312" w:hint="eastAsia"/>
          <w:sz w:val="32"/>
          <w:szCs w:val="32"/>
        </w:rPr>
        <w:t>参保单位外向发展导致异地人员占比高，退休人员异地居住人数逐年增加。异地就医刚性支出大，且呈逐年上升趋势。</w:t>
      </w:r>
      <w:r>
        <w:rPr>
          <w:rFonts w:eastAsia="仿宋_GB2312" w:hint="eastAsia"/>
          <w:b/>
          <w:sz w:val="32"/>
          <w:szCs w:val="32"/>
        </w:rPr>
        <w:t>三是</w:t>
      </w:r>
      <w:r>
        <w:rPr>
          <w:rFonts w:eastAsia="仿宋_GB2312" w:hint="eastAsia"/>
          <w:sz w:val="32"/>
          <w:szCs w:val="32"/>
        </w:rPr>
        <w:t>本地城镇化发展历史以及早期工业污染较重等因素影响，人口患病率较高，市民对健康较重视，加之市域内医疗资源丰富，参保人员习惯性到高等级医疗机构看病治疗，医疗费用支出较高。</w:t>
      </w:r>
    </w:p>
    <w:p>
      <w:pPr>
        <w:spacing w:line="5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偏离绩效目标的原因</w:t>
      </w:r>
    </w:p>
    <w:p>
      <w:pPr>
        <w:spacing w:line="540" w:lineRule="exact"/>
        <w:ind w:firstLineChars="200" w:firstLine="640"/>
        <w:rPr>
          <w:rFonts w:eastAsia="仿宋_GB2312"/>
          <w:sz w:val="32"/>
          <w:szCs w:val="32"/>
        </w:rPr>
      </w:pPr>
      <w:r>
        <w:rPr>
          <w:rFonts w:eastAsia="仿宋_GB2312" w:hint="eastAsia"/>
          <w:b/>
          <w:sz w:val="32"/>
          <w:szCs w:val="32"/>
        </w:rPr>
        <w:t>一是</w:t>
      </w:r>
      <w:r>
        <w:rPr>
          <w:rFonts w:eastAsia="仿宋_GB2312" w:hint="eastAsia"/>
          <w:sz w:val="32"/>
          <w:szCs w:val="32"/>
        </w:rPr>
        <w:t>我市仍存在月末收入户余额未划归财政专户管理情况。原因是县区同收入户开户银行签订每月底最后一个工作日自动划转财政专户协议，银行自动划账后，参保人员通过银行柜面存入收入户导致月末收入户余额未及时转入财政专户管理。我市已要求市、县（区）医保经办机构进一步梳理医银服务协议内容，加强与合作银行协调，重新签订协议，将月末最后一个自然日</w:t>
      </w:r>
      <w:r>
        <w:rPr>
          <w:rFonts w:eastAsia="仿宋_GB2312"/>
          <w:sz w:val="32"/>
          <w:szCs w:val="32"/>
        </w:rPr>
        <w:t>23</w:t>
      </w:r>
      <w:r>
        <w:rPr>
          <w:rFonts w:eastAsia="仿宋_GB2312" w:hint="eastAsia"/>
          <w:sz w:val="32"/>
          <w:szCs w:val="32"/>
        </w:rPr>
        <w:t>点</w:t>
      </w:r>
      <w:r>
        <w:rPr>
          <w:rFonts w:eastAsia="仿宋_GB2312"/>
          <w:sz w:val="32"/>
          <w:szCs w:val="32"/>
        </w:rPr>
        <w:t>59</w:t>
      </w:r>
      <w:r>
        <w:rPr>
          <w:rFonts w:eastAsia="仿宋_GB2312" w:hint="eastAsia"/>
          <w:sz w:val="32"/>
          <w:szCs w:val="32"/>
        </w:rPr>
        <w:t>分作为收入户清零的时间节点，并责任到人落实月末余额清零工作，确保按时清零。</w:t>
      </w:r>
      <w:r>
        <w:rPr>
          <w:rFonts w:eastAsia="仿宋_GB2312" w:hint="eastAsia"/>
          <w:b/>
          <w:sz w:val="32"/>
          <w:szCs w:val="32"/>
        </w:rPr>
        <w:t>二是</w:t>
      </w:r>
      <w:r>
        <w:rPr>
          <w:rFonts w:eastAsia="仿宋_GB2312" w:hint="eastAsia"/>
          <w:sz w:val="32"/>
          <w:szCs w:val="32"/>
        </w:rPr>
        <w:t>我市以常住人口为基数计算基本医保综合参保率为</w:t>
      </w:r>
      <w:r>
        <w:rPr>
          <w:rFonts w:eastAsia="仿宋_GB2312"/>
          <w:sz w:val="32"/>
          <w:szCs w:val="32"/>
        </w:rPr>
        <w:t>88.56%</w:t>
      </w:r>
      <w:r>
        <w:rPr>
          <w:rFonts w:eastAsia="仿宋_GB2312" w:hint="eastAsia"/>
          <w:sz w:val="32"/>
          <w:szCs w:val="32"/>
        </w:rPr>
        <w:t>，低于</w:t>
      </w:r>
      <w:r>
        <w:rPr>
          <w:rFonts w:eastAsia="仿宋_GB2312"/>
          <w:sz w:val="32"/>
          <w:szCs w:val="32"/>
        </w:rPr>
        <w:t>95%</w:t>
      </w:r>
      <w:r>
        <w:rPr>
          <w:rFonts w:eastAsia="仿宋_GB2312" w:hint="eastAsia"/>
          <w:sz w:val="32"/>
          <w:szCs w:val="32"/>
        </w:rPr>
        <w:t>标准值的</w:t>
      </w:r>
      <w:r>
        <w:rPr>
          <w:rFonts w:eastAsia="仿宋_GB2312"/>
          <w:sz w:val="32"/>
          <w:szCs w:val="32"/>
        </w:rPr>
        <w:t>5</w:t>
      </w:r>
      <w:r>
        <w:rPr>
          <w:rFonts w:eastAsia="仿宋_GB2312" w:hint="eastAsia"/>
          <w:sz w:val="32"/>
          <w:szCs w:val="32"/>
        </w:rPr>
        <w:t>五个百分点。原因是：</w:t>
      </w:r>
      <w:r>
        <w:rPr>
          <w:rFonts w:eastAsia="仿宋_GB2312"/>
          <w:sz w:val="32"/>
          <w:szCs w:val="32"/>
        </w:rPr>
        <w:t>1.2023</w:t>
      </w:r>
      <w:r>
        <w:rPr>
          <w:rFonts w:eastAsia="仿宋_GB2312" w:hint="eastAsia"/>
          <w:sz w:val="32"/>
          <w:szCs w:val="32"/>
        </w:rPr>
        <w:t>年清理死亡人数八千余人；</w:t>
      </w:r>
      <w:r>
        <w:rPr>
          <w:rFonts w:eastAsia="仿宋_GB2312"/>
          <w:sz w:val="32"/>
          <w:szCs w:val="32"/>
        </w:rPr>
        <w:t>2.</w:t>
      </w:r>
      <w:r>
        <w:rPr>
          <w:rFonts w:eastAsia="仿宋_GB2312" w:hint="eastAsia"/>
          <w:sz w:val="32"/>
          <w:szCs w:val="32"/>
        </w:rPr>
        <w:t>清理重复参保九百多条数据；</w:t>
      </w:r>
      <w:r>
        <w:rPr>
          <w:rFonts w:eastAsia="仿宋_GB2312"/>
          <w:sz w:val="32"/>
          <w:szCs w:val="32"/>
        </w:rPr>
        <w:t>3.</w:t>
      </w:r>
      <w:r>
        <w:rPr>
          <w:rFonts w:eastAsia="仿宋_GB2312" w:hint="eastAsia"/>
          <w:sz w:val="32"/>
          <w:szCs w:val="32"/>
        </w:rPr>
        <w:t>部分大学生选择在户籍地参保，大学生减少八千余人；</w:t>
      </w:r>
      <w:r>
        <w:rPr>
          <w:rFonts w:eastAsia="仿宋_GB2312"/>
          <w:sz w:val="32"/>
          <w:szCs w:val="32"/>
        </w:rPr>
        <w:t>4.</w:t>
      </w:r>
      <w:r>
        <w:rPr>
          <w:rFonts w:eastAsia="仿宋_GB2312" w:hint="eastAsia"/>
          <w:sz w:val="32"/>
          <w:szCs w:val="32"/>
        </w:rPr>
        <w:t>保费逐年增加，参保意愿下降；</w:t>
      </w:r>
      <w:r>
        <w:rPr>
          <w:rFonts w:eastAsia="仿宋_GB2312"/>
          <w:sz w:val="32"/>
          <w:szCs w:val="32"/>
        </w:rPr>
        <w:t>5.</w:t>
      </w:r>
      <w:r>
        <w:rPr>
          <w:rFonts w:eastAsia="仿宋_GB2312" w:hint="eastAsia"/>
          <w:sz w:val="32"/>
          <w:szCs w:val="32"/>
        </w:rPr>
        <w:t>外出务工人员增加，在务工当地参保；</w:t>
      </w:r>
      <w:r>
        <w:rPr>
          <w:rFonts w:eastAsia="仿宋_GB2312"/>
          <w:sz w:val="32"/>
          <w:szCs w:val="32"/>
        </w:rPr>
        <w:t>6.2023</w:t>
      </w:r>
      <w:r>
        <w:rPr>
          <w:rFonts w:eastAsia="仿宋_GB2312" w:hint="eastAsia"/>
          <w:sz w:val="32"/>
          <w:szCs w:val="32"/>
        </w:rPr>
        <w:t>年统计参保人数口径增加参保状态为正常的限制条件；</w:t>
      </w:r>
      <w:r>
        <w:rPr>
          <w:rFonts w:eastAsia="仿宋_GB2312"/>
          <w:sz w:val="32"/>
          <w:szCs w:val="32"/>
        </w:rPr>
        <w:t>7.</w:t>
      </w:r>
      <w:r>
        <w:rPr>
          <w:rFonts w:eastAsia="仿宋_GB2312" w:hint="eastAsia"/>
          <w:sz w:val="32"/>
          <w:szCs w:val="32"/>
        </w:rPr>
        <w:t>我市是一座康养移民城市，常住攀枝花市的康养人员以退休人群居多，已在原籍进行参保。</w:t>
      </w:r>
      <w:r>
        <w:rPr>
          <w:rFonts w:eastAsia="仿宋_GB2312" w:hint="eastAsia"/>
          <w:b/>
          <w:sz w:val="32"/>
          <w:szCs w:val="32"/>
        </w:rPr>
        <w:t>三是</w:t>
      </w:r>
      <w:r>
        <w:rPr>
          <w:rFonts w:eastAsia="仿宋_GB2312" w:hint="eastAsia"/>
          <w:sz w:val="32"/>
          <w:szCs w:val="32"/>
        </w:rPr>
        <w:t>我市</w:t>
      </w:r>
      <w:r>
        <w:rPr>
          <w:rFonts w:eastAsia="仿宋_GB2312"/>
          <w:sz w:val="32"/>
          <w:szCs w:val="32"/>
        </w:rPr>
        <w:t>2023</w:t>
      </w:r>
      <w:r>
        <w:rPr>
          <w:rFonts w:eastAsia="仿宋_GB2312" w:hint="eastAsia"/>
          <w:sz w:val="32"/>
          <w:szCs w:val="32"/>
        </w:rPr>
        <w:t>年职工基本医疗保险统筹基金累计结余可支付月数为</w:t>
      </w:r>
      <w:r>
        <w:rPr>
          <w:rFonts w:eastAsia="仿宋_GB2312"/>
          <w:sz w:val="32"/>
          <w:szCs w:val="32"/>
        </w:rPr>
        <w:t>4.45</w:t>
      </w:r>
      <w:r>
        <w:rPr>
          <w:rFonts w:eastAsia="仿宋_GB2312" w:hint="eastAsia"/>
          <w:sz w:val="32"/>
          <w:szCs w:val="32"/>
        </w:rPr>
        <w:t>个月，处于三级风险预警（一般预警），低于</w:t>
      </w:r>
      <w:r>
        <w:rPr>
          <w:rFonts w:eastAsia="仿宋_GB2312"/>
          <w:sz w:val="32"/>
          <w:szCs w:val="32"/>
        </w:rPr>
        <w:t>6</w:t>
      </w:r>
      <w:r>
        <w:rPr>
          <w:rFonts w:eastAsia="仿宋_GB2312" w:hint="eastAsia"/>
          <w:sz w:val="32"/>
          <w:szCs w:val="32"/>
        </w:rPr>
        <w:t>个月的安全预警线。原因是：</w:t>
      </w:r>
      <w:r>
        <w:rPr>
          <w:rFonts w:eastAsia="仿宋_GB2312"/>
          <w:sz w:val="32"/>
          <w:szCs w:val="32"/>
        </w:rPr>
        <w:t>1.</w:t>
      </w:r>
      <w:r>
        <w:rPr>
          <w:rFonts w:eastAsia="仿宋_GB2312" w:hint="eastAsia"/>
          <w:sz w:val="32"/>
          <w:szCs w:val="32"/>
        </w:rPr>
        <w:t>统筹基金归垫个人账户数额较大。</w:t>
      </w:r>
      <w:r>
        <w:rPr>
          <w:rFonts w:eastAsia="仿宋_GB2312"/>
          <w:sz w:val="32"/>
          <w:szCs w:val="32"/>
        </w:rPr>
        <w:t>2021</w:t>
      </w:r>
      <w:r>
        <w:rPr>
          <w:rFonts w:eastAsia="仿宋_GB2312" w:hint="eastAsia"/>
          <w:sz w:val="32"/>
          <w:szCs w:val="32"/>
        </w:rPr>
        <w:t>年审计工作报告指出，截至</w:t>
      </w:r>
      <w:r>
        <w:rPr>
          <w:rFonts w:eastAsia="仿宋_GB2312"/>
          <w:sz w:val="32"/>
          <w:szCs w:val="32"/>
        </w:rPr>
        <w:t>2020</w:t>
      </w:r>
      <w:r>
        <w:rPr>
          <w:rFonts w:eastAsia="仿宋_GB2312" w:hint="eastAsia"/>
          <w:sz w:val="32"/>
          <w:szCs w:val="32"/>
        </w:rPr>
        <w:t>年底全市个人账户财务数据与业务系统记账数据相差</w:t>
      </w:r>
      <w:r>
        <w:rPr>
          <w:rFonts w:eastAsia="仿宋_GB2312"/>
          <w:sz w:val="32"/>
          <w:szCs w:val="32"/>
        </w:rPr>
        <w:t>2.97</w:t>
      </w:r>
      <w:r>
        <w:rPr>
          <w:rFonts w:eastAsia="仿宋_GB2312" w:hint="eastAsia"/>
          <w:sz w:val="32"/>
          <w:szCs w:val="32"/>
        </w:rPr>
        <w:t>亿元，要求逐步调整统筹基金、公务员补助资金与个人账户基金的账务，截至</w:t>
      </w:r>
      <w:r>
        <w:rPr>
          <w:rFonts w:eastAsia="仿宋_GB2312"/>
          <w:sz w:val="32"/>
          <w:szCs w:val="32"/>
        </w:rPr>
        <w:t>2023</w:t>
      </w:r>
      <w:r>
        <w:rPr>
          <w:rFonts w:eastAsia="仿宋_GB2312" w:hint="eastAsia"/>
          <w:sz w:val="32"/>
          <w:szCs w:val="32"/>
        </w:rPr>
        <w:t>年末我市累计调整统筹基金归垫个人账户基金</w:t>
      </w:r>
      <w:r>
        <w:rPr>
          <w:rFonts w:eastAsia="仿宋_GB2312"/>
          <w:sz w:val="32"/>
          <w:szCs w:val="32"/>
        </w:rPr>
        <w:t>2.61</w:t>
      </w:r>
      <w:r>
        <w:rPr>
          <w:rFonts w:eastAsia="仿宋_GB2312" w:hint="eastAsia"/>
          <w:sz w:val="32"/>
          <w:szCs w:val="32"/>
        </w:rPr>
        <w:t>亿元，累计偿付率达</w:t>
      </w:r>
      <w:r>
        <w:rPr>
          <w:rFonts w:eastAsia="仿宋_GB2312"/>
          <w:sz w:val="32"/>
          <w:szCs w:val="32"/>
        </w:rPr>
        <w:t>87.54%</w:t>
      </w:r>
      <w:r>
        <w:rPr>
          <w:rFonts w:eastAsia="仿宋_GB2312" w:hint="eastAsia"/>
          <w:sz w:val="32"/>
          <w:szCs w:val="32"/>
        </w:rPr>
        <w:t>。</w:t>
      </w:r>
      <w:r>
        <w:rPr>
          <w:rFonts w:eastAsia="仿宋_GB2312"/>
          <w:sz w:val="32"/>
          <w:szCs w:val="32"/>
        </w:rPr>
        <w:t>2.</w:t>
      </w:r>
      <w:r>
        <w:rPr>
          <w:rFonts w:eastAsia="仿宋_GB2312" w:hint="eastAsia"/>
          <w:sz w:val="32"/>
          <w:szCs w:val="32"/>
        </w:rPr>
        <w:t>企业历史欠费数额较大。截至</w:t>
      </w:r>
      <w:r>
        <w:rPr>
          <w:rFonts w:eastAsia="仿宋_GB2312"/>
          <w:sz w:val="32"/>
          <w:szCs w:val="32"/>
        </w:rPr>
        <w:t>2023</w:t>
      </w:r>
      <w:r>
        <w:rPr>
          <w:rFonts w:eastAsia="仿宋_GB2312" w:hint="eastAsia"/>
          <w:sz w:val="32"/>
          <w:szCs w:val="32"/>
        </w:rPr>
        <w:t>年</w:t>
      </w:r>
      <w:r>
        <w:rPr>
          <w:rFonts w:eastAsia="仿宋_GB2312"/>
          <w:sz w:val="32"/>
          <w:szCs w:val="32"/>
        </w:rPr>
        <w:t>12</w:t>
      </w:r>
      <w:r>
        <w:rPr>
          <w:rFonts w:eastAsia="仿宋_GB2312" w:hint="eastAsia"/>
          <w:sz w:val="32"/>
          <w:szCs w:val="32"/>
        </w:rPr>
        <w:t>月，我市参保单位欠缴医疗保险费共计</w:t>
      </w:r>
      <w:r>
        <w:rPr>
          <w:rFonts w:eastAsia="仿宋_GB2312"/>
          <w:sz w:val="32"/>
          <w:szCs w:val="32"/>
        </w:rPr>
        <w:t>23,090.39</w:t>
      </w:r>
      <w:r>
        <w:rPr>
          <w:rFonts w:eastAsia="仿宋_GB2312" w:hint="eastAsia"/>
          <w:sz w:val="32"/>
          <w:szCs w:val="32"/>
        </w:rPr>
        <w:t>万元，</w:t>
      </w:r>
      <w:r>
        <w:rPr>
          <w:rFonts w:eastAsia="仿宋_GB2312"/>
          <w:sz w:val="32"/>
          <w:szCs w:val="32"/>
        </w:rPr>
        <w:t>2023</w:t>
      </w:r>
      <w:r>
        <w:rPr>
          <w:rFonts w:eastAsia="仿宋_GB2312" w:hint="eastAsia"/>
          <w:sz w:val="32"/>
          <w:szCs w:val="32"/>
        </w:rPr>
        <w:t>年清欠</w:t>
      </w:r>
      <w:r>
        <w:rPr>
          <w:rFonts w:eastAsia="仿宋_GB2312"/>
          <w:sz w:val="32"/>
          <w:szCs w:val="32"/>
        </w:rPr>
        <w:t>1,488</w:t>
      </w:r>
      <w:r>
        <w:rPr>
          <w:rFonts w:eastAsia="仿宋_GB2312" w:hint="eastAsia"/>
          <w:sz w:val="32"/>
          <w:szCs w:val="32"/>
        </w:rPr>
        <w:t>万元。目前与攀煤集团已签订还款协议，约定在五年内还清历史欠费。</w:t>
      </w:r>
    </w:p>
    <w:p>
      <w:pPr>
        <w:spacing w:line="540" w:lineRule="exact"/>
        <w:ind w:firstLineChars="200" w:firstLine="640"/>
        <w:rPr>
          <w:rFonts w:eastAsia="黑体"/>
          <w:sz w:val="32"/>
          <w:szCs w:val="32"/>
        </w:rPr>
      </w:pPr>
      <w:r>
        <w:rPr>
          <w:rFonts w:eastAsia="黑体" w:hint="eastAsia"/>
          <w:sz w:val="32"/>
          <w:szCs w:val="32"/>
        </w:rPr>
        <w:t>五、下一步改进措施</w:t>
      </w:r>
    </w:p>
    <w:p>
      <w:pPr>
        <w:spacing w:line="540" w:lineRule="exact"/>
        <w:ind w:firstLineChars="200" w:firstLine="640"/>
        <w:rPr>
          <w:rFonts w:eastAsia="仿宋_GB2312"/>
          <w:sz w:val="32"/>
          <w:szCs w:val="32"/>
        </w:rPr>
      </w:pPr>
      <w:r>
        <w:rPr>
          <w:rFonts w:eastAsia="仿宋_GB2312" w:hint="eastAsia"/>
          <w:b/>
          <w:sz w:val="32"/>
          <w:szCs w:val="32"/>
        </w:rPr>
        <w:t>一是</w:t>
      </w:r>
      <w:r>
        <w:rPr>
          <w:rFonts w:eastAsia="仿宋_GB2312" w:hint="eastAsia"/>
          <w:sz w:val="32"/>
          <w:szCs w:val="32"/>
        </w:rPr>
        <w:t>牢固树立预算绩效管理意识。多种形式开展预算绩效宣传教育，提升全体人员对绩效管理的参与意识，激发工作热情和主动性，形成人人关心绩效、人人参与绩效管理的良好氛围。</w:t>
      </w:r>
      <w:r>
        <w:rPr>
          <w:rFonts w:eastAsia="仿宋_GB2312" w:hint="eastAsia"/>
          <w:b/>
          <w:sz w:val="32"/>
          <w:szCs w:val="32"/>
        </w:rPr>
        <w:t>二是</w:t>
      </w:r>
      <w:r>
        <w:rPr>
          <w:rFonts w:eastAsia="仿宋_GB2312" w:hint="eastAsia"/>
          <w:sz w:val="32"/>
          <w:szCs w:val="32"/>
        </w:rPr>
        <w:t>完善基金预算管理机制。进一步优化基金预算管理流程，确保预算编制、审批、执行、调整等各个环节的规范性和高效性。</w:t>
      </w:r>
      <w:r>
        <w:rPr>
          <w:rFonts w:eastAsia="仿宋_GB2312" w:hint="eastAsia"/>
          <w:b/>
          <w:sz w:val="32"/>
          <w:szCs w:val="32"/>
        </w:rPr>
        <w:t>三是</w:t>
      </w:r>
      <w:r>
        <w:rPr>
          <w:rFonts w:eastAsia="仿宋_GB2312" w:hint="eastAsia"/>
          <w:sz w:val="32"/>
          <w:szCs w:val="32"/>
        </w:rPr>
        <w:t>充实基金预算管理力量。加强队伍建设，提高工作人员的专业水平和业务能力，明确内部责任分工，确保责任到人、任务到岗。</w:t>
      </w:r>
      <w:r>
        <w:rPr>
          <w:rFonts w:eastAsia="仿宋_GB2312" w:hint="eastAsia"/>
          <w:b/>
          <w:sz w:val="32"/>
          <w:szCs w:val="32"/>
        </w:rPr>
        <w:t>四是</w:t>
      </w:r>
      <w:r>
        <w:rPr>
          <w:rFonts w:eastAsia="仿宋_GB2312" w:hint="eastAsia"/>
          <w:sz w:val="32"/>
          <w:szCs w:val="32"/>
        </w:rPr>
        <w:t>推动绩效管理与业务管理深度融合。对业务管理过程中的绩效表现进行实时监控和评估，及时提供绩效反馈，实时了解绩效现状，发现潜在问题，优化改进措施。定期组织绩效管理与业务管理交流，分享经验，查找问题，实现业务管理与绩效管理的相互促进。</w:t>
      </w:r>
      <w:r>
        <w:rPr>
          <w:rFonts w:eastAsia="仿宋_GB2312" w:hint="eastAsia"/>
          <w:b/>
          <w:sz w:val="32"/>
          <w:szCs w:val="32"/>
        </w:rPr>
        <w:t>五是</w:t>
      </w:r>
      <w:r>
        <w:rPr>
          <w:rFonts w:eastAsia="仿宋_GB2312" w:hint="eastAsia"/>
          <w:sz w:val="32"/>
          <w:szCs w:val="32"/>
        </w:rPr>
        <w:t>健全协调联动机制。建立医保、税务、财政等部门的协调联动机制，加强各级有关部门之间的沟通与协作，定期联合研判各项绩效现状，确保基金预算绩效管理得到有效执行。</w:t>
      </w:r>
    </w:p>
    <w:p>
      <w:pPr>
        <w:spacing w:line="540" w:lineRule="exact"/>
        <w:rPr>
          <w:rFonts w:eastAsia="仿宋_GB2312"/>
          <w:sz w:val="32"/>
          <w:szCs w:val="32"/>
        </w:rPr>
      </w:pPr>
    </w:p>
    <w:p>
      <w:pPr>
        <w:spacing w:line="540" w:lineRule="exact"/>
        <w:ind w:leftChars="300" w:left="1590" w:hangingChars="300" w:hanging="960"/>
        <w:rPr>
          <w:rFonts w:eastAsia="仿宋_GB2312"/>
          <w:sz w:val="32"/>
          <w:szCs w:val="32"/>
        </w:rPr>
      </w:pPr>
      <w:r>
        <w:rPr>
          <w:rFonts w:eastAsia="仿宋_GB2312" w:hint="eastAsia"/>
          <w:sz w:val="32"/>
          <w:szCs w:val="32"/>
        </w:rPr>
        <w:t>附件：攀枝花市</w:t>
      </w:r>
      <w:r>
        <w:rPr>
          <w:rFonts w:eastAsia="仿宋_GB2312"/>
          <w:sz w:val="32"/>
          <w:szCs w:val="32"/>
        </w:rPr>
        <w:t>2023</w:t>
      </w:r>
      <w:r>
        <w:rPr>
          <w:rFonts w:eastAsia="仿宋_GB2312" w:hint="eastAsia"/>
          <w:sz w:val="32"/>
          <w:szCs w:val="32"/>
        </w:rPr>
        <w:t>年职工基本医疗保险基金预算绩效评价指标表</w:t>
      </w:r>
    </w:p>
    <w:p>
      <w:pPr>
        <w:spacing w:line="560" w:lineRule="exact"/>
        <w:rPr>
          <w:rFonts w:eastAsia="仿宋_GB2312"/>
          <w:sz w:val="32"/>
          <w:szCs w:val="32"/>
        </w:rPr>
      </w:pPr>
    </w:p>
    <w:p>
      <w:pPr>
        <w:spacing w:line="560" w:lineRule="exact"/>
        <w:ind w:firstLineChars="200" w:firstLine="640"/>
        <w:rPr>
          <w:rFonts w:eastAsia="仿宋_GB2312"/>
          <w:sz w:val="32"/>
          <w:szCs w:val="32"/>
        </w:rPr>
      </w:pPr>
    </w:p>
    <w:p>
      <w:pPr>
        <w:spacing w:line="560" w:lineRule="exact"/>
        <w:ind w:firstLineChars="1506" w:firstLine="4819"/>
        <w:rPr>
          <w:rFonts w:eastAsia="仿宋_GB2312"/>
          <w:sz w:val="32"/>
          <w:szCs w:val="32"/>
        </w:rPr>
      </w:pPr>
      <w:r>
        <w:rPr>
          <w:rFonts w:eastAsia="仿宋_GB2312" w:hint="eastAsia"/>
          <w:sz w:val="32"/>
          <w:szCs w:val="32"/>
        </w:rPr>
        <w:t>攀枝花市医疗保障局</w:t>
      </w:r>
    </w:p>
    <w:p>
      <w:pPr>
        <w:spacing w:line="560" w:lineRule="exact"/>
        <w:ind w:firstLineChars="1600" w:firstLine="5120"/>
        <w:rPr>
          <w:rFonts w:eastAsia="仿宋_GB2312"/>
          <w:sz w:val="32"/>
          <w:szCs w:val="32"/>
        </w:rPr>
      </w:pPr>
      <w:r>
        <w:rPr>
          <w:rFonts w:eastAsia="仿宋_GB2312"/>
          <w:sz w:val="32"/>
          <w:szCs w:val="32"/>
        </w:rPr>
        <w:t>2024</w:t>
      </w:r>
      <w:r>
        <w:rPr>
          <w:rFonts w:eastAsia="仿宋_GB2312" w:hint="eastAsia"/>
          <w:sz w:val="32"/>
          <w:szCs w:val="32"/>
        </w:rPr>
        <w:t>年</w:t>
      </w:r>
      <w:r>
        <w:rPr>
          <w:rFonts w:eastAsia="仿宋_GB2312"/>
          <w:sz w:val="32"/>
          <w:szCs w:val="32"/>
        </w:rPr>
        <w:t>5</w:t>
      </w:r>
      <w:r>
        <w:rPr>
          <w:rFonts w:eastAsia="仿宋_GB2312" w:hint="eastAsia"/>
          <w:sz w:val="32"/>
          <w:szCs w:val="32"/>
        </w:rPr>
        <w:t>月</w:t>
      </w:r>
      <w:r>
        <w:rPr>
          <w:rFonts w:eastAsia="仿宋_GB2312"/>
          <w:sz w:val="32"/>
          <w:szCs w:val="32"/>
        </w:rPr>
        <w:t>24</w:t>
      </w:r>
      <w:r>
        <w:rPr>
          <w:rFonts w:eastAsia="仿宋_GB2312" w:hint="eastAsia"/>
          <w:sz w:val="32"/>
          <w:szCs w:val="32"/>
        </w:rPr>
        <w:t>日</w:t>
      </w:r>
    </w:p>
    <w:p>
      <w:pPr>
        <w:spacing w:line="560" w:lineRule="exact"/>
        <w:ind w:left="0"/>
        <w:rPr>
          <w:rFonts w:eastAsia="仿宋_GB2312"/>
          <w:sz w:val="28"/>
          <w:szCs w:val="28"/>
        </w:rPr>
      </w:pPr>
    </w:p>
    <w:sectPr>
      <w:headerReference w:type="default" r:id="rId2"/>
      <w:headerReference w:type="even" r:id="rId3"/>
      <w:headerReference w:type="first" r:id="rId4"/>
      <w:footerReference w:type="default" r:id="rId5"/>
      <w:footerReference w:type="even" r:id="rId6"/>
      <w:pgSz w:w="11906" w:h="16838"/>
      <w:pgMar w:top="2098" w:right="1474" w:bottom="1985" w:left="1588" w:header="851" w:footer="1418" w:gutter="0"/>
      <w:cols w:num="1" w:space="72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auto"/>
    <w:pitch w:val="variable"/>
    <w:sig w:usb0="00000003" w:usb1="00000000" w:usb2="00000000" w:usb3="00000000" w:csb0="2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wordWrap w:val="0"/>
      <w:ind w:right="280"/>
      <w:jc w:val="right"/>
    </w:pPr>
    <w:r>
      <w:rPr>
        <w:rFonts w:ascii="宋体" w:hAnsi="宋体" w:hint="eastAsia"/>
        <w:sz w:val="28"/>
        <w:szCs w:val="28"/>
        <w:lang w:eastAsia="zh-CN"/>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eastAsia="zh-CN"/>
      </w:rPr>
      <w:t>13</w:t>
    </w:r>
    <w:r>
      <w:rPr>
        <w:rFonts w:ascii="宋体" w:hAnsi="宋体"/>
        <w:sz w:val="28"/>
        <w:szCs w:val="28"/>
      </w:rPr>
      <w:fldChar w:fldCharType="end"/>
    </w:r>
    <w:r>
      <w:rPr>
        <w:rFonts w:ascii="宋体" w:hAnsi="宋体" w:hint="eastAsia"/>
        <w:sz w:val="28"/>
        <w:szCs w:val="28"/>
        <w:lang w:eastAsia="zh-CN"/>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Chars="152" w:firstLine="426"/>
    </w:pPr>
    <w:r>
      <w:rPr>
        <w:rFonts w:ascii="宋体" w:hAnsi="宋体" w:hint="eastAsia"/>
        <w:sz w:val="28"/>
        <w:szCs w:val="28"/>
        <w:lang w:eastAsia="zh-CN"/>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eastAsia="zh-CN"/>
      </w:rPr>
      <w:t>2</w:t>
    </w:r>
    <w:r>
      <w:rPr>
        <w:rFonts w:ascii="宋体" w:hAnsi="宋体"/>
        <w:sz w:val="28"/>
        <w:szCs w:val="28"/>
      </w:rPr>
      <w:fldChar w:fldCharType="end"/>
    </w:r>
    <w:r>
      <w:rPr>
        <w:rFonts w:ascii="宋体" w:hAnsi="宋体" w:hint="eastAsia"/>
        <w:sz w:val="28"/>
        <w:szCs w:val="28"/>
        <w:lang w:eastAsia="zh-CN"/>
      </w:rP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2"/>
  </w:compat>
  <w:docVars>
    <w:docVar w:name="KGWebUrl" w:val="http://10.3.1.25:80/seeyon/officeservle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customStyle="1" w:styleId="17">
    <w:name w:val="公文主题词"/>
    <w:rPr>
      <w:rFonts w:ascii="黑体" w:eastAsia="黑体" w:hAnsi="黑体"/>
      <w:b/>
      <w:bCs/>
      <w:sz w:val="32"/>
    </w:rPr>
  </w:style>
  <w:style w:type="paragraph" w:styleId="18">
    <w:name w:val="Date"/>
    <w:basedOn w:val="0"/>
    <w:next w:val="0"/>
    <w:pPr>
      <w:ind w:leftChars="2500" w:left="2500"/>
    </w:pPr>
  </w:style>
  <w:style w:type="paragraph" w:customStyle="1" w:styleId="19">
    <w:name w:val="公文标题"/>
    <w:basedOn w:val="0"/>
    <w:pPr>
      <w:spacing w:line="600" w:lineRule="exact"/>
      <w:jc w:val="center"/>
    </w:pPr>
    <w:rPr>
      <w:rFonts w:ascii="方正小标宋_GBK" w:eastAsia="方正小标宋_GBK" w:cs="宋体"/>
      <w:sz w:val="44"/>
      <w:szCs w:val="20"/>
    </w:rPr>
  </w:style>
  <w:style w:type="paragraph" w:customStyle="1" w:styleId="20">
    <w:name w:val="发问编号"/>
    <w:basedOn w:val="0"/>
    <w:pPr>
      <w:spacing w:line="600" w:lineRule="exact"/>
      <w:jc w:val="center"/>
    </w:pPr>
    <w:rPr>
      <w:rFonts w:eastAsia="仿宋_GB2312" w:cs="宋体"/>
      <w:sz w:val="32"/>
      <w:szCs w:val="20"/>
    </w:rPr>
  </w:style>
  <w:style w:type="paragraph" w:customStyle="1" w:styleId="21">
    <w:name w:val="公文正文"/>
    <w:basedOn w:val="0"/>
    <w:pPr>
      <w:spacing w:line="600" w:lineRule="exact"/>
      <w:ind w:firstLineChars="200" w:firstLine="200"/>
    </w:pPr>
    <w:rPr>
      <w:rFonts w:eastAsia="仿宋_GB2312" w:cs="宋体"/>
      <w:sz w:val="32"/>
      <w:szCs w:val="20"/>
    </w:rPr>
  </w:style>
  <w:style w:type="paragraph" w:customStyle="1" w:styleId="22">
    <w:name w:val="公文抄送"/>
    <w:basedOn w:val="0"/>
    <w:pPr>
      <w:spacing w:line="600" w:lineRule="exact"/>
    </w:pPr>
    <w:rPr>
      <w:rFonts w:eastAsia="仿宋_GB2312" w:cs="宋体"/>
      <w:sz w:val="32"/>
      <w:szCs w:val="20"/>
    </w:rPr>
  </w:style>
  <w:style w:type="paragraph" w:customStyle="1" w:styleId="23">
    <w:name w:val="发文时间"/>
    <w:basedOn w:val="0"/>
    <w:pPr>
      <w:spacing w:line="600" w:lineRule="exact"/>
      <w:ind w:firstLineChars="1300" w:firstLine="1300"/>
      <w:jc w:val="right"/>
    </w:pPr>
    <w:rPr>
      <w:rFonts w:eastAsia="仿宋_GB2312" w:cs="宋体"/>
      <w:sz w:val="32"/>
      <w:szCs w:val="20"/>
    </w:rPr>
  </w:style>
  <w:style w:type="paragraph" w:customStyle="1" w:styleId="24">
    <w:name w:val="发文单位"/>
    <w:basedOn w:val="0"/>
    <w:pPr>
      <w:spacing w:line="600" w:lineRule="exact"/>
      <w:jc w:val="center"/>
    </w:pPr>
    <w:rPr>
      <w:rFonts w:ascii="方正小标宋_GBK" w:eastAsia="方正小标宋_GBK" w:cs="宋体"/>
      <w:sz w:val="44"/>
      <w:szCs w:val="20"/>
    </w:rPr>
  </w:style>
  <w:style w:type="paragraph" w:customStyle="1" w:styleId="25">
    <w:name w:val="主送单位"/>
    <w:basedOn w:val="0"/>
    <w:pPr>
      <w:spacing w:line="600" w:lineRule="exact"/>
    </w:pPr>
    <w:rPr>
      <w:rFonts w:eastAsia="仿宋_GB2312" w:cs="宋体"/>
      <w:sz w:val="32"/>
      <w:szCs w:val="20"/>
    </w:rPr>
  </w:style>
  <w:style w:type="paragraph" w:customStyle="1" w:styleId="26">
    <w:name w:val="发文时间和印发时间"/>
    <w:basedOn w:val="0"/>
    <w:pPr>
      <w:spacing w:line="600" w:lineRule="exact"/>
      <w:jc w:val="right"/>
    </w:pPr>
    <w:rPr>
      <w:rFonts w:eastAsia="仿宋_GB2312" w:cs="宋体"/>
      <w:sz w:val="32"/>
      <w:szCs w:val="20"/>
    </w:rPr>
  </w:style>
  <w:style w:type="character" w:styleId="27">
    <w:name w:val="Emphasis"/>
    <w:rPr>
      <w:i/>
    </w:rPr>
  </w:style>
  <w:style w:type="paragraph" w:styleId="28">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 Id="rId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2C22187-D346-4414-8ECC-2BFAD51B50F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14</Pages>
  <Words>0</Words>
  <Characters>5576</Characters>
  <Lines>0</Lines>
  <Paragraphs>83</Paragraphs>
  <CharactersWithSpaces>7435</CharactersWithSpaces>
  <Company>ws</Company>
</Properties>
</file>

<file path=docProps/core.xml><?xml version="1.0" encoding="utf-8"?>
<cp:coreProperties xmlns:cp="http://schemas.openxmlformats.org/package/2006/metadata/core-properties" xmlns:dc="http://purl.org/dc/elements/1.1/" xmlns:dcterms="http://purl.org/dc/terms/" xmlns:xsi="http://www.w3.org/2001/XMLSchema-instance">
  <dc:title>公文模板</dc:title>
  <dc:creator>chenfj</dc:creator>
  <cp:lastModifiedBy>user</cp:lastModifiedBy>
  <cp:revision>2</cp:revision>
  <cp:lastPrinted>2019-06-25T03:20:00Z</cp:lastPrinted>
  <dcterms:created xsi:type="dcterms:W3CDTF">2024-06-03T08:31:00Z</dcterms:created>
  <dcterms:modified xsi:type="dcterms:W3CDTF">2024-06-03T08:47:59Z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2052-10.1.0.7698</vt:lpwstr>
  </property>
</Properties>
</file>