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eastAsia="方正小标宋_GBK"/>
          <w:sz w:val="44"/>
          <w:szCs w:val="44"/>
          <w:shd w:val="clear" w:color="auto" w:fill="FFFFFF"/>
        </w:rPr>
      </w:pPr>
      <w:r>
        <w:rPr>
          <w:rFonts w:eastAsia="方正小标宋_GBK"/>
          <w:sz w:val="44"/>
          <w:szCs w:val="44"/>
          <w:shd w:val="clear" w:color="auto" w:fill="FFFFFF"/>
        </w:rPr>
        <w:t>攀枝花市医疗保障局</w:t>
      </w:r>
    </w:p>
    <w:p>
      <w:pPr>
        <w:widowControl/>
        <w:spacing w:line="580" w:lineRule="exact"/>
        <w:contextualSpacing/>
        <w:jc w:val="center"/>
        <w:rPr>
          <w:rFonts w:eastAsia="方正小标宋_GBK"/>
          <w:sz w:val="44"/>
          <w:szCs w:val="44"/>
          <w:shd w:val="clear" w:color="auto" w:fill="FFFFFF"/>
        </w:rPr>
      </w:pPr>
      <w:r>
        <w:rPr>
          <w:rFonts w:eastAsia="方正小标宋_GBK"/>
          <w:sz w:val="44"/>
          <w:szCs w:val="44"/>
          <w:shd w:val="clear" w:color="auto" w:fill="FFFFFF"/>
        </w:rPr>
        <w:t>2023年整体支出绩效自评报告</w:t>
      </w:r>
    </w:p>
    <w:p>
      <w:pPr>
        <w:widowControl/>
        <w:spacing w:line="580" w:lineRule="exact"/>
        <w:contextualSpacing/>
        <w:jc w:val="center"/>
        <w:rPr>
          <w:rFonts w:eastAsia="黑体"/>
          <w:kern w:val="0"/>
          <w:sz w:val="24"/>
          <w:szCs w:val="32"/>
          <w:shd w:val="clear" w:color="auto" w:fill="FFFFFF"/>
        </w:rPr>
      </w:pPr>
    </w:p>
    <w:p>
      <w:pPr>
        <w:pStyle w:val="24"/>
        <w:widowControl w:val="0"/>
        <w:spacing w:before="0" w:beforeAutospacing="0" w:after="0" w:afterAutospacing="0" w:line="360" w:lineRule="auto"/>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市财政局：</w:t>
      </w:r>
    </w:p>
    <w:p>
      <w:pPr>
        <w:pStyle w:val="23"/>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按照《攀枝花市财政局关于开展2023年度市本级预算绩效自评工作的通知》（攀财绩〔2024〕3号）要求，我局认真组织开展了2023年部门预算整体支出绩效自评工作，内容报告如下。</w:t>
      </w:r>
    </w:p>
    <w:p>
      <w:pPr>
        <w:widowControl/>
        <w:adjustRightInd w:val="0"/>
        <w:snapToGrid w:val="0"/>
        <w:spacing w:line="360" w:lineRule="auto"/>
        <w:ind w:firstLineChars="200" w:firstLine="640"/>
        <w:contextualSpacing/>
        <w:jc w:val="left"/>
        <w:rPr>
          <w:rFonts w:eastAsia="黑体"/>
          <w:kern w:val="0"/>
          <w:szCs w:val="32"/>
          <w:shd w:val="clear" w:color="auto" w:fill="FFFFFF"/>
          <w:lang w:val="zh-CN"/>
        </w:rPr>
      </w:pPr>
      <w:r>
        <w:rPr>
          <w:rFonts w:eastAsia="黑体"/>
          <w:kern w:val="0"/>
          <w:szCs w:val="32"/>
          <w:shd w:val="clear" w:color="auto" w:fill="FFFFFF"/>
        </w:rPr>
        <w:t>一、</w:t>
      </w:r>
      <w:r>
        <w:rPr>
          <w:rFonts w:eastAsia="黑体"/>
          <w:kern w:val="0"/>
          <w:szCs w:val="32"/>
          <w:shd w:val="clear" w:color="auto" w:fill="FFFFFF"/>
          <w:lang w:val="zh-CN"/>
        </w:rPr>
        <w:t>部门（单位）概况</w:t>
      </w:r>
    </w:p>
    <w:p>
      <w:pPr>
        <w:widowControl/>
        <w:adjustRightInd w:val="0"/>
        <w:snapToGrid w:val="0"/>
        <w:spacing w:line="360" w:lineRule="auto"/>
        <w:ind w:firstLineChars="200" w:firstLine="640"/>
        <w:contextualSpacing/>
        <w:jc w:val="left"/>
        <w:rPr>
          <w:rFonts w:eastAsia="楷体_GB2312"/>
          <w:kern w:val="0"/>
          <w:szCs w:val="32"/>
          <w:shd w:val="clear" w:color="auto" w:fill="FFFFFF"/>
          <w:lang w:val="zh-CN"/>
        </w:rPr>
      </w:pPr>
      <w:r>
        <w:rPr>
          <w:rFonts w:eastAsia="楷体_GB2312"/>
          <w:kern w:val="0"/>
          <w:szCs w:val="32"/>
          <w:shd w:val="clear" w:color="auto" w:fill="FFFFFF"/>
          <w:lang w:val="zh-CN"/>
        </w:rPr>
        <w:t>（一）机构组成。</w:t>
      </w:r>
    </w:p>
    <w:p>
      <w:pPr>
        <w:snapToGrid w:val="0"/>
        <w:spacing w:line="360" w:lineRule="auto"/>
        <w:ind w:firstLineChars="200" w:firstLine="640"/>
        <w:rPr>
          <w:szCs w:val="32"/>
        </w:rPr>
      </w:pPr>
      <w:r>
        <w:rPr>
          <w:szCs w:val="32"/>
        </w:rPr>
        <w:t>攀枝花市医疗保障局（以下简称“市医保局”）为攀枝花市人民政府正县级工作部门，下设四个科室，分别是：办公室、待遇保障与法规科、医药服务与价格管理科，基金监管科。攀枝花市医疗保障信息中心（以下简称“市医保信息中心”）为我局下属事业单位，财务未独立核算。</w:t>
      </w:r>
    </w:p>
    <w:p>
      <w:pPr>
        <w:widowControl/>
        <w:adjustRightInd w:val="0"/>
        <w:snapToGrid w:val="0"/>
        <w:spacing w:line="360" w:lineRule="auto"/>
        <w:ind w:firstLineChars="200" w:firstLine="640"/>
        <w:contextualSpacing/>
        <w:jc w:val="left"/>
        <w:rPr>
          <w:rFonts w:eastAsia="楷体_GB2312"/>
          <w:kern w:val="0"/>
          <w:szCs w:val="32"/>
          <w:shd w:val="clear" w:color="auto" w:fill="FFFFFF"/>
          <w:lang w:val="zh-CN"/>
        </w:rPr>
      </w:pPr>
      <w:r>
        <w:rPr>
          <w:rFonts w:eastAsia="楷体_GB2312"/>
          <w:kern w:val="0"/>
          <w:szCs w:val="32"/>
          <w:shd w:val="clear" w:color="auto" w:fill="FFFFFF"/>
          <w:lang w:val="zh-CN"/>
        </w:rPr>
        <w:t>（二）机构职能。</w:t>
      </w:r>
    </w:p>
    <w:p>
      <w:pPr>
        <w:widowControl/>
        <w:adjustRightInd w:val="0"/>
        <w:snapToGrid w:val="0"/>
        <w:spacing w:line="360" w:lineRule="auto"/>
        <w:ind w:firstLineChars="200" w:firstLine="640"/>
        <w:contextualSpacing/>
        <w:jc w:val="left"/>
        <w:rPr>
          <w:szCs w:val="32"/>
        </w:rPr>
      </w:pPr>
      <w:r>
        <w:rPr>
          <w:szCs w:val="32"/>
        </w:rPr>
        <w:t>（1）贯彻执行医疗保险、生育保险、医疗救助等医疗保障法律、法规、规章。拟订全市医疗保障事业发展规划、政策和标准，并组织实施和监督检查。</w:t>
      </w:r>
    </w:p>
    <w:p>
      <w:pPr>
        <w:widowControl/>
        <w:adjustRightInd w:val="0"/>
        <w:snapToGrid w:val="0"/>
        <w:spacing w:line="360" w:lineRule="auto"/>
        <w:ind w:firstLineChars="200" w:firstLine="640"/>
        <w:contextualSpacing/>
        <w:jc w:val="left"/>
        <w:rPr>
          <w:szCs w:val="32"/>
        </w:rPr>
      </w:pPr>
      <w:r>
        <w:rPr>
          <w:szCs w:val="32"/>
        </w:rPr>
        <w:t>（2）组织拟订并实施医疗保障基金监督管理制度，建立健全医疗保障基金安全防控机制，监督强化全市医疗保障基金运行管理。</w:t>
      </w:r>
    </w:p>
    <w:p>
      <w:pPr>
        <w:widowControl/>
        <w:adjustRightInd w:val="0"/>
        <w:snapToGrid w:val="0"/>
        <w:spacing w:line="360" w:lineRule="auto"/>
        <w:ind w:firstLineChars="200" w:firstLine="640"/>
        <w:contextualSpacing/>
        <w:jc w:val="left"/>
        <w:rPr>
          <w:szCs w:val="32"/>
        </w:rPr>
      </w:pPr>
      <w:r>
        <w:rPr>
          <w:szCs w:val="32"/>
        </w:rPr>
        <w:t>（3）组织拟订并实施医疗保障筹资和待遇政策，完善全市医疗保障筹资标准动态调整机制，统筹城乡医疗保障待遇标准，建立健全与筹资水平相适应的待遇调整机制。组织拟订并实施长期护理保险制度改革方案。</w:t>
      </w:r>
    </w:p>
    <w:p>
      <w:pPr>
        <w:widowControl/>
        <w:adjustRightInd w:val="0"/>
        <w:snapToGrid w:val="0"/>
        <w:spacing w:line="360" w:lineRule="auto"/>
        <w:ind w:firstLineChars="200" w:firstLine="640"/>
        <w:contextualSpacing/>
        <w:jc w:val="left"/>
        <w:rPr>
          <w:szCs w:val="32"/>
        </w:rPr>
      </w:pPr>
      <w:r>
        <w:rPr>
          <w:szCs w:val="32"/>
        </w:rPr>
        <w:t>（4）组织实施全省城乡统一的药品、医用耗材、医疗服务项目、医疗服务设施等医疗保障目录和支付标准，根据授权在医疗保障目录准入谈判规则下进行目录增补和支付标准的调整。</w:t>
      </w:r>
    </w:p>
    <w:p>
      <w:pPr>
        <w:widowControl/>
        <w:adjustRightInd w:val="0"/>
        <w:snapToGrid w:val="0"/>
        <w:spacing w:line="360" w:lineRule="auto"/>
        <w:ind w:firstLineChars="200" w:firstLine="640"/>
        <w:contextualSpacing/>
        <w:jc w:val="left"/>
        <w:rPr>
          <w:szCs w:val="32"/>
        </w:rPr>
      </w:pPr>
      <w:r>
        <w:rPr>
          <w:szCs w:val="32"/>
        </w:rPr>
        <w:t>（5）组织拟订并实施全市统一的药品、医用耗材价格和医疗服务项目、医疗服务设施收费等政策，建立医保支付医药服务价格合理确定和动态调整机制，推动建立市场主导的社会医药服务价格形成机制，建立价格信息监测和信息发布制度。</w:t>
      </w:r>
    </w:p>
    <w:p>
      <w:pPr>
        <w:widowControl/>
        <w:adjustRightInd w:val="0"/>
        <w:snapToGrid w:val="0"/>
        <w:spacing w:line="360" w:lineRule="auto"/>
        <w:ind w:firstLineChars="200" w:firstLine="640"/>
        <w:contextualSpacing/>
        <w:jc w:val="left"/>
        <w:rPr>
          <w:szCs w:val="32"/>
        </w:rPr>
      </w:pPr>
      <w:r>
        <w:rPr>
          <w:szCs w:val="32"/>
        </w:rPr>
        <w:t>（6）贯彻执行全省药品、医用耗材的招标采购政策并监督实施，根据省上统一安排部署，参与全省药品、医用耗材招标采购平台建设，承担相关工作任务。</w:t>
      </w:r>
    </w:p>
    <w:p>
      <w:pPr>
        <w:widowControl/>
        <w:adjustRightInd w:val="0"/>
        <w:snapToGrid w:val="0"/>
        <w:spacing w:line="360" w:lineRule="auto"/>
        <w:ind w:firstLineChars="200" w:firstLine="640"/>
        <w:contextualSpacing/>
        <w:jc w:val="left"/>
        <w:rPr>
          <w:szCs w:val="32"/>
        </w:rPr>
      </w:pPr>
      <w:r>
        <w:rPr>
          <w:szCs w:val="32"/>
        </w:rPr>
        <w:t>（7）推进医疗保障基金支付方式改革，制定全市医疗保障定点医药机构服务协议和基金支付管理办法并组织实施，指导全市医疗保障定点医药机构管理。建立健全医疗保障信用评价体系和信息披露制度，监督管理纳入医疗保障范围内的医疗服务行为和医疗费用，依法查处医疗保障领域违法违规行为。</w:t>
      </w:r>
    </w:p>
    <w:p>
      <w:pPr>
        <w:widowControl/>
        <w:adjustRightInd w:val="0"/>
        <w:snapToGrid w:val="0"/>
        <w:spacing w:line="360" w:lineRule="auto"/>
        <w:ind w:firstLineChars="200" w:firstLine="640"/>
        <w:contextualSpacing/>
        <w:jc w:val="left"/>
        <w:rPr>
          <w:szCs w:val="32"/>
        </w:rPr>
      </w:pPr>
      <w:r>
        <w:rPr>
          <w:szCs w:val="32"/>
        </w:rPr>
        <w:t>（8）负责全市医疗保障业务经办管理和公共服务体系建设。组织实施异地就医管理规定和费用结算政策。贯彻执行医疗保障关系转移接续政策。指导和监督管理全市医保经办服务工作。开展医疗保障领域对外合作交流。</w:t>
      </w:r>
    </w:p>
    <w:p>
      <w:pPr>
        <w:widowControl/>
        <w:adjustRightInd w:val="0"/>
        <w:snapToGrid w:val="0"/>
        <w:spacing w:line="360" w:lineRule="auto"/>
        <w:ind w:firstLineChars="200" w:firstLine="640"/>
        <w:contextualSpacing/>
        <w:jc w:val="left"/>
        <w:rPr>
          <w:szCs w:val="32"/>
        </w:rPr>
      </w:pPr>
      <w:r>
        <w:rPr>
          <w:szCs w:val="32"/>
        </w:rPr>
        <w:t>（9）拟订全市医疗保障信息化建设规划并参与全省医疗保障信息化建设。组织开展医疗保障大数据管理和应用。</w:t>
      </w:r>
    </w:p>
    <w:p>
      <w:pPr>
        <w:widowControl/>
        <w:adjustRightInd w:val="0"/>
        <w:snapToGrid w:val="0"/>
        <w:spacing w:line="360" w:lineRule="auto"/>
        <w:ind w:firstLineChars="200" w:firstLine="640"/>
        <w:contextualSpacing/>
        <w:jc w:val="left"/>
        <w:rPr>
          <w:szCs w:val="32"/>
        </w:rPr>
      </w:pPr>
      <w:r>
        <w:rPr>
          <w:szCs w:val="32"/>
        </w:rPr>
        <w:t>（10）组织拟订市本级离休干部、六级以上革命伤残军人的医疗保障政策和厅级干部、县级干部、高级知识分子的医疗照顾政策。</w:t>
      </w:r>
    </w:p>
    <w:p>
      <w:pPr>
        <w:widowControl/>
        <w:adjustRightInd w:val="0"/>
        <w:snapToGrid w:val="0"/>
        <w:spacing w:line="360" w:lineRule="auto"/>
        <w:ind w:firstLineChars="200" w:firstLine="640"/>
        <w:contextualSpacing/>
        <w:jc w:val="left"/>
        <w:rPr>
          <w:szCs w:val="32"/>
        </w:rPr>
      </w:pPr>
      <w:r>
        <w:rPr>
          <w:szCs w:val="32"/>
        </w:rPr>
        <w:t>（11）负责职责范围内的安全生产和职业健康、生态环境保护、审批服务便民化等工作。</w:t>
      </w:r>
    </w:p>
    <w:p>
      <w:pPr>
        <w:widowControl/>
        <w:adjustRightInd w:val="0"/>
        <w:snapToGrid w:val="0"/>
        <w:spacing w:line="360" w:lineRule="auto"/>
        <w:ind w:firstLineChars="200" w:firstLine="640"/>
        <w:contextualSpacing/>
        <w:jc w:val="left"/>
        <w:rPr>
          <w:szCs w:val="32"/>
        </w:rPr>
      </w:pPr>
      <w:r>
        <w:rPr>
          <w:szCs w:val="32"/>
        </w:rPr>
        <w:t>（12）完成市委、市政府交办的其他任务。</w:t>
      </w:r>
    </w:p>
    <w:p>
      <w:pPr>
        <w:widowControl/>
        <w:adjustRightInd w:val="0"/>
        <w:snapToGrid w:val="0"/>
        <w:spacing w:line="360" w:lineRule="auto"/>
        <w:ind w:firstLineChars="200" w:firstLine="640"/>
        <w:contextualSpacing/>
        <w:jc w:val="left"/>
        <w:rPr>
          <w:rFonts w:eastAsia="楷体_GB2312"/>
          <w:kern w:val="0"/>
          <w:szCs w:val="32"/>
          <w:shd w:val="clear" w:color="auto" w:fill="FFFFFF"/>
          <w:lang w:val="zh-CN"/>
        </w:rPr>
      </w:pPr>
      <w:r>
        <w:rPr>
          <w:rFonts w:eastAsia="楷体_GB2312"/>
          <w:kern w:val="0"/>
          <w:szCs w:val="32"/>
          <w:shd w:val="clear" w:color="auto" w:fill="FFFFFF"/>
          <w:lang w:val="zh-CN"/>
        </w:rPr>
        <w:t>（三）人员概况。</w:t>
      </w:r>
    </w:p>
    <w:p>
      <w:pPr>
        <w:snapToGrid w:val="0"/>
        <w:spacing w:line="360" w:lineRule="auto"/>
        <w:ind w:firstLineChars="200" w:firstLine="640"/>
        <w:rPr>
          <w:szCs w:val="32"/>
        </w:rPr>
      </w:pPr>
      <w:r>
        <w:rPr>
          <w:szCs w:val="32"/>
        </w:rPr>
        <w:t>市医保局机关行政编制10名，机关后勤事业编制1名，单列编制1人（临时），编制内实有在职人数13名。与上年相比，实有人数到龄退休减少1人。市医保信息中心事业编制10名，实有在职人数7名，与上年相比，编制及实有人员均无变化。</w:t>
      </w:r>
    </w:p>
    <w:p>
      <w:pPr>
        <w:widowControl/>
        <w:adjustRightInd w:val="0"/>
        <w:snapToGrid w:val="0"/>
        <w:spacing w:line="360" w:lineRule="auto"/>
        <w:ind w:firstLineChars="200" w:firstLine="640"/>
        <w:contextualSpacing/>
        <w:jc w:val="left"/>
        <w:rPr>
          <w:rFonts w:eastAsia="黑体"/>
          <w:kern w:val="0"/>
          <w:szCs w:val="32"/>
          <w:shd w:val="clear" w:color="auto" w:fill="FFFFFF"/>
        </w:rPr>
      </w:pPr>
      <w:r>
        <w:rPr>
          <w:rFonts w:eastAsia="黑体"/>
          <w:kern w:val="0"/>
          <w:szCs w:val="32"/>
          <w:shd w:val="clear" w:color="auto" w:fill="FFFFFF"/>
        </w:rPr>
        <w:t>二、部门财政资金收支情况</w:t>
      </w:r>
    </w:p>
    <w:p>
      <w:pPr>
        <w:widowControl/>
        <w:adjustRightInd w:val="0"/>
        <w:snapToGrid w:val="0"/>
        <w:spacing w:line="360" w:lineRule="auto"/>
        <w:ind w:firstLineChars="200" w:firstLine="640"/>
        <w:contextualSpacing/>
        <w:jc w:val="left"/>
        <w:rPr>
          <w:rFonts w:eastAsia="楷体_GB2312"/>
          <w:kern w:val="0"/>
          <w:szCs w:val="32"/>
          <w:shd w:val="clear" w:color="auto" w:fill="FFFFFF"/>
          <w:lang w:val="zh-CN"/>
        </w:rPr>
      </w:pPr>
      <w:r>
        <w:rPr>
          <w:rFonts w:eastAsia="楷体_GB2312"/>
          <w:kern w:val="0"/>
          <w:szCs w:val="32"/>
          <w:shd w:val="clear" w:color="auto" w:fill="FFFFFF"/>
          <w:lang w:val="zh-CN"/>
        </w:rPr>
        <w:t>（一）部门财政资金收入情况。</w:t>
      </w:r>
    </w:p>
    <w:p>
      <w:pPr>
        <w:widowControl/>
        <w:adjustRightInd w:val="0"/>
        <w:snapToGrid w:val="0"/>
        <w:spacing w:line="360" w:lineRule="auto"/>
        <w:ind w:firstLineChars="200" w:firstLine="640"/>
        <w:jc w:val="left"/>
        <w:rPr>
          <w:kern w:val="0"/>
          <w:szCs w:val="32"/>
          <w:shd w:val="clear" w:color="auto" w:fill="FFFFFF"/>
        </w:rPr>
      </w:pPr>
      <w:r>
        <w:rPr>
          <w:szCs w:val="32"/>
        </w:rPr>
        <w:t>2023年市医保局财政拨款收入总额1027.22万元，其中：一般公共预算财政拨款1027.22万元，政府性基金预算财政拨款0万元。</w:t>
      </w:r>
    </w:p>
    <w:p>
      <w:pPr>
        <w:widowControl/>
        <w:adjustRightInd w:val="0"/>
        <w:snapToGrid w:val="0"/>
        <w:spacing w:line="360" w:lineRule="auto"/>
        <w:ind w:firstLineChars="200" w:firstLine="640"/>
        <w:contextualSpacing/>
        <w:jc w:val="left"/>
        <w:rPr>
          <w:rFonts w:eastAsia="楷体_GB2312"/>
          <w:kern w:val="0"/>
          <w:szCs w:val="32"/>
          <w:shd w:val="clear" w:color="auto" w:fill="FFFFFF"/>
          <w:lang w:val="zh-CN"/>
        </w:rPr>
      </w:pPr>
      <w:r>
        <w:rPr>
          <w:rFonts w:eastAsia="楷体_GB2312"/>
          <w:kern w:val="0"/>
          <w:szCs w:val="32"/>
          <w:shd w:val="clear" w:color="auto" w:fill="FFFFFF"/>
          <w:lang w:val="zh-CN"/>
        </w:rPr>
        <w:t>（二）部门财政资金支出情况。</w:t>
      </w:r>
    </w:p>
    <w:p>
      <w:pPr>
        <w:adjustRightInd w:val="0"/>
        <w:snapToGrid w:val="0"/>
        <w:spacing w:line="360" w:lineRule="auto"/>
        <w:ind w:firstLineChars="200" w:firstLine="640"/>
        <w:rPr>
          <w:kern w:val="0"/>
          <w:szCs w:val="32"/>
          <w:shd w:val="clear" w:color="auto" w:fill="FFFFFF"/>
          <w:lang w:val="zh-CN"/>
        </w:rPr>
      </w:pPr>
      <w:r>
        <w:rPr>
          <w:szCs w:val="32"/>
        </w:rPr>
        <w:t>2023年市医保局</w:t>
      </w:r>
      <w:r>
        <w:rPr>
          <w:szCs w:val="32"/>
          <w:lang w:val="zh-CN"/>
        </w:rPr>
        <w:t>财政拨款支出总额1027.22</w:t>
      </w:r>
      <w:r>
        <w:rPr>
          <w:szCs w:val="32"/>
        </w:rPr>
        <w:t>万元，其中</w:t>
      </w:r>
      <w:r>
        <w:rPr>
          <w:szCs w:val="32"/>
          <w:lang w:val="zh-CN"/>
        </w:rPr>
        <w:t>：基本支出522.39万元（人员支出459.73万元，公用经费支出62.66万元），项目支出504.83万元。</w:t>
      </w:r>
    </w:p>
    <w:p>
      <w:pPr>
        <w:widowControl/>
        <w:adjustRightInd w:val="0"/>
        <w:snapToGrid w:val="0"/>
        <w:spacing w:line="360" w:lineRule="auto"/>
        <w:ind w:firstLineChars="200" w:firstLine="640"/>
        <w:contextualSpacing/>
        <w:jc w:val="left"/>
        <w:rPr>
          <w:rFonts w:eastAsia="黑体"/>
          <w:kern w:val="0"/>
          <w:szCs w:val="32"/>
          <w:shd w:val="clear" w:color="auto" w:fill="FFFFFF"/>
        </w:rPr>
      </w:pPr>
      <w:r>
        <w:rPr>
          <w:rFonts w:eastAsia="黑体"/>
          <w:kern w:val="0"/>
          <w:szCs w:val="32"/>
          <w:shd w:val="clear" w:color="auto" w:fill="FFFFFF"/>
        </w:rPr>
        <w:t>三、部门整体预算绩效管理情况</w:t>
      </w:r>
    </w:p>
    <w:p>
      <w:pPr>
        <w:widowControl/>
        <w:adjustRightInd w:val="0"/>
        <w:snapToGrid w:val="0"/>
        <w:spacing w:line="360" w:lineRule="auto"/>
        <w:ind w:firstLineChars="200" w:firstLine="640"/>
        <w:contextualSpacing/>
        <w:jc w:val="left"/>
        <w:rPr>
          <w:rFonts w:eastAsia="楷体_GB2312"/>
          <w:kern w:val="0"/>
          <w:szCs w:val="32"/>
          <w:shd w:val="clear" w:color="auto" w:fill="FFFFFF"/>
          <w:lang w:val="zh-CN"/>
        </w:rPr>
      </w:pPr>
      <w:r>
        <w:rPr>
          <w:rFonts w:eastAsia="楷体_GB2312"/>
          <w:kern w:val="0"/>
          <w:szCs w:val="32"/>
          <w:shd w:val="clear" w:color="auto" w:fill="FFFFFF"/>
          <w:lang w:val="zh-CN"/>
        </w:rPr>
        <w:t>（一）部门预算项目绩效管理。</w:t>
      </w:r>
    </w:p>
    <w:p>
      <w:pPr>
        <w:spacing w:line="360" w:lineRule="auto"/>
        <w:ind w:firstLineChars="200" w:firstLine="640"/>
        <w:rPr>
          <w:szCs w:val="32"/>
        </w:rPr>
      </w:pPr>
      <w:r>
        <w:rPr>
          <w:szCs w:val="32"/>
          <w:lang w:val="zh-CN"/>
        </w:rPr>
        <w:t>1.目标管理执行较好。（1）目标制定方面。</w:t>
      </w:r>
      <w:r>
        <w:rPr>
          <w:bCs/>
          <w:szCs w:val="32"/>
          <w:lang w:val="zh-CN"/>
        </w:rPr>
        <w:t>202</w:t>
      </w:r>
      <w:r>
        <w:rPr>
          <w:bCs/>
          <w:szCs w:val="32"/>
        </w:rPr>
        <w:t>3</w:t>
      </w:r>
      <w:r>
        <w:rPr>
          <w:bCs/>
          <w:szCs w:val="32"/>
          <w:lang w:val="zh-CN"/>
        </w:rPr>
        <w:t>年紧紧围绕全局目标任务和重点项目工作，按照财政部门预算绩效管理相关规定，</w:t>
      </w:r>
      <w:r>
        <w:rPr>
          <w:szCs w:val="32"/>
        </w:rPr>
        <w:t>结合实际</w:t>
      </w:r>
      <w:r>
        <w:rPr>
          <w:bCs/>
          <w:szCs w:val="32"/>
          <w:lang w:val="zh-CN"/>
        </w:rPr>
        <w:t>从数量、质量、成本和时效等方面</w:t>
      </w:r>
      <w:r>
        <w:rPr>
          <w:szCs w:val="32"/>
        </w:rPr>
        <w:t>细化绩效指标，</w:t>
      </w:r>
      <w:r>
        <w:rPr>
          <w:bCs/>
          <w:szCs w:val="32"/>
          <w:lang w:val="zh-CN"/>
        </w:rPr>
        <w:t>注重绩效目标符合客观实际，</w:t>
      </w:r>
      <w:r>
        <w:rPr>
          <w:szCs w:val="32"/>
        </w:rPr>
        <w:t>以定量方式表述，绩效目标设置科学</w:t>
      </w:r>
      <w:r>
        <w:rPr>
          <w:bCs/>
          <w:szCs w:val="32"/>
          <w:lang w:val="zh-CN"/>
        </w:rPr>
        <w:t>。（2）目标实现方面。</w:t>
      </w:r>
      <w:r>
        <w:rPr>
          <w:szCs w:val="32"/>
          <w:lang w:val="zh-CN"/>
        </w:rPr>
        <w:t>积极推进预算绩效运行管理，开展事中绩效监控，确保绩效目标实现。工资、五险一金等人员支出保障了职工正常福利待遇按月发放。办公费、水电费、差旅费</w:t>
      </w:r>
      <w:r>
        <w:rPr>
          <w:szCs w:val="32"/>
        </w:rPr>
        <w:t>等日常开支</w:t>
      </w:r>
      <w:r>
        <w:rPr>
          <w:szCs w:val="32"/>
          <w:lang w:val="zh-CN"/>
        </w:rPr>
        <w:t>，保障了局机关和市医保信息中心日常办公和人员运转支出。</w:t>
      </w:r>
      <w:r>
        <w:rPr>
          <w:szCs w:val="32"/>
        </w:rPr>
        <w:t>2023</w:t>
      </w:r>
      <w:r>
        <w:rPr>
          <w:rFonts w:hAnsi="仿宋_GB2312"/>
          <w:szCs w:val="32"/>
        </w:rPr>
        <w:t>年共</w:t>
      </w:r>
      <w:r>
        <w:rPr>
          <w:szCs w:val="32"/>
        </w:rPr>
        <w:t>9</w:t>
      </w:r>
      <w:r>
        <w:rPr>
          <w:rFonts w:hAnsi="仿宋_GB2312"/>
          <w:szCs w:val="32"/>
        </w:rPr>
        <w:t>个项目，其中</w:t>
      </w:r>
      <w:r>
        <w:rPr>
          <w:szCs w:val="32"/>
        </w:rPr>
        <w:t>8</w:t>
      </w:r>
      <w:r>
        <w:rPr>
          <w:rFonts w:hAnsi="仿宋_GB2312"/>
          <w:szCs w:val="32"/>
        </w:rPr>
        <w:t>个完成预期指标，</w:t>
      </w:r>
      <w:r>
        <w:rPr>
          <w:szCs w:val="32"/>
        </w:rPr>
        <w:t>1</w:t>
      </w:r>
      <w:r>
        <w:rPr>
          <w:rFonts w:hAnsi="仿宋_GB2312"/>
          <w:szCs w:val="32"/>
        </w:rPr>
        <w:t>个能力建设项目未完成预算</w:t>
      </w:r>
      <w:bookmarkStart w:id="0" w:name="_Hlk163551544"/>
      <w:r>
        <w:rPr>
          <w:rFonts w:hAnsi="仿宋_GB2312"/>
          <w:szCs w:val="32"/>
        </w:rPr>
        <w:t>。</w:t>
      </w:r>
      <w:bookmarkEnd w:id="0"/>
    </w:p>
    <w:p>
      <w:pPr>
        <w:spacing w:line="360" w:lineRule="auto"/>
        <w:ind w:firstLineChars="200" w:firstLine="640"/>
        <w:rPr>
          <w:szCs w:val="32"/>
          <w:lang w:val="zh-CN"/>
        </w:rPr>
      </w:pPr>
      <w:r>
        <w:rPr>
          <w:szCs w:val="32"/>
          <w:lang w:val="zh-CN"/>
        </w:rPr>
        <w:t>2.制度管理较好。我局制定了财务管理办法，完善了预算管理、收支管理以及财务内控管理等制度，制度合法、合规、完整。严格按照财务管理规定开展单位经费财务工作，相关管理制度得到有效执行。</w:t>
      </w:r>
    </w:p>
    <w:p>
      <w:pPr>
        <w:spacing w:line="360" w:lineRule="auto"/>
        <w:ind w:firstLineChars="200" w:firstLine="640"/>
        <w:rPr>
          <w:szCs w:val="32"/>
          <w:lang w:val="zh-CN"/>
        </w:rPr>
      </w:pPr>
      <w:r>
        <w:rPr>
          <w:szCs w:val="32"/>
          <w:lang w:val="zh-CN"/>
        </w:rPr>
        <w:t>3.支出控制较好。202</w:t>
      </w:r>
      <w:r>
        <w:rPr>
          <w:szCs w:val="32"/>
        </w:rPr>
        <w:t>3</w:t>
      </w:r>
      <w:r>
        <w:rPr>
          <w:szCs w:val="32"/>
          <w:lang w:val="zh-CN"/>
        </w:rPr>
        <w:t>年市医保局各项经费支出均按照调整预算数执行，日常公用经费支出控制率为98.15%，偏差率为1.85%，偏差率在10%以内，支出控制良好；三公经费支出控制率为92.60%，小于100%，三公经费支出控制良好。</w:t>
      </w:r>
    </w:p>
    <w:p>
      <w:pPr>
        <w:spacing w:line="360" w:lineRule="auto"/>
        <w:ind w:firstLineChars="200" w:firstLine="640"/>
        <w:rPr>
          <w:szCs w:val="32"/>
          <w:lang w:val="zh-CN"/>
        </w:rPr>
      </w:pPr>
      <w:r>
        <w:rPr>
          <w:szCs w:val="32"/>
          <w:lang w:val="zh-CN"/>
        </w:rPr>
        <w:t>4.动态调整执行较好。我局</w:t>
      </w:r>
      <w:r>
        <w:rPr>
          <w:rFonts w:hint="eastAsia"/>
          <w:szCs w:val="32"/>
          <w:lang w:val="zh-CN"/>
        </w:rPr>
        <w:t>对</w:t>
      </w:r>
      <w:r>
        <w:rPr>
          <w:szCs w:val="32"/>
          <w:lang w:val="zh-CN"/>
        </w:rPr>
        <w:t>预算资金执行情况开展了绩效监控，发现</w:t>
      </w:r>
      <w:r>
        <w:rPr>
          <w:rFonts w:hint="eastAsia"/>
          <w:szCs w:val="32"/>
          <w:lang w:val="zh-CN"/>
        </w:rPr>
        <w:t>单位</w:t>
      </w:r>
      <w:r>
        <w:rPr>
          <w:szCs w:val="32"/>
          <w:lang w:val="zh-CN"/>
        </w:rPr>
        <w:t>预算与绩效目标</w:t>
      </w:r>
      <w:r>
        <w:rPr>
          <w:rFonts w:hint="eastAsia"/>
          <w:szCs w:val="32"/>
          <w:lang w:val="zh-CN"/>
        </w:rPr>
        <w:t>出现</w:t>
      </w:r>
      <w:r>
        <w:rPr>
          <w:szCs w:val="32"/>
          <w:lang w:val="zh-CN"/>
        </w:rPr>
        <w:t>偏差时，按要求</w:t>
      </w:r>
      <w:r>
        <w:rPr>
          <w:szCs w:val="32"/>
        </w:rPr>
        <w:t>及时</w:t>
      </w:r>
      <w:r>
        <w:rPr>
          <w:rFonts w:hint="eastAsia"/>
          <w:szCs w:val="32"/>
          <w:lang w:val="zh-CN"/>
        </w:rPr>
        <w:t>向市级</w:t>
      </w:r>
      <w:r>
        <w:rPr>
          <w:szCs w:val="32"/>
          <w:lang w:val="zh-CN"/>
        </w:rPr>
        <w:t>财政部门申请指标调剂和支付更正，动态调整执行指标，</w:t>
      </w:r>
      <w:r>
        <w:rPr>
          <w:szCs w:val="32"/>
        </w:rPr>
        <w:t>纠正预算偏差</w:t>
      </w:r>
      <w:r>
        <w:rPr>
          <w:szCs w:val="32"/>
          <w:lang w:val="zh-CN"/>
        </w:rPr>
        <w:t>。</w:t>
      </w:r>
      <w:bookmarkStart w:id="1" w:name="_Hlk163564232"/>
      <w:r>
        <w:rPr>
          <w:bCs/>
          <w:szCs w:val="32"/>
        </w:rPr>
        <w:t>对预算执行进度缓慢的项目，加强与局机关各科室及市医保信息中心沟通协调，督促并加快资金执行进度。</w:t>
      </w:r>
      <w:r>
        <w:rPr>
          <w:szCs w:val="32"/>
          <w:lang w:val="zh-CN"/>
        </w:rPr>
        <w:t>截至2023年6月，预算实际支出进度为60.90%，高于目标进度40%的要求；</w:t>
      </w:r>
      <w:bookmarkEnd w:id="1"/>
      <w:r>
        <w:rPr>
          <w:szCs w:val="32"/>
          <w:lang w:val="zh-CN"/>
        </w:rPr>
        <w:t>截至2023年9月的预算实际支出进度为66.94%，略低于67.5%的目标进度要求；截至2023年11月的预算实际支出进度为87.09%，高于目标进度82.5%的要求。</w:t>
        <w:br/>
      </w:r>
      <w:r>
        <w:rPr>
          <w:rFonts w:hint="eastAsia"/>
          <w:szCs w:val="32"/>
          <w:lang w:val="zh-CN"/>
        </w:rPr>
        <w:t xml:space="preserve">    </w:t>
      </w:r>
      <w:r>
        <w:rPr>
          <w:bCs/>
          <w:szCs w:val="32"/>
        </w:rPr>
        <w:t>5.完成结果较好。2023年，我局无预算管理违规违纪问题，整体支出预算完成98.15%，较好完成了全年预算绩效目标。2023年有9个项目，其中8个完成预期指标，1个能力建设项目未完成，资金结余率12.54%。</w:t>
        <w:br/>
        <w:t xml:space="preserve">    （二）</w:t>
      </w:r>
      <w:r>
        <w:rPr>
          <w:rFonts w:eastAsia="楷体_GB2312"/>
          <w:kern w:val="0"/>
          <w:szCs w:val="32"/>
          <w:shd w:val="clear" w:color="auto" w:fill="FFFFFF"/>
          <w:lang w:val="zh-CN"/>
        </w:rPr>
        <w:t>结果应用情况。</w:t>
      </w:r>
    </w:p>
    <w:p>
      <w:pPr>
        <w:pStyle w:val="26"/>
        <w:widowControl/>
        <w:adjustRightInd w:val="0"/>
        <w:snapToGrid w:val="0"/>
        <w:spacing w:line="580" w:lineRule="exact"/>
        <w:ind w:left="320"/>
        <w:contextualSpacing/>
        <w:jc w:val="left"/>
        <w:rPr>
          <w:bCs/>
          <w:szCs w:val="32"/>
        </w:rPr>
      </w:pPr>
      <w:r>
        <w:rPr>
          <w:bCs/>
          <w:szCs w:val="32"/>
        </w:rPr>
        <w:t>我局预算绩效目标由各科室和市医保信息中心的预算汇总编制形成，并对2023年项目绩效完成情况开展自评。完成了2022年部门整体和项目绩效自评，自评情况已向社会公开，并按要求反馈市级财政部门，对绩效管理过程中发现的问题及时纠偏，绩效结果得到充分应用。</w:t>
      </w:r>
    </w:p>
    <w:p>
      <w:pPr>
        <w:widowControl/>
        <w:adjustRightInd w:val="0"/>
        <w:snapToGrid w:val="0"/>
        <w:spacing w:line="580" w:lineRule="exact"/>
        <w:ind w:firstLineChars="231" w:firstLine="739"/>
        <w:contextualSpacing/>
        <w:jc w:val="left"/>
        <w:rPr>
          <w:rFonts w:eastAsia="楷体_GB2312"/>
          <w:kern w:val="0"/>
          <w:szCs w:val="32"/>
          <w:shd w:val="clear" w:color="auto" w:fill="FFFFFF"/>
          <w:lang w:val="zh-CN"/>
        </w:rPr>
      </w:pPr>
      <w:r>
        <w:rPr>
          <w:rFonts w:eastAsia="楷体_GB2312"/>
          <w:kern w:val="0"/>
          <w:szCs w:val="32"/>
          <w:shd w:val="clear" w:color="auto" w:fill="FFFFFF"/>
          <w:lang w:val="zh-CN"/>
        </w:rPr>
        <w:t>（三）自评质量。</w:t>
      </w:r>
    </w:p>
    <w:p>
      <w:pPr>
        <w:widowControl/>
        <w:adjustRightInd w:val="0"/>
        <w:snapToGrid w:val="0"/>
        <w:spacing w:line="580" w:lineRule="exact"/>
        <w:ind w:firstLineChars="200" w:firstLine="640"/>
        <w:contextualSpacing/>
        <w:jc w:val="left"/>
        <w:rPr>
          <w:bCs/>
          <w:szCs w:val="32"/>
        </w:rPr>
      </w:pPr>
      <w:r>
        <w:rPr>
          <w:bCs/>
          <w:szCs w:val="32"/>
        </w:rPr>
        <w:t>我局高度重视2023年绩效自评工作，根据财政部门绩效指标要求逐项开展自评打分，自评根据预算和决算数据据实填报，自评质量较高。</w:t>
      </w:r>
    </w:p>
    <w:p>
      <w:pPr>
        <w:widowControl/>
        <w:adjustRightInd w:val="0"/>
        <w:snapToGrid w:val="0"/>
        <w:spacing w:line="580" w:lineRule="exact"/>
        <w:ind w:firstLineChars="200" w:firstLine="640"/>
        <w:contextualSpacing/>
        <w:jc w:val="left"/>
        <w:rPr>
          <w:rFonts w:eastAsia="黑体"/>
          <w:kern w:val="0"/>
          <w:szCs w:val="32"/>
          <w:shd w:val="clear" w:color="auto" w:fill="FFFFFF"/>
        </w:rPr>
      </w:pPr>
      <w:r>
        <w:rPr>
          <w:rFonts w:eastAsia="黑体"/>
          <w:kern w:val="0"/>
          <w:szCs w:val="32"/>
          <w:shd w:val="clear" w:color="auto" w:fill="FFFFFF"/>
        </w:rPr>
        <w:t>四、评价结论及建议</w:t>
      </w:r>
    </w:p>
    <w:p>
      <w:pPr>
        <w:widowControl/>
        <w:adjustRightInd w:val="0"/>
        <w:snapToGrid w:val="0"/>
        <w:spacing w:line="580" w:lineRule="exact"/>
        <w:ind w:left="640"/>
        <w:contextualSpacing/>
        <w:jc w:val="left"/>
        <w:rPr>
          <w:rFonts w:eastAsia="楷体_GB2312"/>
          <w:kern w:val="0"/>
          <w:szCs w:val="32"/>
          <w:shd w:val="clear" w:color="auto" w:fill="FFFFFF"/>
          <w:lang w:val="zh-CN"/>
        </w:rPr>
      </w:pPr>
      <w:r>
        <w:rPr>
          <w:rFonts w:eastAsia="楷体_GB2312"/>
          <w:kern w:val="0"/>
          <w:szCs w:val="32"/>
          <w:shd w:val="clear" w:color="auto" w:fill="FFFFFF"/>
          <w:lang w:val="zh-CN"/>
        </w:rPr>
        <w:t>（一）评价结论。</w:t>
      </w:r>
    </w:p>
    <w:p>
      <w:pPr>
        <w:pStyle w:val="24"/>
        <w:widowControl w:val="0"/>
        <w:shd w:val="clear" w:color="auto" w:fill="FFFFFF"/>
        <w:spacing w:before="0" w:beforeAutospacing="0" w:after="0" w:afterAutospacing="0" w:line="360" w:lineRule="auto"/>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2023年，我局</w:t>
      </w:r>
      <w:r>
        <w:rPr>
          <w:rFonts w:ascii="Times New Roman" w:eastAsia="仿宋_GB2312" w:cs="Times New Roman" w:hAnsi="Times New Roman"/>
          <w:sz w:val="32"/>
          <w:szCs w:val="32"/>
          <w:shd w:val="clear" w:color="auto" w:fill="FFFFFF"/>
        </w:rPr>
        <w:t>以习近平新时代中国特色社会主义思想为指导，</w:t>
      </w:r>
      <w:r>
        <w:rPr>
          <w:rFonts w:ascii="Times New Roman" w:eastAsia="仿宋_GB2312" w:cs="Times New Roman" w:hAnsi="Times New Roman"/>
          <w:sz w:val="32"/>
          <w:szCs w:val="32"/>
        </w:rPr>
        <w:t>认真落实国家、省集采部署，积极开展医药服务价格调整工作</w:t>
      </w:r>
      <w:r>
        <w:rPr>
          <w:rFonts w:ascii="Times New Roman" w:eastAsia="仿宋_GB2312" w:cs="Times New Roman" w:hAnsi="Times New Roman"/>
          <w:bCs/>
          <w:sz w:val="32"/>
          <w:szCs w:val="32"/>
          <w:shd w:val="clear" w:color="auto" w:fill="FFFFFF"/>
        </w:rPr>
        <w:t>，深入推进按疾病诊断相关分组（DRG）付费国家示范点建设，着力打造便捷高效的医保经办管理服务体系</w:t>
      </w:r>
      <w:r>
        <w:rPr>
          <w:rFonts w:ascii="Times New Roman" w:eastAsia="仿宋_GB2312" w:cs="Times New Roman" w:hAnsi="Times New Roman"/>
          <w:bCs/>
          <w:sz w:val="32"/>
          <w:szCs w:val="32"/>
        </w:rPr>
        <w:t>，不断加大基金监管工作力度，严厉打击欺诈骗保行为，进一步完善医保信息平台建设，有效提升了医疗保障服务能力，</w:t>
      </w:r>
      <w:r>
        <w:rPr>
          <w:rFonts w:ascii="Times New Roman" w:eastAsia="仿宋_GB2312" w:cs="Times New Roman" w:hAnsi="Times New Roman"/>
          <w:sz w:val="32"/>
          <w:szCs w:val="32"/>
        </w:rPr>
        <w:t>按预期绩效目标圆满完成了各项医保工作任务，实现了保运转，惠民生、促发展、推改革的总体目标。绩效自评得分98.68分，整体支出绩效评价为优秀。</w:t>
      </w:r>
    </w:p>
    <w:p>
      <w:pPr>
        <w:pStyle w:val="24"/>
        <w:widowControl w:val="0"/>
        <w:shd w:val="clear" w:color="auto" w:fill="FFFFFF"/>
        <w:spacing w:before="0" w:beforeAutospacing="0" w:after="0" w:afterAutospacing="0" w:line="360" w:lineRule="auto"/>
        <w:ind w:firstLineChars="200" w:firstLine="640"/>
        <w:jc w:val="both"/>
        <w:rPr>
          <w:rFonts w:ascii="Times New Roman" w:eastAsia="楷体_GB2312" w:cs="Times New Roman" w:hAnsi="Times New Roman"/>
          <w:sz w:val="32"/>
          <w:szCs w:val="32"/>
          <w:shd w:val="clear" w:color="auto" w:fill="FFFFFF"/>
          <w:lang w:val="zh-CN"/>
        </w:rPr>
      </w:pPr>
      <w:r>
        <w:rPr>
          <w:rFonts w:ascii="Times New Roman" w:eastAsia="楷体_GB2312" w:cs="Times New Roman" w:hAnsi="Times New Roman"/>
          <w:sz w:val="32"/>
          <w:szCs w:val="32"/>
          <w:shd w:val="clear" w:color="auto" w:fill="FFFFFF"/>
          <w:lang w:val="zh-CN"/>
        </w:rPr>
        <w:t>（二）存在问题。</w:t>
      </w:r>
    </w:p>
    <w:p>
      <w:pPr>
        <w:spacing w:line="576" w:lineRule="exact"/>
        <w:ind w:firstLineChars="200" w:firstLine="640"/>
        <w:rPr>
          <w:rFonts w:eastAsia="楷体_GB2312"/>
          <w:szCs w:val="32"/>
          <w:shd w:val="clear" w:color="auto" w:fill="FFFFFF"/>
        </w:rPr>
      </w:pPr>
      <w:r>
        <w:rPr>
          <w:bCs/>
          <w:szCs w:val="32"/>
        </w:rPr>
        <w:t>2023年医药服务与保障能力提升中央财政补助资金未完成预算，资金结余率为12.54%，未完成原因是该项目资金下达时间较晚，部分工作年末才开展，项目支出未及时支付。</w:t>
      </w:r>
    </w:p>
    <w:p>
      <w:pPr>
        <w:pStyle w:val="24"/>
        <w:widowControl w:val="0"/>
        <w:shd w:val="clear" w:color="auto" w:fill="FFFFFF"/>
        <w:spacing w:before="0" w:beforeAutospacing="0" w:after="0" w:afterAutospacing="0" w:line="360" w:lineRule="auto"/>
        <w:ind w:firstLineChars="200" w:firstLine="640"/>
        <w:jc w:val="both"/>
        <w:rPr>
          <w:rFonts w:ascii="Times New Roman" w:eastAsia="楷体_GB2312" w:cs="Times New Roman" w:hAnsi="Times New Roman"/>
          <w:sz w:val="32"/>
          <w:szCs w:val="32"/>
          <w:shd w:val="clear" w:color="auto" w:fill="FFFFFF"/>
          <w:lang w:val="zh-CN"/>
        </w:rPr>
      </w:pPr>
      <w:r>
        <w:rPr>
          <w:rFonts w:ascii="Times New Roman" w:eastAsia="楷体_GB2312" w:cs="Times New Roman" w:hAnsi="Times New Roman"/>
          <w:sz w:val="32"/>
          <w:szCs w:val="32"/>
          <w:shd w:val="clear" w:color="auto" w:fill="FFFFFF"/>
          <w:lang w:val="zh-CN"/>
        </w:rPr>
        <w:t>（三）改进建议。</w:t>
      </w:r>
    </w:p>
    <w:p>
      <w:pPr>
        <w:spacing w:line="360" w:lineRule="auto"/>
        <w:ind w:firstLineChars="200" w:firstLine="640"/>
        <w:rPr>
          <w:bCs/>
          <w:szCs w:val="32"/>
        </w:rPr>
      </w:pPr>
      <w:r>
        <w:rPr>
          <w:szCs w:val="32"/>
        </w:rPr>
        <w:t>一是</w:t>
      </w:r>
      <w:r>
        <w:rPr>
          <w:rFonts w:hint="eastAsia"/>
          <w:szCs w:val="32"/>
        </w:rPr>
        <w:t>加快</w:t>
      </w:r>
      <w:r>
        <w:rPr>
          <w:bCs/>
          <w:szCs w:val="32"/>
        </w:rPr>
        <w:t>2023年医药服务与保障能力提升中央财政补助结转资金的使用。二是统筹安排资金使用计划，列出项目支出明细，做到专款专用</w:t>
      </w:r>
      <w:r>
        <w:rPr>
          <w:rFonts w:hint="eastAsia"/>
          <w:bCs/>
          <w:szCs w:val="32"/>
        </w:rPr>
        <w:t>。三是</w:t>
      </w:r>
      <w:r>
        <w:rPr>
          <w:bCs/>
          <w:szCs w:val="32"/>
        </w:rPr>
        <w:t>加强与市级财政部门的沟通协调，督促资金支付进度。</w:t>
      </w:r>
    </w:p>
    <w:p>
      <w:pPr>
        <w:spacing w:line="360" w:lineRule="auto"/>
        <w:ind w:firstLineChars="299" w:firstLine="957"/>
        <w:rPr>
          <w:bCs/>
          <w:szCs w:val="32"/>
        </w:rPr>
      </w:pPr>
    </w:p>
    <w:p>
      <w:pPr>
        <w:spacing w:line="360" w:lineRule="auto"/>
        <w:rPr>
          <w:szCs w:val="32"/>
        </w:rPr>
      </w:pPr>
    </w:p>
    <w:p>
      <w:pPr>
        <w:widowControl/>
        <w:adjustRightInd w:val="0"/>
        <w:snapToGrid w:val="0"/>
        <w:spacing w:line="580" w:lineRule="exact"/>
        <w:ind w:leftChars="200" w:left="1760" w:hangingChars="350" w:hanging="1120"/>
        <w:contextualSpacing/>
        <w:jc w:val="left"/>
        <w:rPr>
          <w:szCs w:val="32"/>
        </w:rPr>
      </w:pPr>
      <w:bookmarkStart w:id="2" w:name="_Hlk163570101"/>
      <w:r>
        <w:rPr>
          <w:kern w:val="0"/>
          <w:szCs w:val="32"/>
          <w:shd w:val="clear" w:color="auto" w:fill="FFFFFF"/>
        </w:rPr>
        <w:t>附件：</w:t>
      </w:r>
      <w:bookmarkEnd w:id="2"/>
      <w:r>
        <w:rPr>
          <w:kern w:val="0"/>
          <w:szCs w:val="32"/>
          <w:shd w:val="clear" w:color="auto" w:fill="FFFFFF"/>
        </w:rPr>
        <w:t>1.攀枝花市医疗保障局关于</w:t>
      </w:r>
      <w:r>
        <w:rPr>
          <w:szCs w:val="32"/>
        </w:rPr>
        <w:t>小型机存储及虚拟化服务器等设备维保项目支出绩效的自评报告</w:t>
      </w:r>
    </w:p>
    <w:p>
      <w:pPr>
        <w:widowControl/>
        <w:adjustRightInd w:val="0"/>
        <w:snapToGrid w:val="0"/>
        <w:spacing w:line="580" w:lineRule="exact"/>
        <w:ind w:leftChars="500" w:left="1920" w:hangingChars="100" w:hanging="320"/>
        <w:contextualSpacing/>
        <w:jc w:val="left"/>
        <w:rPr>
          <w:kern w:val="0"/>
          <w:szCs w:val="32"/>
          <w:shd w:val="clear" w:color="auto" w:fill="FFFFFF"/>
        </w:rPr>
      </w:pPr>
      <w:bookmarkStart w:id="3" w:name="_Hlk163570487"/>
      <w:r>
        <w:rPr>
          <w:kern w:val="0"/>
          <w:szCs w:val="32"/>
          <w:shd w:val="clear" w:color="auto" w:fill="FFFFFF"/>
        </w:rPr>
        <w:t>2</w:t>
      </w:r>
      <w:bookmarkEnd w:id="3"/>
      <w:r>
        <w:rPr>
          <w:kern w:val="0"/>
          <w:szCs w:val="32"/>
          <w:shd w:val="clear" w:color="auto" w:fill="FFFFFF"/>
        </w:rPr>
        <w:t>. 攀枝花市医疗保障局关于“综合柜员制”系统政策性功能调整项目支出绩效的自评报告</w:t>
      </w:r>
    </w:p>
    <w:p>
      <w:pPr>
        <w:widowControl/>
        <w:adjustRightInd w:val="0"/>
        <w:snapToGrid w:val="0"/>
        <w:spacing w:line="580" w:lineRule="exact"/>
        <w:ind w:leftChars="500" w:left="1920" w:hangingChars="100" w:hanging="320"/>
        <w:contextualSpacing/>
        <w:jc w:val="left"/>
        <w:rPr>
          <w:kern w:val="0"/>
          <w:szCs w:val="32"/>
          <w:shd w:val="clear" w:color="auto" w:fill="FFFFFF"/>
        </w:rPr>
      </w:pPr>
      <w:r>
        <w:rPr>
          <w:kern w:val="0"/>
          <w:szCs w:val="32"/>
          <w:shd w:val="clear" w:color="auto" w:fill="FFFFFF"/>
        </w:rPr>
        <w:t>3. 攀枝花市医疗保障局关于医疗保障公共服务体系建设项目支出绩效的自评报告</w:t>
      </w:r>
    </w:p>
    <w:p>
      <w:pPr>
        <w:widowControl/>
        <w:adjustRightInd w:val="0"/>
        <w:snapToGrid w:val="0"/>
        <w:spacing w:line="580" w:lineRule="exact"/>
        <w:ind w:leftChars="200" w:left="1600" w:hangingChars="300" w:hanging="960"/>
        <w:contextualSpacing/>
        <w:jc w:val="left"/>
        <w:rPr>
          <w:kern w:val="0"/>
          <w:szCs w:val="32"/>
          <w:shd w:val="clear" w:color="auto" w:fill="FFFFFF"/>
        </w:rPr>
      </w:pPr>
      <w:r>
        <w:rPr>
          <w:kern w:val="0"/>
          <w:szCs w:val="32"/>
          <w:shd w:val="clear" w:color="auto" w:fill="FFFFFF"/>
        </w:rPr>
        <w:t xml:space="preserve"> </w:t>
      </w:r>
    </w:p>
    <w:p>
      <w:pPr>
        <w:widowControl/>
        <w:adjustRightInd w:val="0"/>
        <w:snapToGrid w:val="0"/>
        <w:spacing w:line="580" w:lineRule="exact"/>
        <w:ind w:leftChars="200" w:left="1600" w:hangingChars="300" w:hanging="960"/>
        <w:contextualSpacing/>
        <w:jc w:val="left"/>
        <w:rPr>
          <w:szCs w:val="32"/>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contextualSpacing/>
        <w:jc w:val="left"/>
        <w:rPr>
          <w:kern w:val="0"/>
          <w:szCs w:val="32"/>
          <w:shd w:val="clear" w:color="auto" w:fill="FFFFFF"/>
        </w:rPr>
      </w:pPr>
    </w:p>
    <w:p>
      <w:pPr>
        <w:widowControl/>
        <w:adjustRightInd w:val="0"/>
        <w:snapToGrid w:val="0"/>
        <w:spacing w:line="580" w:lineRule="exact"/>
        <w:contextualSpacing/>
        <w:jc w:val="left"/>
        <w:rPr>
          <w:kern w:val="0"/>
          <w:szCs w:val="32"/>
          <w:shd w:val="clear" w:color="auto" w:fill="FFFFFF"/>
        </w:rPr>
      </w:pPr>
    </w:p>
    <w:p>
      <w:pPr>
        <w:spacing w:line="560" w:lineRule="exact"/>
        <w:rPr>
          <w:rFonts w:eastAsia="黑体"/>
          <w:szCs w:val="32"/>
        </w:rPr>
      </w:pPr>
      <w:r>
        <w:rPr>
          <w:rFonts w:eastAsia="黑体" w:hAnsi="黑体"/>
          <w:szCs w:val="32"/>
        </w:rPr>
        <w:t>附件</w:t>
      </w:r>
      <w:r>
        <w:rPr>
          <w:rFonts w:eastAsia="黑体"/>
          <w:szCs w:val="32"/>
        </w:rPr>
        <w:t>1</w:t>
      </w:r>
    </w:p>
    <w:p>
      <w:pPr>
        <w:tabs>
          <w:tab w:val="left" w:pos="1440"/>
        </w:tabs>
        <w:spacing w:line="560" w:lineRule="exact"/>
        <w:jc w:val="center"/>
        <w:rPr>
          <w:rFonts w:eastAsia="方正小标宋_GBK"/>
          <w:sz w:val="44"/>
          <w:szCs w:val="44"/>
        </w:rPr>
      </w:pPr>
      <w:r>
        <w:rPr>
          <w:rFonts w:eastAsia="方正小标宋_GBK"/>
          <w:sz w:val="44"/>
          <w:szCs w:val="44"/>
        </w:rPr>
        <w:t>攀枝花市医疗保障局</w:t>
      </w:r>
    </w:p>
    <w:p>
      <w:pPr>
        <w:spacing w:line="560" w:lineRule="exact"/>
        <w:jc w:val="center"/>
        <w:rPr>
          <w:rFonts w:eastAsia="方正小标宋_GBK"/>
          <w:kern w:val="0"/>
          <w:sz w:val="44"/>
          <w:szCs w:val="44"/>
          <w:lang w:val="zh-CN"/>
        </w:rPr>
      </w:pPr>
      <w:r>
        <w:rPr>
          <w:rFonts w:eastAsia="方正小标宋_GBK"/>
          <w:spacing w:val="-2"/>
          <w:kern w:val="0"/>
          <w:sz w:val="44"/>
          <w:szCs w:val="44"/>
          <w:lang w:val="zh-CN"/>
        </w:rPr>
        <w:t>关于小型机存储及虚拟化服务器等设备维保项目</w:t>
      </w:r>
      <w:r>
        <w:rPr>
          <w:rFonts w:eastAsia="方正小标宋_GBK"/>
          <w:kern w:val="0"/>
          <w:sz w:val="44"/>
          <w:szCs w:val="44"/>
          <w:lang w:val="zh-CN"/>
        </w:rPr>
        <w:t>支出绩效的自评报告</w:t>
      </w:r>
    </w:p>
    <w:p>
      <w:pPr>
        <w:spacing w:line="560" w:lineRule="exact"/>
        <w:ind w:firstLine="640"/>
        <w:jc w:val="center"/>
        <w:rPr>
          <w:rFonts w:eastAsia="宋体"/>
          <w:szCs w:val="32"/>
          <w:lang w:val="zh-CN"/>
        </w:rPr>
      </w:pPr>
    </w:p>
    <w:p>
      <w:pPr>
        <w:adjustRightInd w:val="0"/>
        <w:snapToGrid w:val="0"/>
        <w:spacing w:line="560" w:lineRule="exact"/>
        <w:ind w:firstLine="720"/>
        <w:rPr>
          <w:rFonts w:eastAsia="黑体"/>
          <w:szCs w:val="32"/>
          <w:lang w:val="zh-CN"/>
        </w:rPr>
      </w:pPr>
      <w:r>
        <w:rPr>
          <w:rFonts w:eastAsia="黑体"/>
          <w:szCs w:val="32"/>
        </w:rPr>
        <w:t>一、</w:t>
      </w:r>
      <w:r>
        <w:rPr>
          <w:rFonts w:eastAsia="黑体"/>
          <w:szCs w:val="32"/>
          <w:lang w:val="zh-CN"/>
        </w:rPr>
        <w:t>项目概况</w:t>
      </w:r>
    </w:p>
    <w:p>
      <w:pPr>
        <w:adjustRightInd w:val="0"/>
        <w:snapToGrid w:val="0"/>
        <w:spacing w:line="560" w:lineRule="exact"/>
        <w:ind w:firstLine="720"/>
        <w:rPr>
          <w:szCs w:val="32"/>
          <w:lang w:val="zh-CN"/>
        </w:rPr>
      </w:pPr>
      <w:r>
        <w:rPr>
          <w:rFonts w:eastAsia="楷体_GB2312"/>
          <w:b/>
          <w:szCs w:val="32"/>
          <w:lang w:val="zh-CN"/>
        </w:rPr>
        <w:t>（一）项目资金申报及批复情况。</w:t>
      </w:r>
    </w:p>
    <w:p>
      <w:pPr>
        <w:adjustRightInd w:val="0"/>
        <w:snapToGrid w:val="0"/>
        <w:spacing w:line="560" w:lineRule="exact"/>
        <w:ind w:firstLine="720"/>
        <w:rPr>
          <w:szCs w:val="32"/>
        </w:rPr>
      </w:pPr>
      <w:r>
        <w:rPr>
          <w:szCs w:val="32"/>
          <w:lang w:val="zh-CN"/>
        </w:rPr>
        <w:t>攀枝花市医疗保障局通过申请</w:t>
      </w:r>
      <w:r>
        <w:rPr>
          <w:szCs w:val="32"/>
        </w:rPr>
        <w:t>追加2023年工作经费及项目经费预算（第一批），其中包括2022年度IBM小型机及虚拟化服务器等设备维保项目，市财政局下达资金58.8万元，</w:t>
      </w:r>
      <w:r>
        <w:rPr>
          <w:szCs w:val="32"/>
          <w:lang w:val="zh-CN"/>
        </w:rPr>
        <w:t>其符合资金管理办法等相关规定。</w:t>
      </w:r>
    </w:p>
    <w:p>
      <w:pPr>
        <w:adjustRightInd w:val="0"/>
        <w:snapToGrid w:val="0"/>
        <w:spacing w:line="560" w:lineRule="exact"/>
        <w:ind w:firstLine="720"/>
        <w:rPr>
          <w:szCs w:val="32"/>
          <w:lang w:val="zh-CN"/>
        </w:rPr>
      </w:pPr>
      <w:r>
        <w:rPr>
          <w:rFonts w:eastAsia="楷体_GB2312"/>
          <w:b/>
          <w:szCs w:val="32"/>
          <w:lang w:val="zh-CN"/>
        </w:rPr>
        <w:t>（二）项目绩效目标。</w:t>
      </w:r>
    </w:p>
    <w:p>
      <w:pPr>
        <w:adjustRightInd w:val="0"/>
        <w:snapToGrid w:val="0"/>
        <w:spacing w:line="560" w:lineRule="exact"/>
        <w:ind w:firstLine="720"/>
        <w:rPr>
          <w:szCs w:val="32"/>
          <w:lang w:val="zh-CN"/>
        </w:rPr>
      </w:pPr>
      <w:r>
        <w:rPr>
          <w:szCs w:val="32"/>
        </w:rPr>
        <w:t>我市医保核心业务经办系统“综合柜员制”系统通过市人力资源社会保障局“金保工程”系统进行运维，机构改革后，市人力资源社会保障局不再承担“综合柜员制”系统以及依附的ORACLE数据库等系统的运维责任，把相关系统、设备的管理权限进行拆分后移交给医保部门，由我局承接相关系统运维保障工作，本项目为2022年度IBM小型机及虚拟化服务器等设备维保，保障IBM小型机及虚拟化服务器等设备安全稳定运行，保障业务系统正常工作。</w:t>
      </w:r>
    </w:p>
    <w:p>
      <w:pPr>
        <w:adjustRightInd w:val="0"/>
        <w:snapToGrid w:val="0"/>
        <w:spacing w:line="560" w:lineRule="exact"/>
        <w:ind w:firstLine="720"/>
        <w:rPr>
          <w:szCs w:val="32"/>
          <w:lang w:val="zh-CN"/>
        </w:rPr>
      </w:pPr>
      <w:r>
        <w:rPr>
          <w:rFonts w:eastAsia="楷体_GB2312"/>
          <w:b/>
          <w:szCs w:val="32"/>
          <w:lang w:val="zh-CN"/>
        </w:rPr>
        <w:t>（三）项目资金申报相符性。</w:t>
      </w:r>
    </w:p>
    <w:p>
      <w:pPr>
        <w:adjustRightInd w:val="0"/>
        <w:snapToGrid w:val="0"/>
        <w:spacing w:line="560" w:lineRule="exact"/>
        <w:ind w:firstLine="720"/>
        <w:rPr>
          <w:szCs w:val="32"/>
          <w:lang w:val="zh-CN"/>
        </w:rPr>
      </w:pPr>
      <w:r>
        <w:rPr>
          <w:szCs w:val="32"/>
          <w:lang w:val="zh-CN"/>
        </w:rPr>
        <w:t>该项目申报内容与具体实施内容相符，申报目标合理可行。</w:t>
      </w:r>
    </w:p>
    <w:p>
      <w:pPr>
        <w:adjustRightInd w:val="0"/>
        <w:snapToGrid w:val="0"/>
        <w:spacing w:line="560" w:lineRule="exact"/>
        <w:ind w:firstLine="720"/>
        <w:rPr>
          <w:rFonts w:eastAsia="黑体"/>
          <w:szCs w:val="32"/>
        </w:rPr>
      </w:pPr>
      <w:r>
        <w:rPr>
          <w:rFonts w:eastAsia="黑体"/>
          <w:szCs w:val="32"/>
        </w:rPr>
        <w:t>二、项目实施及管理情况</w:t>
      </w:r>
    </w:p>
    <w:p>
      <w:pPr>
        <w:adjustRightInd w:val="0"/>
        <w:snapToGrid w:val="0"/>
        <w:spacing w:line="560" w:lineRule="exact"/>
        <w:ind w:firstLine="720"/>
        <w:rPr>
          <w:rFonts w:eastAsia="楷体_GB2312"/>
          <w:b/>
          <w:szCs w:val="32"/>
          <w:lang w:val="zh-CN"/>
        </w:rPr>
      </w:pPr>
      <w:r>
        <w:rPr>
          <w:rFonts w:eastAsia="楷体_GB2312"/>
          <w:b/>
          <w:szCs w:val="32"/>
          <w:lang w:val="zh-CN"/>
        </w:rPr>
        <w:t>（一）资金计划、到位及使用情况。</w:t>
      </w:r>
    </w:p>
    <w:p>
      <w:pPr>
        <w:adjustRightInd w:val="0"/>
        <w:snapToGrid w:val="0"/>
        <w:spacing w:line="560" w:lineRule="exact"/>
        <w:ind w:firstLine="720"/>
        <w:rPr>
          <w:szCs w:val="32"/>
          <w:lang w:val="zh-CN"/>
        </w:rPr>
      </w:pPr>
      <w:r>
        <w:rPr>
          <w:rFonts w:eastAsia="楷体_GB2312"/>
          <w:szCs w:val="32"/>
          <w:lang w:val="zh-CN"/>
        </w:rPr>
        <w:t>1．资金计划及到位。</w:t>
      </w:r>
    </w:p>
    <w:p>
      <w:pPr>
        <w:spacing w:line="560" w:lineRule="exact"/>
        <w:ind w:firstLineChars="200" w:firstLine="640"/>
        <w:jc w:val="left"/>
        <w:rPr>
          <w:kern w:val="0"/>
          <w:szCs w:val="32"/>
        </w:rPr>
      </w:pPr>
      <w:r>
        <w:rPr>
          <w:kern w:val="0"/>
          <w:szCs w:val="32"/>
        </w:rPr>
        <w:t>2023年，我局根据项目维保情况向市财政局申请追加项目预算资金</w:t>
      </w:r>
      <w:r>
        <w:rPr>
          <w:szCs w:val="32"/>
        </w:rPr>
        <w:t>58.8万</w:t>
      </w:r>
      <w:r>
        <w:rPr>
          <w:kern w:val="0"/>
          <w:szCs w:val="32"/>
        </w:rPr>
        <w:t>元，财政审批后进行资金批复。</w:t>
      </w:r>
    </w:p>
    <w:p>
      <w:pPr>
        <w:adjustRightInd w:val="0"/>
        <w:snapToGrid w:val="0"/>
        <w:spacing w:line="560" w:lineRule="exact"/>
        <w:ind w:firstLine="720"/>
        <w:rPr>
          <w:szCs w:val="32"/>
          <w:lang w:val="zh-CN"/>
        </w:rPr>
      </w:pPr>
      <w:r>
        <w:rPr>
          <w:rFonts w:eastAsia="楷体_GB2312"/>
          <w:szCs w:val="32"/>
          <w:lang w:val="zh-CN"/>
        </w:rPr>
        <w:t>2．资金使用。</w:t>
      </w:r>
    </w:p>
    <w:p>
      <w:pPr>
        <w:adjustRightInd w:val="0"/>
        <w:snapToGrid w:val="0"/>
        <w:spacing w:line="560" w:lineRule="exact"/>
        <w:ind w:firstLine="720"/>
        <w:rPr>
          <w:szCs w:val="32"/>
          <w:lang w:val="zh-CN"/>
        </w:rPr>
      </w:pPr>
      <w:r>
        <w:rPr>
          <w:szCs w:val="32"/>
        </w:rPr>
        <w:t>IBM小型机及虚拟化服务器等设备维保项目为机构改革后市人力资源社会保障信息中心延续项目，2022年度运维费用为58.8万</w:t>
      </w:r>
      <w:r>
        <w:rPr>
          <w:kern w:val="0"/>
          <w:szCs w:val="32"/>
        </w:rPr>
        <w:t>元，2023</w:t>
      </w:r>
      <w:r>
        <w:rPr>
          <w:szCs w:val="32"/>
        </w:rPr>
        <w:t>年12月，分两笔支付，每笔29.4万元，共计58.8万元，</w:t>
      </w:r>
      <w:r>
        <w:rPr>
          <w:szCs w:val="32"/>
          <w:lang w:val="zh-CN"/>
        </w:rPr>
        <w:t>截至2023年底，合同款项全部结清。</w:t>
      </w:r>
    </w:p>
    <w:p>
      <w:pPr>
        <w:adjustRightInd w:val="0"/>
        <w:snapToGrid w:val="0"/>
        <w:spacing w:line="560" w:lineRule="exact"/>
        <w:ind w:firstLineChars="147" w:firstLine="470"/>
        <w:rPr>
          <w:rFonts w:eastAsia="楷体_GB2312"/>
          <w:b/>
          <w:szCs w:val="32"/>
          <w:lang w:val="zh-CN"/>
        </w:rPr>
      </w:pPr>
      <w:r>
        <w:rPr>
          <w:rFonts w:eastAsia="楷体_GB2312"/>
          <w:b/>
          <w:szCs w:val="32"/>
          <w:lang w:val="zh-CN"/>
        </w:rPr>
        <w:t>（二）项目财务管理情况。</w:t>
      </w:r>
    </w:p>
    <w:p>
      <w:pPr>
        <w:autoSpaceDE w:val="0"/>
        <w:autoSpaceDN w:val="0"/>
        <w:spacing w:line="560" w:lineRule="exact"/>
        <w:ind w:firstLineChars="200" w:firstLine="640"/>
        <w:rPr>
          <w:kern w:val="0"/>
          <w:szCs w:val="32"/>
        </w:rPr>
      </w:pPr>
      <w:r>
        <w:rPr>
          <w:kern w:val="0"/>
          <w:szCs w:val="32"/>
        </w:rPr>
        <w:t>严格执行政府会计制度和财务管理规定，会计资料真实、完整，账务处理及时，会计核算规范。坚持专款专用，严格按计划使用资金，无挤占挪用或套取资金等现象。</w:t>
      </w:r>
    </w:p>
    <w:p>
      <w:pPr>
        <w:adjustRightInd w:val="0"/>
        <w:snapToGrid w:val="0"/>
        <w:spacing w:line="560" w:lineRule="exact"/>
        <w:ind w:firstLineChars="147" w:firstLine="470"/>
        <w:rPr>
          <w:rFonts w:eastAsia="楷体_GB2312"/>
          <w:b/>
          <w:szCs w:val="32"/>
          <w:lang w:val="zh-CN"/>
        </w:rPr>
      </w:pPr>
      <w:r>
        <w:rPr>
          <w:rFonts w:eastAsia="楷体_GB2312"/>
          <w:b/>
          <w:szCs w:val="32"/>
          <w:lang w:val="zh-CN"/>
        </w:rPr>
        <w:t>（三）项目组织实施情况。</w:t>
      </w:r>
    </w:p>
    <w:p>
      <w:pPr>
        <w:spacing w:line="560" w:lineRule="exact"/>
        <w:ind w:firstLine="645"/>
        <w:rPr>
          <w:szCs w:val="32"/>
        </w:rPr>
      </w:pPr>
      <w:r>
        <w:rPr>
          <w:szCs w:val="32"/>
        </w:rPr>
        <w:t>IBM小型机及虚拟化服务器等设备维保项目为机构改革后市人力资源社会保障信息中心延续项目，由市医疗保障信息中心牵头</w:t>
      </w:r>
      <w:r>
        <w:rPr>
          <w:kern w:val="0"/>
          <w:szCs w:val="32"/>
        </w:rPr>
        <w:t>统筹谋划推进项目实施，项目组织架构和实施流程完整规范；</w:t>
      </w:r>
      <w:r>
        <w:rPr>
          <w:szCs w:val="32"/>
        </w:rPr>
        <w:t>严格按照与第三方运维公司签订合同要求进行IBM小型机及虚拟化服务器等设备维保，保障业务系统正常工作；</w:t>
      </w:r>
      <w:r>
        <w:rPr>
          <w:kern w:val="0"/>
          <w:szCs w:val="32"/>
        </w:rPr>
        <w:t>不定期组织召开项目研讨会，听取运维情况，及时将难点、堵点问题研讨解决</w:t>
      </w:r>
      <w:r>
        <w:rPr>
          <w:szCs w:val="32"/>
        </w:rPr>
        <w:t>。</w:t>
      </w:r>
    </w:p>
    <w:p>
      <w:pPr>
        <w:adjustRightInd w:val="0"/>
        <w:snapToGrid w:val="0"/>
        <w:spacing w:line="560" w:lineRule="exact"/>
        <w:ind w:firstLine="720"/>
        <w:rPr>
          <w:szCs w:val="32"/>
          <w:lang w:val="zh-CN"/>
        </w:rPr>
      </w:pPr>
      <w:r>
        <w:rPr>
          <w:rFonts w:eastAsia="黑体"/>
          <w:szCs w:val="32"/>
        </w:rPr>
        <w:t>三、项目绩效情况</w:t>
      </w:r>
      <w:r>
        <w:rPr>
          <w:szCs w:val="32"/>
          <w:lang w:val="zh-CN"/>
        </w:rPr>
        <w:tab/>
      </w:r>
    </w:p>
    <w:p>
      <w:pPr>
        <w:adjustRightInd w:val="0"/>
        <w:snapToGrid w:val="0"/>
        <w:spacing w:line="560" w:lineRule="exact"/>
        <w:ind w:firstLine="720"/>
        <w:rPr>
          <w:rFonts w:eastAsia="楷体_GB2312"/>
          <w:b/>
          <w:szCs w:val="32"/>
          <w:lang w:val="zh-CN"/>
        </w:rPr>
      </w:pPr>
      <w:r>
        <w:rPr>
          <w:rFonts w:eastAsia="楷体_GB2312"/>
          <w:b/>
          <w:szCs w:val="32"/>
          <w:lang w:val="zh-CN"/>
        </w:rPr>
        <w:t>（一）项目完成情况。</w:t>
      </w:r>
    </w:p>
    <w:p>
      <w:pPr>
        <w:adjustRightInd w:val="0"/>
        <w:snapToGrid w:val="0"/>
        <w:spacing w:line="560" w:lineRule="exact"/>
        <w:ind w:firstLine="720"/>
        <w:rPr>
          <w:szCs w:val="32"/>
        </w:rPr>
      </w:pPr>
      <w:r>
        <w:rPr>
          <w:szCs w:val="32"/>
          <w:lang w:val="zh-CN"/>
        </w:rPr>
        <w:t>第三方运维公司</w:t>
      </w:r>
      <w:r>
        <w:rPr>
          <w:szCs w:val="32"/>
        </w:rPr>
        <w:t>严格按照运维合同完成维护设备清单的运维工作，定期检查操作系统中的系统设置和系统日志，以确认系统是否正常运行，并进行相应调优工作，完成操作系统备份。</w:t>
      </w:r>
    </w:p>
    <w:p>
      <w:pPr>
        <w:adjustRightInd w:val="0"/>
        <w:snapToGrid w:val="0"/>
        <w:spacing w:line="560" w:lineRule="exact"/>
        <w:ind w:firstLine="720"/>
        <w:rPr>
          <w:szCs w:val="32"/>
        </w:rPr>
      </w:pPr>
      <w:r>
        <w:rPr>
          <w:szCs w:val="32"/>
          <w:lang w:val="zh-CN"/>
        </w:rPr>
        <w:t>2022年度</w:t>
      </w:r>
      <w:r>
        <w:rPr>
          <w:szCs w:val="32"/>
        </w:rPr>
        <w:t>的任务量完成、质量标准、进度计划、成本控制目标等的实现程度达到项目绩效目标。</w:t>
      </w:r>
    </w:p>
    <w:p>
      <w:pPr>
        <w:adjustRightInd w:val="0"/>
        <w:snapToGrid w:val="0"/>
        <w:spacing w:line="560" w:lineRule="exact"/>
        <w:ind w:firstLine="720"/>
        <w:rPr>
          <w:szCs w:val="32"/>
          <w:lang w:val="zh-CN"/>
        </w:rPr>
      </w:pPr>
      <w:r>
        <w:rPr>
          <w:rFonts w:eastAsia="楷体_GB2312"/>
          <w:b/>
          <w:szCs w:val="32"/>
          <w:lang w:val="zh-CN"/>
        </w:rPr>
        <w:t>（二）项目效益情况。</w:t>
      </w:r>
    </w:p>
    <w:p>
      <w:pPr>
        <w:adjustRightInd w:val="0"/>
        <w:snapToGrid w:val="0"/>
        <w:spacing w:line="560" w:lineRule="exact"/>
        <w:ind w:firstLine="720"/>
        <w:rPr>
          <w:szCs w:val="32"/>
          <w:lang w:val="zh-CN"/>
        </w:rPr>
      </w:pPr>
      <w:r>
        <w:rPr>
          <w:szCs w:val="32"/>
          <w:lang w:val="zh-CN"/>
        </w:rPr>
        <w:t>通过该项目的实施，使维保范围内相关软硬件稳定运行，保障信息系统安全、稳定和高效运行，增强系统的可用性和安全性，提高系统运行服务水平和管理水平，保障医保业务系统的正常运行、落实省、市各项医保政策新增和变化，保障医保线下、线上各项业务正常运转，继续支撑医保线上业务的开展，保障参保群众的权益。</w:t>
      </w:r>
    </w:p>
    <w:p>
      <w:pPr>
        <w:adjustRightInd w:val="0"/>
        <w:snapToGrid w:val="0"/>
        <w:spacing w:line="560" w:lineRule="exact"/>
        <w:ind w:firstLine="720"/>
        <w:rPr>
          <w:szCs w:val="32"/>
          <w:lang w:val="zh-CN"/>
        </w:rPr>
      </w:pPr>
      <w:r>
        <w:rPr>
          <w:rFonts w:eastAsia="黑体"/>
          <w:szCs w:val="32"/>
        </w:rPr>
        <w:t>四、问题及建议</w:t>
      </w:r>
    </w:p>
    <w:p>
      <w:pPr>
        <w:adjustRightInd w:val="0"/>
        <w:snapToGrid w:val="0"/>
        <w:spacing w:line="560" w:lineRule="exact"/>
        <w:ind w:firstLine="720"/>
        <w:rPr>
          <w:rFonts w:eastAsia="楷体_GB2312"/>
          <w:b/>
          <w:szCs w:val="32"/>
          <w:lang w:val="zh-CN"/>
        </w:rPr>
      </w:pPr>
      <w:r>
        <w:rPr>
          <w:rFonts w:eastAsia="楷体_GB2312"/>
          <w:b/>
          <w:szCs w:val="32"/>
          <w:lang w:val="zh-CN"/>
        </w:rPr>
        <w:t>（一）存在的问题。</w:t>
      </w:r>
    </w:p>
    <w:p>
      <w:pPr>
        <w:adjustRightInd w:val="0"/>
        <w:snapToGrid w:val="0"/>
        <w:spacing w:line="560" w:lineRule="exact"/>
        <w:ind w:firstLine="720"/>
        <w:rPr>
          <w:szCs w:val="32"/>
          <w:lang w:val="zh-CN"/>
        </w:rPr>
      </w:pPr>
      <w:r>
        <w:rPr>
          <w:szCs w:val="32"/>
          <w:lang w:val="zh-CN"/>
        </w:rPr>
        <w:t>无。</w:t>
      </w:r>
    </w:p>
    <w:p>
      <w:pPr>
        <w:adjustRightInd w:val="0"/>
        <w:snapToGrid w:val="0"/>
        <w:spacing w:line="560" w:lineRule="exact"/>
        <w:ind w:firstLine="720"/>
        <w:rPr>
          <w:szCs w:val="32"/>
          <w:lang w:val="zh-CN"/>
        </w:rPr>
      </w:pPr>
      <w:r>
        <w:rPr>
          <w:rFonts w:eastAsia="楷体_GB2312"/>
          <w:b/>
          <w:szCs w:val="32"/>
          <w:lang w:val="zh-CN"/>
        </w:rPr>
        <w:t>（二）相关建议。</w:t>
      </w:r>
    </w:p>
    <w:p>
      <w:pPr>
        <w:adjustRightInd w:val="0"/>
        <w:snapToGrid w:val="0"/>
        <w:spacing w:line="560" w:lineRule="exact"/>
        <w:ind w:firstLine="720"/>
        <w:rPr>
          <w:szCs w:val="32"/>
          <w:lang w:val="zh-CN"/>
        </w:rPr>
      </w:pPr>
      <w:r>
        <w:rPr>
          <w:szCs w:val="32"/>
          <w:lang w:val="zh-CN"/>
        </w:rPr>
        <w:t>无。</w:t>
      </w: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ind w:firstLineChars="200" w:firstLine="640"/>
        <w:contextualSpacing/>
        <w:jc w:val="left"/>
        <w:rPr>
          <w:kern w:val="0"/>
          <w:szCs w:val="32"/>
          <w:shd w:val="clear" w:color="auto" w:fill="FFFFFF"/>
        </w:rPr>
      </w:pPr>
    </w:p>
    <w:p>
      <w:pPr>
        <w:widowControl/>
        <w:adjustRightInd w:val="0"/>
        <w:snapToGrid w:val="0"/>
        <w:spacing w:line="580" w:lineRule="exact"/>
        <w:contextualSpacing/>
        <w:rPr>
          <w:rFonts w:hint="eastAsia"/>
          <w:kern w:val="0"/>
          <w:szCs w:val="32"/>
          <w:shd w:val="clear" w:color="auto" w:fill="FFFFFF"/>
        </w:rPr>
      </w:pPr>
    </w:p>
    <w:p>
      <w:pPr>
        <w:widowControl/>
        <w:adjustRightInd w:val="0"/>
        <w:snapToGrid w:val="0"/>
        <w:spacing w:line="580" w:lineRule="exact"/>
        <w:contextualSpacing/>
        <w:rPr>
          <w:kern w:val="0"/>
          <w:szCs w:val="32"/>
          <w:shd w:val="clear" w:color="auto" w:fill="FFFFFF"/>
        </w:rPr>
      </w:pPr>
    </w:p>
    <w:p>
      <w:pPr>
        <w:spacing w:line="560" w:lineRule="exact"/>
        <w:rPr>
          <w:rFonts w:eastAsia="黑体"/>
          <w:szCs w:val="32"/>
        </w:rPr>
      </w:pPr>
      <w:r>
        <w:rPr>
          <w:rFonts w:eastAsia="黑体" w:hAnsi="黑体"/>
          <w:szCs w:val="32"/>
        </w:rPr>
        <w:t>附件</w:t>
      </w:r>
      <w:r>
        <w:rPr>
          <w:rFonts w:eastAsia="黑体" w:hint="eastAsia"/>
          <w:szCs w:val="32"/>
        </w:rPr>
        <w:t>2</w:t>
      </w:r>
    </w:p>
    <w:p>
      <w:pPr>
        <w:widowControl/>
        <w:adjustRightInd w:val="0"/>
        <w:snapToGrid w:val="0"/>
        <w:spacing w:line="580" w:lineRule="exact"/>
        <w:contextualSpacing/>
        <w:jc w:val="center"/>
        <w:rPr>
          <w:rFonts w:eastAsia="方正小标宋_GBK"/>
          <w:sz w:val="44"/>
          <w:szCs w:val="44"/>
        </w:rPr>
      </w:pPr>
    </w:p>
    <w:p>
      <w:pPr>
        <w:spacing w:line="600" w:lineRule="exact"/>
        <w:ind w:firstLineChars="200" w:firstLine="880"/>
        <w:jc w:val="center"/>
        <w:rPr>
          <w:rFonts w:eastAsia="方正小标宋_GBK"/>
          <w:sz w:val="44"/>
          <w:szCs w:val="44"/>
        </w:rPr>
      </w:pPr>
      <w:r>
        <w:rPr>
          <w:rFonts w:eastAsia="方正小标宋_GBK"/>
          <w:sz w:val="44"/>
          <w:szCs w:val="44"/>
        </w:rPr>
        <w:t>攀枝花市医疗保障局</w:t>
      </w:r>
    </w:p>
    <w:p>
      <w:pPr>
        <w:spacing w:line="600" w:lineRule="exact"/>
        <w:ind w:firstLineChars="200" w:firstLine="872"/>
        <w:jc w:val="center"/>
        <w:rPr>
          <w:rFonts w:eastAsia="方正小标宋_GBK"/>
          <w:sz w:val="44"/>
          <w:szCs w:val="44"/>
        </w:rPr>
      </w:pPr>
      <w:r>
        <w:rPr>
          <w:rFonts w:eastAsia="方正小标宋_GBK"/>
          <w:spacing w:val="-2"/>
          <w:sz w:val="44"/>
          <w:szCs w:val="44"/>
        </w:rPr>
        <w:t>关于“</w:t>
      </w:r>
      <w:bookmarkStart w:id="4" w:name="_Hlk163570261"/>
      <w:r>
        <w:rPr>
          <w:rFonts w:eastAsia="方正小标宋_GBK"/>
          <w:spacing w:val="-2"/>
          <w:sz w:val="44"/>
          <w:szCs w:val="44"/>
        </w:rPr>
        <w:t>综合柜员制”系统政策性功能调整项目</w:t>
      </w:r>
      <w:r>
        <w:rPr>
          <w:rFonts w:eastAsia="方正小标宋_GBK"/>
          <w:sz w:val="44"/>
          <w:szCs w:val="44"/>
        </w:rPr>
        <w:t>支出绩效的自评报告</w:t>
      </w:r>
    </w:p>
    <w:p>
      <w:pPr>
        <w:rPr>
          <w:sz w:val="44"/>
          <w:szCs w:val="44"/>
        </w:rPr>
      </w:pPr>
      <w:bookmarkEnd w:id="4"/>
    </w:p>
    <w:p>
      <w:pPr>
        <w:autoSpaceDE w:val="0"/>
        <w:autoSpaceDN w:val="0"/>
        <w:adjustRightInd w:val="0"/>
        <w:spacing w:line="600" w:lineRule="exact"/>
        <w:ind w:firstLineChars="200" w:firstLine="640"/>
        <w:jc w:val="left"/>
        <w:rPr>
          <w:rFonts w:eastAsia="黑体"/>
          <w:kern w:val="0"/>
          <w:szCs w:val="32"/>
        </w:rPr>
      </w:pPr>
      <w:r>
        <w:rPr>
          <w:rFonts w:eastAsia="黑体"/>
          <w:kern w:val="0"/>
          <w:szCs w:val="32"/>
        </w:rPr>
        <w:t>一、项目概况</w:t>
      </w:r>
    </w:p>
    <w:p>
      <w:pPr>
        <w:adjustRightInd w:val="0"/>
        <w:snapToGrid w:val="0"/>
        <w:spacing w:line="560" w:lineRule="exact"/>
        <w:ind w:left="720"/>
        <w:rPr>
          <w:rFonts w:eastAsia="楷体_GB2312"/>
          <w:b/>
          <w:szCs w:val="32"/>
          <w:lang w:val="zh-CN"/>
        </w:rPr>
      </w:pPr>
      <w:r>
        <w:rPr>
          <w:rFonts w:eastAsia="楷体_GB2312"/>
          <w:b/>
          <w:szCs w:val="32"/>
          <w:lang w:val="zh-CN"/>
        </w:rPr>
        <w:t>（一）项目资金申报及批复情况。</w:t>
      </w:r>
    </w:p>
    <w:p>
      <w:pPr>
        <w:spacing w:line="600" w:lineRule="exact"/>
        <w:ind w:firstLineChars="200" w:firstLine="640"/>
        <w:jc w:val="left"/>
        <w:rPr>
          <w:rFonts w:eastAsia="黑体"/>
          <w:kern w:val="0"/>
          <w:szCs w:val="32"/>
        </w:rPr>
      </w:pPr>
      <w:r>
        <w:rPr>
          <w:szCs w:val="32"/>
          <w:lang w:val="zh-CN"/>
        </w:rPr>
        <w:t>攀枝花市医疗保障局通过申请</w:t>
      </w:r>
      <w:r>
        <w:rPr>
          <w:szCs w:val="32"/>
        </w:rPr>
        <w:t>追加2023年工作经费及项目经费预算（第</w:t>
      </w:r>
      <w:r>
        <w:rPr>
          <w:szCs w:val="32"/>
          <w:lang w:val="zh-CN"/>
        </w:rPr>
        <w:t>二批），其中包括“综合柜员制”系统政策性功能调整项目，市财政局下达资金</w:t>
      </w:r>
      <w:r>
        <w:rPr>
          <w:szCs w:val="32"/>
        </w:rPr>
        <w:t>116.886</w:t>
      </w:r>
      <w:r>
        <w:rPr>
          <w:szCs w:val="32"/>
          <w:lang w:val="zh-CN"/>
        </w:rPr>
        <w:t>万元，资金申报和批复符合资金管理办法等相关规定。</w:t>
      </w:r>
    </w:p>
    <w:p>
      <w:pPr>
        <w:spacing w:line="600" w:lineRule="exact"/>
        <w:ind w:firstLine="640"/>
        <w:rPr>
          <w:rFonts w:eastAsia="楷体_GB2312"/>
          <w:b/>
          <w:szCs w:val="32"/>
          <w:lang w:val="zh-CN"/>
        </w:rPr>
      </w:pPr>
      <w:r>
        <w:rPr>
          <w:rFonts w:eastAsia="楷体_GB2312"/>
          <w:b/>
          <w:szCs w:val="32"/>
          <w:lang w:val="zh-CN"/>
        </w:rPr>
        <w:t>（二）项目绩效目标。</w:t>
      </w:r>
    </w:p>
    <w:p>
      <w:pPr>
        <w:spacing w:line="560" w:lineRule="exact"/>
        <w:ind w:firstLineChars="200" w:firstLine="640"/>
        <w:rPr>
          <w:szCs w:val="32"/>
        </w:rPr>
      </w:pPr>
      <w:r>
        <w:rPr>
          <w:szCs w:val="32"/>
        </w:rPr>
        <w:t>根据国省市相关政策要求，完成攀枝花市本地化系统改造后，能够实现特殊药品省内异地就医结算、城镇职工基本医疗保险个人账户省内跨统筹区共济、城乡居民医保高血压、糖尿病（两病）认定、管理和结算、生育保险合并至医疗保险、医疗保险征收移交税务平台改造等政策性功能新增，确保相关政策能够落地。</w:t>
      </w:r>
    </w:p>
    <w:p>
      <w:pPr>
        <w:spacing w:line="600" w:lineRule="exact"/>
        <w:ind w:firstLine="640"/>
        <w:rPr>
          <w:rFonts w:eastAsia="楷体_GB2312"/>
          <w:b/>
          <w:szCs w:val="32"/>
          <w:lang w:val="zh-CN"/>
        </w:rPr>
      </w:pPr>
      <w:r>
        <w:rPr>
          <w:rFonts w:eastAsia="楷体_GB2312"/>
          <w:b/>
          <w:szCs w:val="32"/>
          <w:lang w:val="zh-CN"/>
        </w:rPr>
        <w:t>（三）项目资金申报相符性。</w:t>
      </w:r>
    </w:p>
    <w:p>
      <w:pPr>
        <w:autoSpaceDE w:val="0"/>
        <w:autoSpaceDN w:val="0"/>
        <w:adjustRightInd w:val="0"/>
        <w:spacing w:line="600" w:lineRule="exact"/>
        <w:jc w:val="left"/>
        <w:rPr>
          <w:szCs w:val="32"/>
        </w:rPr>
      </w:pPr>
      <w:r>
        <w:rPr>
          <w:kern w:val="0"/>
          <w:szCs w:val="32"/>
        </w:rPr>
        <w:t>“综合柜员制”系统政策性功能调整严格按照项目建设需求进行建设，达到预期目标。资金申报内容和实际相符合。</w:t>
      </w:r>
    </w:p>
    <w:p>
      <w:pPr>
        <w:autoSpaceDE w:val="0"/>
        <w:autoSpaceDN w:val="0"/>
        <w:adjustRightInd w:val="0"/>
        <w:spacing w:line="600" w:lineRule="exact"/>
        <w:ind w:firstLineChars="200" w:firstLine="640"/>
        <w:jc w:val="left"/>
        <w:rPr>
          <w:rFonts w:eastAsia="黑体"/>
          <w:kern w:val="0"/>
          <w:szCs w:val="32"/>
        </w:rPr>
      </w:pPr>
      <w:r>
        <w:rPr>
          <w:rFonts w:eastAsia="黑体"/>
          <w:kern w:val="0"/>
          <w:szCs w:val="32"/>
        </w:rPr>
        <w:t>二、项目实施及管理情况</w:t>
      </w:r>
    </w:p>
    <w:p>
      <w:pPr>
        <w:spacing w:line="600" w:lineRule="exact"/>
        <w:ind w:firstLine="640"/>
        <w:rPr>
          <w:rFonts w:eastAsia="楷体_GB2312"/>
          <w:b/>
          <w:szCs w:val="32"/>
          <w:lang w:val="zh-CN"/>
        </w:rPr>
      </w:pPr>
      <w:r>
        <w:rPr>
          <w:rFonts w:eastAsia="楷体_GB2312"/>
          <w:b/>
          <w:szCs w:val="32"/>
          <w:lang w:val="zh-CN"/>
        </w:rPr>
        <w:t>（一）资金计划、到位及使用情况。</w:t>
      </w:r>
    </w:p>
    <w:p>
      <w:pPr>
        <w:adjustRightInd w:val="0"/>
        <w:snapToGrid w:val="0"/>
        <w:spacing w:line="560" w:lineRule="exact"/>
        <w:ind w:firstLine="720"/>
        <w:rPr>
          <w:rFonts w:eastAsia="楷体_GB2312"/>
          <w:szCs w:val="32"/>
          <w:lang w:val="zh-CN"/>
        </w:rPr>
      </w:pPr>
      <w:r>
        <w:rPr>
          <w:rFonts w:eastAsia="楷体_GB2312"/>
          <w:szCs w:val="32"/>
          <w:lang w:val="zh-CN"/>
        </w:rPr>
        <w:t>1．资金计划及到位。</w:t>
      </w:r>
    </w:p>
    <w:p>
      <w:pPr>
        <w:spacing w:line="360" w:lineRule="auto"/>
        <w:ind w:firstLineChars="200" w:firstLine="640"/>
        <w:jc w:val="left"/>
        <w:rPr>
          <w:kern w:val="0"/>
          <w:szCs w:val="32"/>
        </w:rPr>
      </w:pPr>
      <w:r>
        <w:rPr>
          <w:kern w:val="0"/>
          <w:szCs w:val="32"/>
        </w:rPr>
        <w:t>2023年，我局根据项目开发情况向市财政局追加申请项目预算资金，财政审批后进行资金批复。</w:t>
      </w:r>
    </w:p>
    <w:p>
      <w:pPr>
        <w:adjustRightInd w:val="0"/>
        <w:snapToGrid w:val="0"/>
        <w:spacing w:line="560" w:lineRule="exact"/>
        <w:ind w:firstLine="720"/>
        <w:rPr>
          <w:szCs w:val="32"/>
        </w:rPr>
      </w:pPr>
      <w:r>
        <w:rPr>
          <w:rFonts w:eastAsia="楷体_GB2312"/>
          <w:szCs w:val="32"/>
          <w:lang w:val="zh-CN"/>
        </w:rPr>
        <w:t>2．资金使用。</w:t>
      </w:r>
    </w:p>
    <w:p>
      <w:pPr>
        <w:adjustRightInd w:val="0"/>
        <w:snapToGrid w:val="0"/>
        <w:spacing w:line="560" w:lineRule="exact"/>
        <w:ind w:firstLine="720"/>
        <w:rPr>
          <w:kern w:val="0"/>
          <w:szCs w:val="32"/>
          <w:lang w:val="zh-CN"/>
        </w:rPr>
      </w:pPr>
      <w:r>
        <w:rPr>
          <w:kern w:val="0"/>
          <w:szCs w:val="32"/>
        </w:rPr>
        <w:t>“综合柜员制”系统政策性功能调整项目政府采购中标价166.98万元，2021年已支付50.094万元，2023年支付款项116.886万元，截至2023年底，合同款项全部结清。</w:t>
      </w:r>
    </w:p>
    <w:p>
      <w:pPr>
        <w:spacing w:line="600" w:lineRule="exact"/>
        <w:ind w:firstLine="640"/>
        <w:rPr>
          <w:rFonts w:eastAsia="楷体_GB2312"/>
          <w:b/>
          <w:szCs w:val="32"/>
          <w:lang w:val="zh-CN"/>
        </w:rPr>
      </w:pPr>
      <w:r>
        <w:rPr>
          <w:rFonts w:eastAsia="楷体_GB2312"/>
          <w:b/>
          <w:szCs w:val="32"/>
          <w:lang w:val="zh-CN"/>
        </w:rPr>
        <w:t>（二）项目财务管理情况。</w:t>
      </w:r>
    </w:p>
    <w:p>
      <w:pPr>
        <w:autoSpaceDE w:val="0"/>
        <w:autoSpaceDN w:val="0"/>
        <w:adjustRightInd w:val="0"/>
        <w:spacing w:line="560" w:lineRule="exact"/>
        <w:ind w:firstLineChars="200" w:firstLine="640"/>
        <w:jc w:val="left"/>
        <w:rPr>
          <w:kern w:val="0"/>
          <w:szCs w:val="32"/>
        </w:rPr>
      </w:pPr>
      <w:r>
        <w:rPr>
          <w:kern w:val="0"/>
          <w:szCs w:val="32"/>
        </w:rPr>
        <w:t>在资金使用管理上，严格按照国家财经法规和内部财务管理制度的规定开支，资金结付有完整的审批程序和手续，根据专项资金管理要求，设置专项资金专户，专项核算，分账管理，坚持专款专用，严格按计划使用资金，无挤占挪用或套取资金等现象。</w:t>
      </w:r>
    </w:p>
    <w:p>
      <w:pPr>
        <w:spacing w:line="600" w:lineRule="exact"/>
        <w:ind w:firstLineChars="147" w:firstLine="470"/>
        <w:rPr>
          <w:rFonts w:eastAsia="楷体_GB2312"/>
          <w:b/>
          <w:szCs w:val="32"/>
          <w:lang w:val="zh-CN"/>
        </w:rPr>
      </w:pPr>
      <w:r>
        <w:rPr>
          <w:rFonts w:eastAsia="楷体_GB2312"/>
          <w:b/>
          <w:szCs w:val="32"/>
          <w:lang w:val="zh-CN"/>
        </w:rPr>
        <w:t>（三）项目组织实施情况。</w:t>
      </w:r>
    </w:p>
    <w:p>
      <w:pPr>
        <w:spacing w:line="560" w:lineRule="exact"/>
        <w:ind w:firstLine="645"/>
        <w:rPr>
          <w:rFonts w:eastAsia="楷体_GB2312"/>
          <w:kern w:val="0"/>
          <w:szCs w:val="32"/>
        </w:rPr>
      </w:pPr>
      <w:r>
        <w:rPr>
          <w:szCs w:val="32"/>
        </w:rPr>
        <w:t>由市医疗保障信息中心牵头</w:t>
      </w:r>
      <w:r>
        <w:rPr>
          <w:kern w:val="0"/>
          <w:szCs w:val="32"/>
        </w:rPr>
        <w:t>统筹谋划推进项目实施，项目组织架构和实施流程完整规范。</w:t>
      </w:r>
      <w:r>
        <w:rPr>
          <w:szCs w:val="32"/>
        </w:rPr>
        <w:t>一是按照国家、省、市相关政策文件要求，结合我市工作实际情况和地方特点，准确、合理地制定功能调整、新增方案；二是将实施方案提供至第三方软件公司，完成功能调整、新增功能开发；三是通过开发测试、部门测试、现场测试等多次测试改正验收，填写测试报告，保证新增功能符合政策要求，尽力保障每一位参保群众的待遇享受；四是测试通过后提交发布计划，完成相应的程序发布流程后发布程序；五是通过与税务平台、医保省级平台与国家平台等系统联动，为参保群众提供更方便、高效的服务。</w:t>
      </w:r>
    </w:p>
    <w:p>
      <w:pPr>
        <w:adjustRightInd w:val="0"/>
        <w:snapToGrid w:val="0"/>
        <w:spacing w:line="560" w:lineRule="exact"/>
        <w:ind w:firstLine="720"/>
        <w:rPr>
          <w:rFonts w:eastAsia="黑体"/>
          <w:szCs w:val="32"/>
          <w:lang w:val="zh-CN"/>
        </w:rPr>
      </w:pPr>
      <w:r>
        <w:rPr>
          <w:rFonts w:eastAsia="黑体"/>
          <w:szCs w:val="32"/>
        </w:rPr>
        <w:t>三、项目绩效情况</w:t>
      </w:r>
      <w:r>
        <w:rPr>
          <w:rFonts w:eastAsia="黑体"/>
          <w:szCs w:val="32"/>
          <w:lang w:val="zh-CN"/>
        </w:rPr>
        <w:tab/>
      </w:r>
    </w:p>
    <w:p>
      <w:pPr>
        <w:spacing w:line="600" w:lineRule="exact"/>
        <w:ind w:firstLineChars="196" w:firstLine="627"/>
        <w:rPr>
          <w:rFonts w:eastAsia="楷体_GB2312"/>
          <w:b/>
          <w:szCs w:val="32"/>
          <w:lang w:val="zh-CN"/>
        </w:rPr>
      </w:pPr>
      <w:r>
        <w:rPr>
          <w:rFonts w:eastAsia="楷体_GB2312"/>
          <w:b/>
          <w:szCs w:val="32"/>
          <w:lang w:val="zh-CN"/>
        </w:rPr>
        <w:t>（一）项目完成情况。</w:t>
      </w:r>
    </w:p>
    <w:p>
      <w:pPr>
        <w:spacing w:line="360" w:lineRule="auto"/>
        <w:ind w:firstLine="646"/>
        <w:rPr>
          <w:szCs w:val="32"/>
        </w:rPr>
      </w:pPr>
      <w:r>
        <w:rPr>
          <w:szCs w:val="32"/>
        </w:rPr>
        <w:t>根据国省市相关政策要求，完成了攀枝花市本地化系统改造后，实现了特殊药品省内异地就医结算、城镇职工基本医疗保险个人账户省内跨统筹区共济、城乡居民医保高血压、糖尿病（两病）认定、管理和结算、生育保险合并至医疗保险、医疗保险征收移交税务平台改造等政策性功能。</w:t>
      </w:r>
    </w:p>
    <w:p>
      <w:pPr>
        <w:spacing w:line="600" w:lineRule="exact"/>
        <w:ind w:firstLineChars="147" w:firstLine="470"/>
        <w:rPr>
          <w:rFonts w:eastAsia="楷体_GB2312"/>
          <w:b/>
          <w:szCs w:val="32"/>
          <w:lang w:val="zh-CN"/>
        </w:rPr>
      </w:pPr>
      <w:r>
        <w:rPr>
          <w:rFonts w:eastAsia="楷体_GB2312"/>
          <w:b/>
          <w:szCs w:val="32"/>
          <w:lang w:val="zh-CN"/>
        </w:rPr>
        <w:t>（二）项目效益情况。</w:t>
      </w:r>
    </w:p>
    <w:p>
      <w:pPr>
        <w:autoSpaceDE w:val="0"/>
        <w:autoSpaceDN w:val="0"/>
        <w:adjustRightInd w:val="0"/>
        <w:spacing w:line="560" w:lineRule="exact"/>
        <w:ind w:firstLineChars="200" w:firstLine="640"/>
        <w:jc w:val="left"/>
        <w:rPr>
          <w:szCs w:val="32"/>
        </w:rPr>
      </w:pPr>
      <w:r>
        <w:rPr>
          <w:kern w:val="0"/>
          <w:szCs w:val="32"/>
        </w:rPr>
        <w:t>“综合柜员制”系统政策性功能调整</w:t>
      </w:r>
      <w:r>
        <w:rPr>
          <w:szCs w:val="32"/>
        </w:rPr>
        <w:t>保障了国家、省、市各级的政策能够正常实施，为建设省级统一的医疗保障系统做好基础工作，为全市参保群众提供更加便捷、可靠的服务。</w:t>
      </w:r>
    </w:p>
    <w:p>
      <w:pPr>
        <w:autoSpaceDE w:val="0"/>
        <w:autoSpaceDN w:val="0"/>
        <w:adjustRightInd w:val="0"/>
        <w:spacing w:line="560" w:lineRule="exact"/>
        <w:ind w:firstLineChars="200" w:firstLine="640"/>
        <w:jc w:val="left"/>
        <w:rPr>
          <w:rFonts w:eastAsia="黑体"/>
          <w:kern w:val="0"/>
          <w:szCs w:val="32"/>
        </w:rPr>
      </w:pPr>
      <w:r>
        <w:rPr>
          <w:rFonts w:eastAsia="黑体"/>
          <w:kern w:val="0"/>
          <w:szCs w:val="32"/>
        </w:rPr>
        <w:t>四、评价结论及建议</w:t>
      </w:r>
    </w:p>
    <w:p>
      <w:pPr>
        <w:spacing w:line="600" w:lineRule="exact"/>
        <w:ind w:firstLineChars="147" w:firstLine="470"/>
        <w:rPr>
          <w:rFonts w:eastAsia="楷体_GB2312"/>
          <w:b/>
          <w:szCs w:val="32"/>
          <w:lang w:val="zh-CN"/>
        </w:rPr>
      </w:pPr>
      <w:r>
        <w:rPr>
          <w:rFonts w:eastAsia="楷体_GB2312"/>
          <w:b/>
          <w:szCs w:val="32"/>
          <w:lang w:val="zh-CN"/>
        </w:rPr>
        <w:t>（一）存在的问题。</w:t>
      </w:r>
    </w:p>
    <w:p>
      <w:pPr>
        <w:autoSpaceDE w:val="0"/>
        <w:autoSpaceDN w:val="0"/>
        <w:adjustRightInd w:val="0"/>
        <w:spacing w:line="560" w:lineRule="exact"/>
        <w:ind w:firstLineChars="200" w:firstLine="640"/>
        <w:jc w:val="left"/>
        <w:rPr>
          <w:szCs w:val="32"/>
        </w:rPr>
      </w:pPr>
      <w:r>
        <w:rPr>
          <w:szCs w:val="32"/>
        </w:rPr>
        <w:t>无。</w:t>
      </w:r>
    </w:p>
    <w:p>
      <w:pPr>
        <w:spacing w:line="600" w:lineRule="exact"/>
        <w:ind w:firstLineChars="147" w:firstLine="470"/>
        <w:rPr>
          <w:rFonts w:eastAsia="楷体_GB2312"/>
          <w:b/>
          <w:szCs w:val="32"/>
          <w:lang w:val="zh-CN"/>
        </w:rPr>
      </w:pPr>
      <w:r>
        <w:rPr>
          <w:rFonts w:eastAsia="楷体_GB2312"/>
          <w:b/>
          <w:szCs w:val="32"/>
          <w:lang w:val="zh-CN"/>
        </w:rPr>
        <w:t>（二）相关建议。</w:t>
      </w:r>
    </w:p>
    <w:p>
      <w:pPr>
        <w:spacing w:line="600" w:lineRule="exact"/>
        <w:ind w:firstLineChars="200" w:firstLine="640"/>
        <w:rPr>
          <w:szCs w:val="32"/>
          <w:lang w:val="zh-CN"/>
        </w:rPr>
      </w:pPr>
      <w:r>
        <w:rPr>
          <w:szCs w:val="32"/>
          <w:lang w:val="zh-CN"/>
        </w:rPr>
        <w:t>无。</w:t>
      </w: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widowControl/>
        <w:adjustRightInd w:val="0"/>
        <w:snapToGrid w:val="0"/>
        <w:spacing w:line="580" w:lineRule="exact"/>
        <w:contextualSpacing/>
        <w:rPr>
          <w:kern w:val="0"/>
          <w:szCs w:val="32"/>
          <w:shd w:val="clear" w:color="auto" w:fill="FFFFFF"/>
        </w:rPr>
      </w:pPr>
    </w:p>
    <w:p>
      <w:pPr>
        <w:widowControl/>
        <w:adjustRightInd w:val="0"/>
        <w:snapToGrid w:val="0"/>
        <w:spacing w:line="580" w:lineRule="exact"/>
        <w:contextualSpacing/>
        <w:jc w:val="center"/>
        <w:rPr>
          <w:kern w:val="0"/>
          <w:szCs w:val="32"/>
          <w:shd w:val="clear" w:color="auto" w:fill="FFFFFF"/>
        </w:rPr>
      </w:pPr>
    </w:p>
    <w:p>
      <w:pPr>
        <w:spacing w:line="560" w:lineRule="exact"/>
        <w:rPr>
          <w:rFonts w:eastAsia="黑体"/>
          <w:szCs w:val="32"/>
        </w:rPr>
      </w:pPr>
      <w:r>
        <w:rPr>
          <w:rFonts w:eastAsia="黑体" w:hAnsi="黑体"/>
          <w:szCs w:val="32"/>
        </w:rPr>
        <w:t>附件</w:t>
      </w:r>
      <w:r>
        <w:rPr>
          <w:rFonts w:eastAsia="黑体"/>
          <w:szCs w:val="32"/>
        </w:rPr>
        <w:t>3</w:t>
      </w:r>
    </w:p>
    <w:p>
      <w:pPr>
        <w:tabs>
          <w:tab w:val="left" w:pos="1440"/>
        </w:tabs>
        <w:spacing w:line="560" w:lineRule="exact"/>
        <w:rPr>
          <w:rFonts w:eastAsia="宋体"/>
          <w:sz w:val="30"/>
          <w:szCs w:val="30"/>
        </w:rPr>
      </w:pPr>
    </w:p>
    <w:p>
      <w:pPr>
        <w:spacing w:line="600" w:lineRule="exact"/>
        <w:jc w:val="center"/>
        <w:rPr>
          <w:rFonts w:eastAsia="方正小标宋_GBK"/>
          <w:sz w:val="44"/>
          <w:szCs w:val="44"/>
        </w:rPr>
      </w:pPr>
      <w:r>
        <w:rPr>
          <w:rFonts w:eastAsia="方正小标宋_GBK"/>
          <w:sz w:val="44"/>
          <w:szCs w:val="44"/>
        </w:rPr>
        <w:t>攀枝花市医疗保障局</w:t>
      </w:r>
      <w:bookmarkStart w:id="5" w:name="_Hlk163570520"/>
    </w:p>
    <w:p>
      <w:pPr>
        <w:spacing w:line="600" w:lineRule="exact"/>
        <w:jc w:val="center"/>
        <w:rPr>
          <w:rFonts w:eastAsia="方正小标宋_GBK"/>
          <w:sz w:val="44"/>
          <w:szCs w:val="44"/>
        </w:rPr>
      </w:pPr>
      <w:r>
        <w:rPr>
          <w:rFonts w:eastAsia="方正小标宋_GBK"/>
          <w:sz w:val="44"/>
          <w:szCs w:val="44"/>
        </w:rPr>
        <w:t>关于医疗保障公共服务体系建设项目</w:t>
      </w:r>
    </w:p>
    <w:p>
      <w:pPr>
        <w:spacing w:line="600" w:lineRule="exact"/>
        <w:jc w:val="center"/>
        <w:rPr>
          <w:rFonts w:eastAsia="方正小标宋_GBK"/>
          <w:sz w:val="44"/>
          <w:szCs w:val="44"/>
        </w:rPr>
      </w:pPr>
      <w:r>
        <w:rPr>
          <w:rFonts w:eastAsia="方正小标宋_GBK"/>
          <w:sz w:val="44"/>
          <w:szCs w:val="44"/>
        </w:rPr>
        <w:t>支出绩效的自评报告</w:t>
      </w:r>
    </w:p>
    <w:p>
      <w:pPr>
        <w:spacing w:line="560" w:lineRule="exact"/>
        <w:ind w:firstLine="640"/>
        <w:jc w:val="center"/>
        <w:rPr>
          <w:rFonts w:eastAsia="宋体"/>
          <w:szCs w:val="32"/>
          <w:lang w:val="zh-CN"/>
        </w:rPr>
      </w:pPr>
      <w:bookmarkEnd w:id="5"/>
    </w:p>
    <w:p>
      <w:pPr>
        <w:adjustRightInd w:val="0"/>
        <w:snapToGrid w:val="0"/>
        <w:spacing w:line="560" w:lineRule="exact"/>
        <w:ind w:firstLine="720"/>
        <w:rPr>
          <w:rFonts w:eastAsia="黑体"/>
          <w:szCs w:val="32"/>
          <w:lang w:val="zh-CN"/>
        </w:rPr>
      </w:pPr>
      <w:r>
        <w:rPr>
          <w:rFonts w:eastAsia="黑体"/>
          <w:szCs w:val="32"/>
        </w:rPr>
        <w:t>一、</w:t>
      </w:r>
      <w:r>
        <w:rPr>
          <w:rFonts w:eastAsia="黑体"/>
          <w:szCs w:val="32"/>
          <w:lang w:val="zh-CN"/>
        </w:rPr>
        <w:t>项目概况</w:t>
      </w:r>
    </w:p>
    <w:p>
      <w:pPr>
        <w:numPr>
          <w:ilvl w:val="0"/>
          <w:numId w:val="1"/>
        </w:numPr>
        <w:adjustRightInd w:val="0"/>
        <w:snapToGrid w:val="0"/>
        <w:spacing w:line="560" w:lineRule="exact"/>
        <w:rPr>
          <w:rFonts w:eastAsia="楷体_GB2312"/>
          <w:b/>
          <w:szCs w:val="32"/>
          <w:lang w:val="zh-CN"/>
        </w:rPr>
      </w:pPr>
      <w:r>
        <w:rPr>
          <w:rFonts w:eastAsia="楷体_GB2312"/>
          <w:b/>
          <w:szCs w:val="32"/>
          <w:lang w:val="zh-CN"/>
        </w:rPr>
        <w:t>项目资金申报及批复情况。</w:t>
      </w:r>
    </w:p>
    <w:p>
      <w:pPr>
        <w:adjustRightInd w:val="0"/>
        <w:snapToGrid w:val="0"/>
        <w:spacing w:line="560" w:lineRule="exact"/>
        <w:ind w:firstLine="720"/>
        <w:rPr>
          <w:szCs w:val="32"/>
        </w:rPr>
      </w:pPr>
      <w:r>
        <w:rPr>
          <w:szCs w:val="32"/>
          <w:lang w:val="zh-CN"/>
        </w:rPr>
        <w:t>攀枝花市医疗保障局通过申请</w:t>
      </w:r>
      <w:r>
        <w:rPr>
          <w:szCs w:val="32"/>
        </w:rPr>
        <w:t>追加2023年工作经费及项目经费预算（第一批），其中包括医疗保障公共服务体系建设项目，市财政局下达资金65.0088万元，</w:t>
      </w:r>
      <w:r>
        <w:rPr>
          <w:szCs w:val="32"/>
          <w:lang w:val="zh-CN"/>
        </w:rPr>
        <w:t>资金申报和批复符合资金管理办法等相关规定。</w:t>
      </w:r>
    </w:p>
    <w:p>
      <w:pPr>
        <w:spacing w:line="600" w:lineRule="exact"/>
        <w:ind w:firstLine="640"/>
        <w:rPr>
          <w:rFonts w:eastAsia="楷体_GB2312"/>
          <w:b/>
          <w:szCs w:val="32"/>
          <w:lang w:val="zh-CN"/>
        </w:rPr>
      </w:pPr>
      <w:r>
        <w:rPr>
          <w:rFonts w:eastAsia="楷体_GB2312"/>
          <w:b/>
          <w:szCs w:val="32"/>
          <w:lang w:val="zh-CN"/>
        </w:rPr>
        <w:t>（二）项目绩效目标。</w:t>
      </w:r>
    </w:p>
    <w:p>
      <w:pPr>
        <w:spacing w:line="600" w:lineRule="exact"/>
        <w:ind w:firstLine="640"/>
        <w:rPr>
          <w:szCs w:val="32"/>
        </w:rPr>
      </w:pPr>
      <w:r>
        <w:rPr>
          <w:szCs w:val="32"/>
          <w:lang w:val="zh-CN"/>
        </w:rPr>
        <w:t>该项目主要为开</w:t>
      </w:r>
      <w:r>
        <w:rPr>
          <w:szCs w:val="32"/>
        </w:rPr>
        <w:t>展我市公共服务体系建设工作，提升我市医疗保障“一网通办”能力，对本地网厅、微信公众号及自助机公共服务渠道对接省平台进行适应性改造，实现提高医保公共服务能力输出，统一系统接入标准，减少定点医疗机构接入成本，为群众提供便捷高效的医保线上服务目标。2022年开始招标建设，2022年完成上线使用。</w:t>
      </w:r>
    </w:p>
    <w:p>
      <w:pPr>
        <w:spacing w:line="600" w:lineRule="exact"/>
        <w:ind w:firstLine="640"/>
        <w:rPr>
          <w:rFonts w:eastAsia="楷体_GB2312"/>
          <w:b/>
          <w:szCs w:val="32"/>
          <w:lang w:val="zh-CN"/>
        </w:rPr>
      </w:pPr>
      <w:r>
        <w:rPr>
          <w:rFonts w:eastAsia="楷体_GB2312"/>
          <w:b/>
          <w:szCs w:val="32"/>
          <w:lang w:val="zh-CN"/>
        </w:rPr>
        <w:t>（三）项目资金申报相符性。</w:t>
      </w:r>
    </w:p>
    <w:p>
      <w:pPr>
        <w:spacing w:line="600" w:lineRule="exact"/>
        <w:ind w:firstLine="640"/>
        <w:rPr>
          <w:szCs w:val="32"/>
        </w:rPr>
      </w:pPr>
      <w:r>
        <w:rPr>
          <w:szCs w:val="32"/>
        </w:rPr>
        <w:t>按照四川省医保局《关于做好“一网通办”能力提升百日攻坚行动方案》（川办函〔2021〕7 号）和攀枝花市人民政府办公室关于印发《攀枝花市“一网通办”能力提升集中攻坚行动实施方案》（攀办发〔2021〕22 号）的文件要求，为提高我市医保公共服务和“一网通办”能力，开展本项目</w:t>
      </w:r>
      <w:r>
        <w:rPr>
          <w:rFonts w:hAnsi="仿宋_GB2312"/>
          <w:szCs w:val="32"/>
        </w:rPr>
        <w:t>项目立项、资金申报，</w:t>
      </w:r>
      <w:r>
        <w:rPr>
          <w:kern w:val="0"/>
          <w:szCs w:val="32"/>
        </w:rPr>
        <w:t>本项</w:t>
      </w:r>
      <w:r>
        <w:rPr>
          <w:rFonts w:hAnsi="仿宋_GB2312"/>
          <w:szCs w:val="32"/>
        </w:rPr>
        <w:t>目</w:t>
      </w:r>
      <w:r>
        <w:rPr>
          <w:kern w:val="0"/>
          <w:szCs w:val="32"/>
        </w:rPr>
        <w:t>严格按照建设需求进行建设，达到预期目标，资金申报内容和实际相符合。</w:t>
      </w:r>
    </w:p>
    <w:p>
      <w:pPr>
        <w:adjustRightInd w:val="0"/>
        <w:snapToGrid w:val="0"/>
        <w:spacing w:line="560" w:lineRule="exact"/>
        <w:ind w:firstLine="720"/>
        <w:rPr>
          <w:rFonts w:eastAsia="黑体"/>
          <w:szCs w:val="32"/>
        </w:rPr>
      </w:pPr>
      <w:r>
        <w:rPr>
          <w:rFonts w:eastAsia="黑体"/>
          <w:szCs w:val="32"/>
        </w:rPr>
        <w:t>二、项目实施及管理情况</w:t>
      </w:r>
    </w:p>
    <w:p>
      <w:pPr>
        <w:adjustRightInd w:val="0"/>
        <w:snapToGrid w:val="0"/>
        <w:spacing w:line="560" w:lineRule="exact"/>
        <w:ind w:firstLine="720"/>
        <w:rPr>
          <w:rFonts w:eastAsia="楷体_GB2312"/>
          <w:b/>
          <w:szCs w:val="32"/>
          <w:lang w:val="zh-CN"/>
        </w:rPr>
      </w:pPr>
      <w:r>
        <w:rPr>
          <w:rFonts w:eastAsia="楷体_GB2312"/>
          <w:b/>
          <w:szCs w:val="32"/>
          <w:lang w:val="zh-CN"/>
        </w:rPr>
        <w:t>（一）资金计划、到位及使用情况。</w:t>
      </w:r>
    </w:p>
    <w:p>
      <w:pPr>
        <w:adjustRightInd w:val="0"/>
        <w:snapToGrid w:val="0"/>
        <w:spacing w:line="560" w:lineRule="exact"/>
        <w:ind w:firstLine="720"/>
        <w:rPr>
          <w:rFonts w:eastAsia="楷体_GB2312"/>
          <w:szCs w:val="32"/>
          <w:lang w:val="zh-CN"/>
        </w:rPr>
      </w:pPr>
      <w:r>
        <w:rPr>
          <w:rFonts w:eastAsia="楷体_GB2312"/>
          <w:szCs w:val="32"/>
          <w:lang w:val="zh-CN"/>
        </w:rPr>
        <w:t>1．资金计划及到位。</w:t>
      </w:r>
    </w:p>
    <w:p>
      <w:pPr>
        <w:spacing w:line="560" w:lineRule="exact"/>
        <w:ind w:firstLineChars="200" w:firstLine="640"/>
        <w:jc w:val="left"/>
        <w:rPr>
          <w:szCs w:val="32"/>
        </w:rPr>
      </w:pPr>
      <w:r>
        <w:rPr>
          <w:kern w:val="0"/>
          <w:szCs w:val="32"/>
        </w:rPr>
        <w:t>2023年，我局根据项目维保情况向市财政局申请追加项目预算资金</w:t>
      </w:r>
      <w:r>
        <w:rPr>
          <w:szCs w:val="32"/>
        </w:rPr>
        <w:t>65.0088万</w:t>
      </w:r>
      <w:r>
        <w:rPr>
          <w:kern w:val="0"/>
          <w:szCs w:val="32"/>
        </w:rPr>
        <w:t>元，财政审批后进行资金批复。</w:t>
      </w:r>
    </w:p>
    <w:p>
      <w:pPr>
        <w:adjustRightInd w:val="0"/>
        <w:snapToGrid w:val="0"/>
        <w:spacing w:line="560" w:lineRule="exact"/>
        <w:ind w:firstLine="720"/>
        <w:rPr>
          <w:rFonts w:eastAsia="楷体_GB2312"/>
          <w:szCs w:val="32"/>
          <w:lang w:val="zh-CN"/>
        </w:rPr>
      </w:pPr>
      <w:r>
        <w:rPr>
          <w:rFonts w:eastAsia="楷体_GB2312"/>
          <w:szCs w:val="32"/>
          <w:lang w:val="zh-CN"/>
        </w:rPr>
        <w:t>2．资金使用。</w:t>
      </w:r>
    </w:p>
    <w:p>
      <w:pPr>
        <w:adjustRightInd w:val="0"/>
        <w:snapToGrid w:val="0"/>
        <w:spacing w:line="560" w:lineRule="exact"/>
        <w:ind w:firstLine="720"/>
        <w:rPr>
          <w:szCs w:val="32"/>
          <w:lang w:val="zh-CN"/>
        </w:rPr>
      </w:pPr>
      <w:r>
        <w:rPr>
          <w:szCs w:val="32"/>
        </w:rPr>
        <w:t>医疗保障公共服务体系建设项目政府采购中标价94.8888万元，2022年已支付29.88万元；2023年支付剩余款项 65.0088万元，截至2023年底，合同款项全部结清。</w:t>
      </w:r>
    </w:p>
    <w:p>
      <w:pPr>
        <w:adjustRightInd w:val="0"/>
        <w:snapToGrid w:val="0"/>
        <w:spacing w:line="560" w:lineRule="exact"/>
        <w:ind w:firstLine="720"/>
        <w:rPr>
          <w:rFonts w:eastAsia="楷体_GB2312"/>
          <w:b/>
          <w:szCs w:val="32"/>
          <w:lang w:val="zh-CN"/>
        </w:rPr>
      </w:pPr>
      <w:r>
        <w:rPr>
          <w:rFonts w:eastAsia="楷体_GB2312"/>
          <w:b/>
          <w:szCs w:val="32"/>
          <w:lang w:val="zh-CN"/>
        </w:rPr>
        <w:t>（二）项目财务管理情况。</w:t>
      </w:r>
    </w:p>
    <w:p>
      <w:pPr>
        <w:autoSpaceDE w:val="0"/>
        <w:autoSpaceDN w:val="0"/>
        <w:spacing w:line="560" w:lineRule="exact"/>
        <w:ind w:firstLineChars="200" w:firstLine="640"/>
        <w:rPr>
          <w:kern w:val="0"/>
          <w:szCs w:val="32"/>
        </w:rPr>
      </w:pPr>
      <w:r>
        <w:rPr>
          <w:kern w:val="0"/>
          <w:szCs w:val="32"/>
        </w:rPr>
        <w:t>严格执行政府会计制度和财务管理规定，会计资料真实、完整，账务处理及时，会计核算规范。坚持专款专用，严格按计划使用资金，无挤占挪用或套取资金等现象。</w:t>
      </w:r>
    </w:p>
    <w:p>
      <w:pPr>
        <w:adjustRightInd w:val="0"/>
        <w:snapToGrid w:val="0"/>
        <w:spacing w:line="560" w:lineRule="exact"/>
        <w:ind w:firstLine="720"/>
        <w:rPr>
          <w:rFonts w:eastAsia="楷体_GB2312"/>
          <w:b/>
          <w:szCs w:val="32"/>
          <w:lang w:val="zh-CN"/>
        </w:rPr>
      </w:pPr>
      <w:r>
        <w:rPr>
          <w:rFonts w:eastAsia="楷体_GB2312"/>
          <w:b/>
          <w:szCs w:val="32"/>
          <w:lang w:val="zh-CN"/>
        </w:rPr>
        <w:t>（三）项目组织实施情况。</w:t>
      </w:r>
    </w:p>
    <w:p>
      <w:pPr>
        <w:spacing w:line="560" w:lineRule="exact"/>
        <w:ind w:firstLine="645"/>
        <w:rPr>
          <w:szCs w:val="32"/>
        </w:rPr>
      </w:pPr>
      <w:r>
        <w:rPr>
          <w:szCs w:val="32"/>
        </w:rPr>
        <w:t>由市医疗保障信息中心牵头</w:t>
      </w:r>
      <w:r>
        <w:rPr>
          <w:kern w:val="0"/>
          <w:szCs w:val="32"/>
        </w:rPr>
        <w:t>统筹谋划推进项目实施，项目组织架构和实施流程完整规范。</w:t>
      </w:r>
      <w:r>
        <w:rPr>
          <w:szCs w:val="32"/>
        </w:rPr>
        <w:t>一是市医疗保障信息中心牵头，联合市医疗保障事务中心等共同协商实施方案，就实施细节达成一致；二是将实施方案提供至第三方软件公司，完成功能开发；三是对开发功能进行测试，填写测试报告；四是测试通过后提交发布计划，完成相应的程序发布流程后发布程序。</w:t>
      </w:r>
    </w:p>
    <w:p>
      <w:pPr>
        <w:adjustRightInd w:val="0"/>
        <w:snapToGrid w:val="0"/>
        <w:spacing w:line="560" w:lineRule="exact"/>
        <w:ind w:firstLineChars="275" w:firstLine="880"/>
        <w:rPr>
          <w:szCs w:val="32"/>
          <w:lang w:val="zh-CN"/>
        </w:rPr>
      </w:pPr>
      <w:r>
        <w:rPr>
          <w:rFonts w:eastAsia="黑体"/>
          <w:szCs w:val="32"/>
        </w:rPr>
        <w:t>三、项目绩效情况</w:t>
      </w:r>
      <w:r>
        <w:rPr>
          <w:szCs w:val="32"/>
          <w:lang w:val="zh-CN"/>
        </w:rPr>
        <w:tab/>
      </w:r>
    </w:p>
    <w:p>
      <w:pPr>
        <w:adjustRightInd w:val="0"/>
        <w:snapToGrid w:val="0"/>
        <w:spacing w:line="560" w:lineRule="exact"/>
        <w:ind w:firstLine="720"/>
        <w:rPr>
          <w:rFonts w:eastAsia="楷体_GB2312"/>
          <w:b/>
          <w:szCs w:val="32"/>
          <w:lang w:val="zh-CN"/>
        </w:rPr>
      </w:pPr>
      <w:r>
        <w:rPr>
          <w:rFonts w:eastAsia="楷体_GB2312"/>
          <w:b/>
          <w:szCs w:val="32"/>
          <w:lang w:val="zh-CN"/>
        </w:rPr>
        <w:t>（一）项目完成情况。</w:t>
      </w:r>
    </w:p>
    <w:p>
      <w:pPr>
        <w:spacing w:line="560" w:lineRule="exact"/>
        <w:ind w:firstLineChars="200" w:firstLine="640"/>
        <w:rPr>
          <w:szCs w:val="32"/>
        </w:rPr>
      </w:pPr>
      <w:r>
        <w:rPr>
          <w:rFonts w:hAnsi="仿宋_GB2312"/>
          <w:szCs w:val="32"/>
        </w:rPr>
        <w:t>根据项目开发方案进度安排，完成了医疗保障公共服务体系建设项目，实现了</w:t>
      </w:r>
      <w:r>
        <w:rPr>
          <w:szCs w:val="32"/>
        </w:rPr>
        <w:t>本地网厅、微信公众号及自助机公共服务渠道对接省平台进行适应性改造，按照医保政务服务清单，完成了与省平台业务系统对接，实现了数据共享和业务协同，推动全省一体化政务服务平台在我市高效运转，建设了统一的医保电子凭证就医购药公共服务平台。</w:t>
      </w:r>
    </w:p>
    <w:p>
      <w:pPr>
        <w:adjustRightInd w:val="0"/>
        <w:snapToGrid w:val="0"/>
        <w:spacing w:line="560" w:lineRule="exact"/>
        <w:ind w:firstLineChars="196" w:firstLine="627"/>
        <w:rPr>
          <w:rFonts w:eastAsia="楷体_GB2312"/>
          <w:b/>
          <w:szCs w:val="32"/>
          <w:lang w:val="zh-CN"/>
        </w:rPr>
      </w:pPr>
      <w:r>
        <w:rPr>
          <w:rFonts w:eastAsia="楷体_GB2312"/>
          <w:b/>
          <w:szCs w:val="32"/>
          <w:lang w:val="zh-CN"/>
        </w:rPr>
        <w:t>（二）项目效益情况。</w:t>
      </w:r>
    </w:p>
    <w:p>
      <w:pPr>
        <w:adjustRightInd w:val="0"/>
        <w:snapToGrid w:val="0"/>
        <w:spacing w:line="560" w:lineRule="exact"/>
        <w:ind w:firstLine="642"/>
        <w:rPr>
          <w:szCs w:val="32"/>
        </w:rPr>
      </w:pPr>
      <w:r>
        <w:rPr>
          <w:szCs w:val="32"/>
        </w:rPr>
        <w:t>医疗保障公共服务体系建设，有利于提高医保公共服务能力输出，为群众提供更好的医保线上服务体验，提高群众对医保公共服务能力的满意度。参保群众通过医保微信公众号、医保手机APP、网上服务大厅、全省政务服务一体化平台，实现医保政务服务事项业务办理。</w:t>
      </w:r>
    </w:p>
    <w:p>
      <w:pPr>
        <w:adjustRightInd w:val="0"/>
        <w:snapToGrid w:val="0"/>
        <w:spacing w:line="560" w:lineRule="exact"/>
        <w:ind w:firstLine="642"/>
        <w:rPr>
          <w:rFonts w:eastAsia="黑体"/>
          <w:szCs w:val="32"/>
        </w:rPr>
      </w:pPr>
      <w:r>
        <w:rPr>
          <w:rFonts w:eastAsia="黑体"/>
          <w:szCs w:val="32"/>
        </w:rPr>
        <w:t>四、问题及建议</w:t>
      </w:r>
    </w:p>
    <w:p>
      <w:pPr>
        <w:adjustRightInd w:val="0"/>
        <w:snapToGrid w:val="0"/>
        <w:spacing w:line="560" w:lineRule="exact"/>
        <w:ind w:firstLineChars="147" w:firstLine="470"/>
        <w:rPr>
          <w:rFonts w:eastAsia="楷体_GB2312"/>
          <w:b/>
          <w:szCs w:val="32"/>
          <w:lang w:val="zh-CN"/>
        </w:rPr>
      </w:pPr>
      <w:r>
        <w:rPr>
          <w:rFonts w:eastAsia="楷体_GB2312"/>
          <w:b/>
          <w:szCs w:val="32"/>
          <w:lang w:val="zh-CN"/>
        </w:rPr>
        <w:t>（一）存在的问题。</w:t>
      </w:r>
    </w:p>
    <w:p>
      <w:pPr>
        <w:adjustRightInd w:val="0"/>
        <w:snapToGrid w:val="0"/>
        <w:spacing w:line="560" w:lineRule="exact"/>
        <w:ind w:firstLineChars="200" w:firstLine="640"/>
        <w:rPr>
          <w:szCs w:val="32"/>
        </w:rPr>
      </w:pPr>
      <w:r>
        <w:rPr>
          <w:szCs w:val="32"/>
        </w:rPr>
        <w:t>无。</w:t>
      </w:r>
    </w:p>
    <w:p>
      <w:pPr>
        <w:adjustRightInd w:val="0"/>
        <w:snapToGrid w:val="0"/>
        <w:spacing w:line="560" w:lineRule="exact"/>
        <w:ind w:firstLineChars="147" w:firstLine="470"/>
        <w:rPr>
          <w:szCs w:val="32"/>
          <w:lang w:val="zh-CN"/>
        </w:rPr>
      </w:pPr>
      <w:r>
        <w:rPr>
          <w:rFonts w:eastAsia="楷体_GB2312"/>
          <w:b/>
          <w:szCs w:val="32"/>
          <w:lang w:val="zh-CN"/>
        </w:rPr>
        <w:t>（二）相关建议。</w:t>
      </w:r>
    </w:p>
    <w:p>
      <w:pPr>
        <w:adjustRightInd w:val="0"/>
        <w:snapToGrid w:val="0"/>
        <w:spacing w:line="560" w:lineRule="exact"/>
        <w:ind w:firstLineChars="200" w:firstLine="640"/>
        <w:rPr>
          <w:szCs w:val="32"/>
        </w:rPr>
      </w:pPr>
      <w:r>
        <w:rPr>
          <w:szCs w:val="32"/>
        </w:rPr>
        <w:t>无。</w:t>
      </w:r>
    </w:p>
    <w:p>
      <w:pPr>
        <w:widowControl/>
        <w:adjustRightInd w:val="0"/>
        <w:snapToGrid w:val="0"/>
        <w:spacing w:line="580" w:lineRule="exact"/>
        <w:contextualSpacing/>
        <w:jc w:val="center"/>
        <w:rPr>
          <w:kern w:val="0"/>
          <w:szCs w:val="32"/>
          <w:shd w:val="clear" w:color="auto" w:fill="FFFFFF"/>
        </w:rPr>
      </w:pPr>
    </w:p>
    <w:sectPr>
      <w:headerReference w:type="default" r:id="rId2"/>
      <w:footerReference w:type="even" r:id="rId3"/>
      <w:pgSz w:w="11906" w:h="16838"/>
      <w:pgMar w:top="907" w:right="1361" w:bottom="851" w:left="1361" w:header="851" w:footer="992" w:gutter="0"/>
      <w:pgNumType w:fmt="numberInDash" w:start="12"/>
      <w:cols w:num="1" w:space="425"/>
      <w:docGrid w:type="lines" w:linePitch="435"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variable"/>
    <w:sig w:usb0="00000001" w:usb1="080E0000" w:usb2="00000010" w:usb3="00000000" w:csb0="00040000" w:csb1="00000000"/>
  </w:font>
  <w:font w:name="楷体_GB2312">
    <w:altName w:val="Arial Unicode MS"/>
    <w:panose1 w:val="02010609030101010101"/>
    <w:charset w:val="86"/>
    <w:family w:val="modern"/>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
    <w:altName w:val="Times New Roman"/>
    <w:panose1 w:val="00000000000000000000"/>
    <w:charset w:val="00"/>
    <w:family w:val="roman"/>
    <w:pitch w:val="variable"/>
    <w:sig w:usb0="00000000" w:usb1="00000000" w:usb2="00000000" w:usb3="00000000" w:csb0="00000000" w:csb1="00000000"/>
  </w:font>
  <w:font w:name="Courier New">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4776663"/>
    </w:sdtPr>
    <w:sdtContent>
      <w:p>
        <w:pPr>
          <w:pStyle w:val="17"/>
          <w:tabs>
            <w:tab w:val="center" w:pos="4153"/>
            <w:tab w:val="right" w:pos="8306"/>
          </w:tabs>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- 12 -</w:t>
        </w:r>
        <w:r>
          <w:rPr>
            <w:rFonts w:ascii="宋体" w:eastAsia="宋体"/>
            <w:sz w:val="28"/>
            <w:szCs w:val="28"/>
          </w:rPr>
          <w:fldChar w:fldCharType="end"/>
        </w:r>
      </w:p>
    </w:sdtContent>
  </w:sdt>
  <w:p>
    <w:pPr>
      <w:pStyle w:val="17"/>
      <w:tabs>
        <w:tab w:val="clear" w:pos="4153"/>
        <w:tab w:val="clear" w:pos="8306"/>
        <w:tab w:val="right" w:pos="9184"/>
      </w:tabs>
      <w:rPr>
        <w:rFonts w:ascii="宋体" w:hAnsi="宋体"/>
        <w:sz w:val="28"/>
        <w:szCs w:val="28"/>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23F21A9"/>
    <w:multiLevelType w:val="multilevel"/>
    <w:tmpl w:val="423F21A9"/>
    <w:lvl w:ilvl="0">
      <w:start w:val="1"/>
      <w:numFmt w:val="japaneseCounting"/>
      <w:lvlRestart w:val="0"/>
      <w:lvlText w:val="（%1）"/>
      <w:lvlJc w:val="left"/>
      <w:pPr>
        <w:ind w:left="1710" w:hanging="99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efaultTabStop w:val="420"/>
  <w:drawingGridHorizontalSpacing w:val="160"/>
  <w:drawingGridVerticalSpacing w:val="435"/>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Document Map"/>
    <w:basedOn w:val="0"/>
    <w:rPr>
      <w:rFonts w:ascii="宋体" w:eastAsia="宋体"/>
      <w:sz w:val="18"/>
      <w:szCs w:val="18"/>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rFonts w:eastAsia="宋体"/>
      <w:sz w:val="18"/>
      <w:szCs w:val="18"/>
    </w:rPr>
  </w:style>
  <w:style w:type="paragraph" w:styleId="18">
    <w:name w:val="header"/>
    <w:basedOn w:val="0"/>
    <w:pPr>
      <w:pBdr>
        <w:bottom w:val="single" w:sz="6" w:space="1" w:color="auto"/>
      </w:pBdr>
      <w:tabs>
        <w:tab w:val="center" w:pos="4153"/>
        <w:tab w:val="right" w:pos="8306"/>
      </w:tabs>
      <w:snapToGrid w:val="0"/>
      <w:jc w:val="center"/>
    </w:pPr>
    <w:rPr>
      <w:rFonts w:eastAsia="宋体"/>
      <w:sz w:val="18"/>
      <w:szCs w:val="18"/>
    </w:rPr>
  </w:style>
  <w:style w:type="character" w:styleId="19">
    <w:name w:val="page number"/>
    <w:basedOn w:val="10"/>
  </w:style>
  <w:style w:type="paragraph" w:customStyle="1" w:styleId="20">
    <w:name w:val="四号正文"/>
    <w:basedOn w:val="0"/>
    <w:pPr>
      <w:spacing w:line="360" w:lineRule="auto"/>
    </w:pPr>
    <w:rPr>
      <w:rFonts w:ascii="??" w:eastAsia="宋体" w:cs="宋体" w:hAnsi="??"/>
      <w:color w:val="000000"/>
      <w:kern w:val="0"/>
      <w:sz w:val="28"/>
      <w:szCs w:val="21"/>
    </w:rPr>
  </w:style>
  <w:style w:type="paragraph" w:customStyle="1" w:styleId="21">
    <w:name w:val="a"/>
    <w:basedOn w:val="0"/>
    <w:pPr>
      <w:widowControl/>
      <w:spacing w:before="100" w:beforeAutospacing="1" w:after="100" w:afterAutospacing="1"/>
      <w:jc w:val="left"/>
    </w:pPr>
    <w:rPr>
      <w:rFonts w:ascii="宋体" w:eastAsia="宋体" w:cs="宋体" w:hAnsi="宋体"/>
      <w:kern w:val="0"/>
      <w:sz w:val="24"/>
    </w:rPr>
  </w:style>
  <w:style w:type="character" w:customStyle="1" w:styleId="22">
    <w:name w:val="font31"/>
    <w:basedOn w:val="10"/>
    <w:rPr>
      <w:rFonts w:ascii="宋体" w:eastAsia="宋体" w:cs="宋体" w:hAnsi="宋体"/>
      <w:color w:val="000000"/>
      <w:sz w:val="24"/>
      <w:szCs w:val="24"/>
      <w:u w:val="none"/>
    </w:rPr>
  </w:style>
  <w:style w:type="paragraph" w:styleId="23">
    <w:name w:val="Plain Text"/>
    <w:basedOn w:val="0"/>
    <w:rPr>
      <w:rFonts w:ascii="宋体" w:eastAsia="宋体" w:hAnsi="Courier New"/>
      <w:sz w:val="21"/>
    </w:rPr>
  </w:style>
  <w:style w:type="paragraph" w:styleId="24">
    <w:name w:val="Normal (Web)"/>
    <w:basedOn w:val="0"/>
    <w:pPr>
      <w:widowControl/>
      <w:spacing w:before="100" w:beforeAutospacing="1" w:after="100" w:afterAutospacing="1"/>
      <w:jc w:val="left"/>
    </w:pPr>
    <w:rPr>
      <w:rFonts w:ascii="宋体" w:eastAsia="宋体" w:cs="宋体" w:hAnsi="宋体"/>
      <w:kern w:val="0"/>
      <w:sz w:val="24"/>
    </w:rPr>
  </w:style>
  <w:style w:type="paragraph" w:styleId="25">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rPr>
  </w:style>
  <w:style w:type="paragraph" w:styleId="26">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8A30E03-7AB4-4404-B371-E35FAFD9503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998</TotalTime>
  <Application>Yozo_Office27021597764231179</Application>
  <Pages>15</Pages>
  <Words>0</Words>
  <Characters>5214</Characters>
  <Lines>0</Lines>
  <Paragraphs>185</Paragraphs>
  <CharactersWithSpaces>6952</CharactersWithSpaces>
  <Company>PSZX</Company>
</Properties>
</file>

<file path=docProps/core.xml><?xml version="1.0" encoding="utf-8"?>
<cp:coreProperties xmlns:cp="http://schemas.openxmlformats.org/package/2006/metadata/core-properties" xmlns:dc="http://purl.org/dc/elements/1.1/" xmlns:dcterms="http://purl.org/dc/terms/" xmlns:xsi="http://www.w3.org/2001/XMLSchema-instance">
  <dc:title>区域性就业培训基地建设项目</dc:title>
  <dc:creator>陈萍</dc:creator>
  <cp:lastModifiedBy>user</cp:lastModifiedBy>
  <cp:revision>160</cp:revision>
  <cp:lastPrinted>2023-04-25T10:59:00Z</cp:lastPrinted>
  <dcterms:created xsi:type="dcterms:W3CDTF">2023-04-20T01:25:00Z</dcterms:created>
  <dcterms:modified xsi:type="dcterms:W3CDTF">2024-04-26T15:35:25Z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2052-11.8.2.9793</vt:lpwstr>
  </property>
</Properties>
</file>