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rPr>
          <w:rFonts w:eastAsia="方正小标宋简体"/>
          <w:sz w:val="72"/>
          <w:szCs w:val="72"/>
        </w:rPr>
      </w:pPr>
      <w:bookmarkStart w:id="0" w:name="_Toc15396475"/>
      <w:bookmarkStart w:id="1" w:name="_Toc15377193"/>
      <w:bookmarkStart w:id="2" w:name="_Toc15396597"/>
      <w:bookmarkStart w:id="3" w:name="_Toc15378441"/>
      <w:bookmarkStart w:id="4" w:name="_Toc15377425"/>
      <w:bookmarkStart w:id="5" w:name="_Toc15306267"/>
    </w:p>
    <w:p>
      <w:pPr>
        <w:spacing w:line="600" w:lineRule="exact"/>
        <w:jc w:val="center"/>
        <w:rPr>
          <w:rFonts w:eastAsia="方正小标宋简体"/>
          <w:sz w:val="72"/>
          <w:szCs w:val="72"/>
        </w:rPr>
      </w:pPr>
    </w:p>
    <w:p>
      <w:pPr>
        <w:spacing w:line="600" w:lineRule="exact"/>
        <w:jc w:val="center"/>
        <w:rPr>
          <w:rFonts w:eastAsia="方正小标宋简体"/>
          <w:sz w:val="72"/>
          <w:szCs w:val="72"/>
        </w:rPr>
      </w:pPr>
    </w:p>
    <w:p>
      <w:pPr>
        <w:adjustRightInd w:val="0"/>
        <w:snapToGrid w:val="0"/>
        <w:spacing w:line="360" w:lineRule="auto"/>
        <w:jc w:val="center"/>
        <w:rPr>
          <w:rFonts w:eastAsia="方正小标宋简体"/>
          <w:sz w:val="72"/>
          <w:szCs w:val="72"/>
        </w:rPr>
      </w:pPr>
      <w:bookmarkStart w:id="6" w:name="_Toc7509"/>
      <w:r>
        <w:rPr>
          <w:rFonts w:eastAsia="方正小标宋简体"/>
          <w:sz w:val="72"/>
          <w:szCs w:val="72"/>
        </w:rPr>
        <w:t>2022年度</w:t>
      </w:r>
      <w:bookmarkEnd w:id="0"/>
      <w:bookmarkEnd w:id="1"/>
      <w:bookmarkEnd w:id="2"/>
      <w:bookmarkEnd w:id="3"/>
      <w:bookmarkEnd w:id="4"/>
      <w:bookmarkEnd w:id="6"/>
    </w:p>
    <w:p>
      <w:pPr>
        <w:adjustRightInd w:val="0"/>
        <w:snapToGrid w:val="0"/>
        <w:spacing w:line="360" w:lineRule="auto"/>
        <w:jc w:val="center"/>
        <w:rPr>
          <w:rFonts w:eastAsia="方正小标宋简体"/>
          <w:sz w:val="72"/>
          <w:szCs w:val="72"/>
        </w:rPr>
      </w:pPr>
      <w:bookmarkStart w:id="7" w:name="_Toc15396598"/>
      <w:bookmarkStart w:id="8" w:name="_Toc15396476"/>
      <w:bookmarkStart w:id="9" w:name="_Toc15377426"/>
      <w:bookmarkStart w:id="10" w:name="_Toc15306268"/>
      <w:bookmarkStart w:id="11" w:name="_Toc15378442"/>
      <w:bookmarkStart w:id="12" w:name="_Toc15377194"/>
      <w:bookmarkStart w:id="13" w:name="_Toc16423"/>
      <w:bookmarkEnd w:id="5"/>
      <w:r>
        <w:rPr>
          <w:rFonts w:eastAsia="方正小标宋简体"/>
          <w:sz w:val="72"/>
          <w:szCs w:val="72"/>
        </w:rPr>
        <w:t>攀枝花市医疗保障事务中心部门决算</w:t>
      </w:r>
      <w:bookmarkEnd w:id="7"/>
      <w:bookmarkEnd w:id="8"/>
      <w:bookmarkEnd w:id="9"/>
      <w:bookmarkEnd w:id="10"/>
      <w:bookmarkEnd w:id="11"/>
      <w:bookmarkEnd w:id="12"/>
      <w:bookmarkEnd w:id="13"/>
    </w:p>
    <w:p>
      <w:pPr>
        <w:adjustRightInd w:val="0"/>
        <w:snapToGrid w:val="0"/>
        <w:spacing w:line="360" w:lineRule="auto"/>
        <w:jc w:val="center"/>
        <w:rPr>
          <w:rFonts w:eastAsia="方正小标宋简体"/>
          <w:sz w:val="52"/>
          <w:szCs w:val="52"/>
        </w:rPr>
      </w:pPr>
    </w:p>
    <w:p>
      <w:pPr>
        <w:widowControl/>
        <w:jc w:val="center"/>
      </w:pPr>
      <w:r>
        <w:rPr>
          <w:rFonts w:eastAsia="方正小标宋简体"/>
          <w:sz w:val="36"/>
          <w:szCs w:val="36"/>
        </w:rPr>
        <w:br w:type="page"/>
      </w:r>
    </w:p>
    <w:sdt>
      <w:sdtPr>
        <w:rPr>
          <w:rFonts w:eastAsia="黑体"/>
          <w:sz w:val="44"/>
          <w:szCs w:val="44"/>
        </w:rPr>
        <w:id w:val="470641769"/>
        <w:docPartObj>
          <w:docPartGallery w:val="Table of Contents"/>
          <w:docPartUnique/>
        </w:docPartObj>
      </w:sdtPr>
      <w:sdtEndPr>
        <w:rPr>
          <w:rFonts w:eastAsia="仿宋"/>
          <w:b/>
          <w:sz w:val="21"/>
          <w:szCs w:val="24"/>
        </w:rPr>
      </w:sdtEndPr>
      <w:sdtContent>
        <w:p>
          <w:pPr>
            <w:jc w:val="center"/>
            <w:rPr>
              <w:rFonts w:eastAsia="黑体"/>
              <w:sz w:val="44"/>
              <w:szCs w:val="44"/>
            </w:rPr>
          </w:pPr>
          <w:r>
            <w:rPr>
              <w:rFonts w:eastAsia="黑体"/>
              <w:sz w:val="44"/>
              <w:szCs w:val="44"/>
            </w:rPr>
            <w:t>目录</w:t>
          </w:r>
        </w:p>
        <w:p>
          <w:pPr>
            <w:pStyle w:val="21"/>
            <w:tabs>
              <w:tab w:val="right" w:leader="dot" w:pos="8296"/>
            </w:tabs>
            <w:rPr>
              <w:rFonts w:ascii="Times New Roman" w:hAnsi="Times New Roman"/>
            </w:rPr>
          </w:pPr>
          <w:r>
            <w:rPr>
              <w:rFonts w:ascii="Times New Roman" w:hAnsi="Times New Roman"/>
            </w:rPr>
            <w:t>公开时间：2023年</w:t>
          </w:r>
          <w:r>
            <w:rPr>
              <w:rFonts w:ascii="Times New Roman" w:hAnsi="Times New Roman" w:hint="eastAsia"/>
            </w:rPr>
            <w:t>9</w:t>
          </w:r>
          <w:r>
            <w:rPr>
              <w:rFonts w:ascii="Times New Roman" w:hAnsi="Times New Roman"/>
            </w:rPr>
            <w:t>月</w:t>
          </w:r>
          <w:r>
            <w:rPr>
              <w:rFonts w:ascii="Times New Roman" w:hAnsi="Times New Roman" w:hint="eastAsia"/>
            </w:rPr>
            <w:t>14</w:t>
          </w:r>
          <w:r>
            <w:rPr>
              <w:rFonts w:ascii="Times New Roman" w:hAnsi="Times New Roman"/>
            </w:rPr>
            <w:t>日</w:t>
          </w:r>
        </w:p>
        <w:p>
          <w:pPr>
            <w:jc w:val="center"/>
          </w:pPr>
        </w:p>
        <w:p>
          <w:pPr>
            <w:pStyle w:val="21"/>
            <w:tabs>
              <w:tab w:val="clear" w:pos="8296"/>
              <w:tab w:val="right" w:leader="dot" w:pos="8845"/>
            </w:tabs>
            <w:rPr>
              <w:rFonts w:ascii="Times New Roman" w:eastAsia="仿宋_GB2312" w:hAnsi="Times New Roman"/>
              <w:sz w:val="30"/>
              <w:szCs w:val="30"/>
            </w:rPr>
          </w:pPr>
          <w:r>
            <w:rPr>
              <w:rFonts w:ascii="Times New Roman" w:hAnsi="Times New Roman"/>
              <w:sz w:val="24"/>
            </w:rPr>
            <w:fldChar w:fldCharType="begin"/>
          </w:r>
          <w:r>
            <w:rPr>
              <w:rFonts w:ascii="Times New Roman" w:hAnsi="Times New Roman"/>
              <w:sz w:val="24"/>
            </w:rPr>
            <w:instrText xml:space="preserve">TOC \o "1-2" \h \u </w:instrText>
          </w:r>
          <w:r>
            <w:rPr>
              <w:rFonts w:ascii="Times New Roman" w:hAnsi="Times New Roman"/>
              <w:sz w:val="24"/>
            </w:rPr>
            <w:fldChar w:fldCharType="separate"/>
          </w:r>
          <w:r>
            <w:fldChar w:fldCharType="begin"/>
          </w:r>
          <w:r>
            <w:instrText>Hyperlink \l "_Toc19678"</w:instrText>
          </w:r>
          <w:r>
            <w:fldChar w:fldCharType="separate"/>
          </w:r>
          <w:r>
            <w:rPr>
              <w:rFonts w:ascii="Times New Roman" w:eastAsia="仿宋_GB2312" w:hAnsi="Times New Roman"/>
              <w:sz w:val="30"/>
              <w:szCs w:val="30"/>
            </w:rPr>
            <w:t>第一部分部门概况</w:t>
            <w:tab/>
          </w:r>
          <w:r>
            <w:rPr>
              <w:rFonts w:ascii="Times New Roman" w:eastAsia="仿宋_GB2312" w:hAnsi="Times New Roman"/>
              <w:sz w:val="30"/>
              <w:szCs w:val="30"/>
            </w:rPr>
            <w:fldChar w:fldCharType="begin"/>
          </w:r>
          <w:r>
            <w:rPr>
              <w:rFonts w:ascii="Times New Roman" w:eastAsia="仿宋_GB2312" w:hAnsi="Times New Roman"/>
              <w:sz w:val="30"/>
              <w:szCs w:val="30"/>
            </w:rPr>
            <w:instrText xml:space="preserve"> PAGEREF _Toc19678 \h </w:instrText>
          </w:r>
          <w:r>
            <w:rPr>
              <w:rFonts w:ascii="Times New Roman" w:eastAsia="仿宋_GB2312" w:hAnsi="Times New Roman"/>
              <w:sz w:val="30"/>
              <w:szCs w:val="30"/>
            </w:rPr>
            <w:fldChar w:fldCharType="separate"/>
          </w:r>
          <w:r>
            <w:rPr>
              <w:rFonts w:ascii="Times New Roman" w:eastAsia="仿宋_GB2312" w:hAnsi="Times New Roman"/>
              <w:sz w:val="30"/>
              <w:szCs w:val="30"/>
            </w:rPr>
            <w:t>1</w:t>
          </w:r>
          <w:r>
            <w:rPr>
              <w:rFonts w:ascii="Times New Roman" w:eastAsia="仿宋_GB2312" w:hAnsi="Times New Roman"/>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"_Toc4336"</w:instrText>
          </w:r>
          <w:r>
            <w:fldChar w:fldCharType="separate"/>
          </w:r>
          <w:r>
            <w:rPr>
              <w:rFonts w:eastAsia="仿宋_GB2312"/>
              <w:sz w:val="30"/>
              <w:szCs w:val="30"/>
            </w:rPr>
            <w:t>一、部门职责</w:t>
            <w:tab/>
          </w:r>
          <w:r>
            <w:rPr>
              <w:rFonts w:eastAsia="仿宋_GB2312"/>
              <w:sz w:val="30"/>
              <w:szCs w:val="30"/>
            </w:rPr>
            <w:fldChar w:fldCharType="begin"/>
          </w:r>
          <w:r>
            <w:rPr>
              <w:rFonts w:eastAsia="仿宋_GB2312"/>
              <w:sz w:val="30"/>
              <w:szCs w:val="30"/>
            </w:rPr>
            <w:instrText xml:space="preserve"> PAGEREF _Toc4336 \h </w:instrText>
          </w:r>
          <w:r>
            <w:rPr>
              <w:rFonts w:eastAsia="仿宋_GB2312"/>
              <w:sz w:val="30"/>
              <w:szCs w:val="30"/>
            </w:rPr>
            <w:fldChar w:fldCharType="separate"/>
          </w:r>
          <w:r>
            <w:rPr>
              <w:rFonts w:eastAsia="仿宋_GB2312"/>
              <w:sz w:val="30"/>
              <w:szCs w:val="30"/>
            </w:rPr>
            <w:t>1</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"_Toc6889"</w:instrText>
          </w:r>
          <w:r>
            <w:fldChar w:fldCharType="separate"/>
          </w:r>
          <w:r>
            <w:rPr>
              <w:rFonts w:eastAsia="仿宋_GB2312"/>
              <w:sz w:val="30"/>
              <w:szCs w:val="30"/>
            </w:rPr>
            <w:t>二、机构设置</w:t>
            <w:tab/>
          </w:r>
          <w:r>
            <w:rPr>
              <w:rFonts w:eastAsia="仿宋_GB2312"/>
              <w:sz w:val="30"/>
              <w:szCs w:val="30"/>
            </w:rPr>
            <w:fldChar w:fldCharType="begin"/>
          </w:r>
          <w:r>
            <w:rPr>
              <w:rFonts w:eastAsia="仿宋_GB2312"/>
              <w:sz w:val="30"/>
              <w:szCs w:val="30"/>
            </w:rPr>
            <w:instrText xml:space="preserve"> PAGEREF _Toc6889 \h </w:instrText>
          </w:r>
          <w:r>
            <w:rPr>
              <w:rFonts w:eastAsia="仿宋_GB2312"/>
              <w:sz w:val="30"/>
              <w:szCs w:val="30"/>
            </w:rPr>
            <w:fldChar w:fldCharType="separate"/>
          </w:r>
          <w:r>
            <w:rPr>
              <w:rFonts w:eastAsia="仿宋_GB2312"/>
              <w:sz w:val="30"/>
              <w:szCs w:val="30"/>
            </w:rPr>
            <w:t>2</w:t>
          </w:r>
          <w:r>
            <w:rPr>
              <w:rFonts w:eastAsia="仿宋_GB2312"/>
              <w:sz w:val="30"/>
              <w:szCs w:val="30"/>
            </w:rPr>
            <w:fldChar w:fldCharType="end"/>
          </w:r>
          <w:r>
            <w:fldChar w:fldCharType="end"/>
          </w:r>
        </w:p>
        <w:p>
          <w:pPr>
            <w:pStyle w:val="21"/>
            <w:tabs>
              <w:tab w:val="clear" w:pos="8296"/>
              <w:tab w:val="right" w:leader="dot" w:pos="8845"/>
            </w:tabs>
            <w:rPr>
              <w:rFonts w:ascii="Times New Roman" w:eastAsia="仿宋_GB2312" w:hAnsi="Times New Roman"/>
              <w:sz w:val="30"/>
              <w:szCs w:val="30"/>
            </w:rPr>
          </w:pPr>
          <w:r>
            <w:fldChar w:fldCharType="begin"/>
          </w:r>
          <w:r>
            <w:instrText>Hyperlink \l "_Toc20317"</w:instrText>
          </w:r>
          <w:r>
            <w:fldChar w:fldCharType="separate"/>
          </w:r>
          <w:r>
            <w:rPr>
              <w:rFonts w:ascii="Times New Roman" w:eastAsia="仿宋_GB2312" w:hAnsi="Times New Roman"/>
              <w:sz w:val="30"/>
              <w:szCs w:val="30"/>
            </w:rPr>
            <w:t>第二部分 2022年度部门决算情况说明</w:t>
            <w:tab/>
          </w:r>
          <w:r>
            <w:rPr>
              <w:rFonts w:ascii="Times New Roman" w:eastAsia="仿宋_GB2312" w:hAnsi="Times New Roman"/>
              <w:sz w:val="30"/>
              <w:szCs w:val="30"/>
            </w:rPr>
            <w:fldChar w:fldCharType="begin"/>
          </w:r>
          <w:r>
            <w:rPr>
              <w:rFonts w:ascii="Times New Roman" w:eastAsia="仿宋_GB2312" w:hAnsi="Times New Roman"/>
              <w:sz w:val="30"/>
              <w:szCs w:val="30"/>
            </w:rPr>
            <w:instrText xml:space="preserve"> PAGEREF _Toc20317 \h </w:instrText>
          </w:r>
          <w:r>
            <w:rPr>
              <w:rFonts w:ascii="Times New Roman" w:eastAsia="仿宋_GB2312" w:hAnsi="Times New Roman"/>
              <w:sz w:val="30"/>
              <w:szCs w:val="30"/>
            </w:rPr>
            <w:fldChar w:fldCharType="separate"/>
          </w:r>
          <w:r>
            <w:rPr>
              <w:rFonts w:ascii="Times New Roman" w:eastAsia="仿宋_GB2312" w:hAnsi="Times New Roman"/>
              <w:sz w:val="30"/>
              <w:szCs w:val="30"/>
            </w:rPr>
            <w:t>3</w:t>
          </w:r>
          <w:r>
            <w:rPr>
              <w:rFonts w:ascii="Times New Roman" w:eastAsia="仿宋_GB2312" w:hAnsi="Times New Roman"/>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"_Toc31767"</w:instrText>
          </w:r>
          <w:r>
            <w:fldChar w:fldCharType="separate"/>
          </w:r>
          <w:r>
            <w:rPr>
              <w:rFonts w:eastAsia="仿宋_GB2312"/>
              <w:sz w:val="30"/>
              <w:szCs w:val="30"/>
            </w:rPr>
            <w:t>一、收入支出决算总体情况说明</w:t>
            <w:tab/>
          </w:r>
          <w:r>
            <w:rPr>
              <w:rFonts w:eastAsia="仿宋_GB2312"/>
              <w:sz w:val="30"/>
              <w:szCs w:val="30"/>
            </w:rPr>
            <w:fldChar w:fldCharType="begin"/>
          </w:r>
          <w:r>
            <w:rPr>
              <w:rFonts w:eastAsia="仿宋_GB2312"/>
              <w:sz w:val="30"/>
              <w:szCs w:val="30"/>
            </w:rPr>
            <w:instrText xml:space="preserve"> PAGEREF _Toc31767 \h </w:instrText>
          </w:r>
          <w:r>
            <w:rPr>
              <w:rFonts w:eastAsia="仿宋_GB2312"/>
              <w:sz w:val="30"/>
              <w:szCs w:val="30"/>
            </w:rPr>
            <w:fldChar w:fldCharType="separate"/>
          </w:r>
          <w:r>
            <w:rPr>
              <w:rFonts w:eastAsia="仿宋_GB2312"/>
              <w:sz w:val="30"/>
              <w:szCs w:val="30"/>
            </w:rPr>
            <w:t>3</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"_Toc5147"</w:instrText>
          </w:r>
          <w:r>
            <w:fldChar w:fldCharType="separate"/>
          </w:r>
          <w:r>
            <w:rPr>
              <w:rFonts w:eastAsia="仿宋_GB2312"/>
              <w:sz w:val="30"/>
              <w:szCs w:val="30"/>
            </w:rPr>
            <w:t>二、收入决算情况说明</w:t>
            <w:tab/>
          </w:r>
          <w:r>
            <w:rPr>
              <w:rFonts w:eastAsia="仿宋_GB2312"/>
              <w:sz w:val="30"/>
              <w:szCs w:val="30"/>
            </w:rPr>
            <w:fldChar w:fldCharType="begin"/>
          </w:r>
          <w:r>
            <w:rPr>
              <w:rFonts w:eastAsia="仿宋_GB2312"/>
              <w:sz w:val="30"/>
              <w:szCs w:val="30"/>
            </w:rPr>
            <w:instrText xml:space="preserve"> PAGEREF _Toc5147 \h </w:instrText>
          </w:r>
          <w:r>
            <w:rPr>
              <w:rFonts w:eastAsia="仿宋_GB2312"/>
              <w:sz w:val="30"/>
              <w:szCs w:val="30"/>
            </w:rPr>
            <w:fldChar w:fldCharType="separate"/>
          </w:r>
          <w:r>
            <w:rPr>
              <w:rFonts w:eastAsia="仿宋_GB2312"/>
              <w:sz w:val="30"/>
              <w:szCs w:val="30"/>
            </w:rPr>
            <w:t>3</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"_Toc15398"</w:instrText>
          </w:r>
          <w:r>
            <w:fldChar w:fldCharType="separate"/>
          </w:r>
          <w:r>
            <w:rPr>
              <w:rFonts w:eastAsia="仿宋_GB2312"/>
              <w:sz w:val="30"/>
              <w:szCs w:val="30"/>
            </w:rPr>
            <w:t>三、支出决算情况说明</w:t>
            <w:tab/>
          </w:r>
          <w:r>
            <w:rPr>
              <w:rFonts w:eastAsia="仿宋_GB2312"/>
              <w:sz w:val="30"/>
              <w:szCs w:val="30"/>
            </w:rPr>
            <w:fldChar w:fldCharType="begin"/>
          </w:r>
          <w:r>
            <w:rPr>
              <w:rFonts w:eastAsia="仿宋_GB2312"/>
              <w:sz w:val="30"/>
              <w:szCs w:val="30"/>
            </w:rPr>
            <w:instrText xml:space="preserve"> PAGEREF _Toc15398 \h </w:instrText>
          </w:r>
          <w:r>
            <w:rPr>
              <w:rFonts w:eastAsia="仿宋_GB2312"/>
              <w:sz w:val="30"/>
              <w:szCs w:val="30"/>
            </w:rPr>
            <w:fldChar w:fldCharType="separate"/>
          </w:r>
          <w:r>
            <w:rPr>
              <w:rFonts w:eastAsia="仿宋_GB2312"/>
              <w:sz w:val="30"/>
              <w:szCs w:val="30"/>
            </w:rPr>
            <w:t>4</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"_Toc21425"</w:instrText>
          </w:r>
          <w:r>
            <w:fldChar w:fldCharType="separate"/>
          </w:r>
          <w:r>
            <w:rPr>
              <w:rFonts w:eastAsia="仿宋_GB2312"/>
              <w:sz w:val="30"/>
              <w:szCs w:val="30"/>
            </w:rPr>
            <w:t>四、财政拨款收入支出决算总体情况说明</w:t>
            <w:tab/>
          </w:r>
          <w:r>
            <w:rPr>
              <w:rFonts w:eastAsia="仿宋_GB2312"/>
              <w:sz w:val="30"/>
              <w:szCs w:val="30"/>
            </w:rPr>
            <w:fldChar w:fldCharType="begin"/>
          </w:r>
          <w:r>
            <w:rPr>
              <w:rFonts w:eastAsia="仿宋_GB2312"/>
              <w:sz w:val="30"/>
              <w:szCs w:val="30"/>
            </w:rPr>
            <w:instrText xml:space="preserve"> PAGEREF _Toc21425 \h </w:instrText>
          </w:r>
          <w:r>
            <w:rPr>
              <w:rFonts w:eastAsia="仿宋_GB2312"/>
              <w:sz w:val="30"/>
              <w:szCs w:val="30"/>
            </w:rPr>
            <w:fldChar w:fldCharType="separate"/>
          </w:r>
          <w:r>
            <w:rPr>
              <w:rFonts w:eastAsia="仿宋_GB2312"/>
              <w:sz w:val="30"/>
              <w:szCs w:val="30"/>
            </w:rPr>
            <w:t>4</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"_Toc32321"</w:instrText>
          </w:r>
          <w:r>
            <w:fldChar w:fldCharType="separate"/>
          </w:r>
          <w:r>
            <w:rPr>
              <w:rFonts w:eastAsia="仿宋_GB2312"/>
              <w:sz w:val="30"/>
              <w:szCs w:val="30"/>
            </w:rPr>
            <w:t>五、一般公共预算财政拨款支出决算情况说明</w:t>
            <w:tab/>
          </w:r>
          <w:r>
            <w:rPr>
              <w:rFonts w:eastAsia="仿宋_GB2312"/>
              <w:sz w:val="30"/>
              <w:szCs w:val="30"/>
            </w:rPr>
            <w:fldChar w:fldCharType="begin"/>
          </w:r>
          <w:r>
            <w:rPr>
              <w:rFonts w:eastAsia="仿宋_GB2312"/>
              <w:sz w:val="30"/>
              <w:szCs w:val="30"/>
            </w:rPr>
            <w:instrText xml:space="preserve"> PAGEREF _Toc32321 \h </w:instrText>
          </w:r>
          <w:r>
            <w:rPr>
              <w:rFonts w:eastAsia="仿宋_GB2312"/>
              <w:sz w:val="30"/>
              <w:szCs w:val="30"/>
            </w:rPr>
            <w:fldChar w:fldCharType="separate"/>
          </w:r>
          <w:r>
            <w:rPr>
              <w:rFonts w:eastAsia="仿宋_GB2312"/>
              <w:sz w:val="30"/>
              <w:szCs w:val="30"/>
            </w:rPr>
            <w:t>5</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"_Toc2669"</w:instrText>
          </w:r>
          <w:r>
            <w:fldChar w:fldCharType="separate"/>
          </w:r>
          <w:r>
            <w:rPr>
              <w:rFonts w:eastAsia="仿宋_GB2312"/>
              <w:sz w:val="30"/>
              <w:szCs w:val="30"/>
            </w:rPr>
            <w:t>六、一般公共预算财政拨款基本支出决算情况说明</w:t>
            <w:tab/>
          </w:r>
          <w:r>
            <w:rPr>
              <w:rFonts w:eastAsia="仿宋_GB2312"/>
              <w:sz w:val="30"/>
              <w:szCs w:val="30"/>
            </w:rPr>
            <w:fldChar w:fldCharType="begin"/>
          </w:r>
          <w:r>
            <w:rPr>
              <w:rFonts w:eastAsia="仿宋_GB2312"/>
              <w:sz w:val="30"/>
              <w:szCs w:val="30"/>
            </w:rPr>
            <w:instrText xml:space="preserve"> PAGEREF _Toc2669 \h </w:instrText>
          </w:r>
          <w:r>
            <w:rPr>
              <w:rFonts w:eastAsia="仿宋_GB2312"/>
              <w:sz w:val="30"/>
              <w:szCs w:val="30"/>
            </w:rPr>
            <w:fldChar w:fldCharType="separate"/>
          </w:r>
          <w:r>
            <w:rPr>
              <w:rFonts w:eastAsia="仿宋_GB2312"/>
              <w:sz w:val="30"/>
              <w:szCs w:val="30"/>
            </w:rPr>
            <w:t>7</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"_Toc25602"</w:instrText>
          </w:r>
          <w:r>
            <w:fldChar w:fldCharType="separate"/>
          </w:r>
          <w:r>
            <w:rPr>
              <w:rFonts w:eastAsia="仿宋_GB2312"/>
              <w:sz w:val="30"/>
              <w:szCs w:val="30"/>
            </w:rPr>
            <w:t>七、财政拨款“三公”经费支出决算情况说明</w:t>
            <w:tab/>
          </w:r>
          <w:r>
            <w:rPr>
              <w:rFonts w:eastAsia="仿宋_GB2312"/>
              <w:sz w:val="30"/>
              <w:szCs w:val="30"/>
            </w:rPr>
            <w:fldChar w:fldCharType="begin"/>
          </w:r>
          <w:r>
            <w:rPr>
              <w:rFonts w:eastAsia="仿宋_GB2312"/>
              <w:sz w:val="30"/>
              <w:szCs w:val="30"/>
            </w:rPr>
            <w:instrText xml:space="preserve"> PAGEREF _Toc25602 \h </w:instrText>
          </w:r>
          <w:r>
            <w:rPr>
              <w:rFonts w:eastAsia="仿宋_GB2312"/>
              <w:sz w:val="30"/>
              <w:szCs w:val="30"/>
            </w:rPr>
            <w:fldChar w:fldCharType="separate"/>
          </w:r>
          <w:r>
            <w:rPr>
              <w:rFonts w:eastAsia="仿宋_GB2312"/>
              <w:sz w:val="30"/>
              <w:szCs w:val="30"/>
            </w:rPr>
            <w:t>7</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"_Toc14310"</w:instrText>
          </w:r>
          <w:r>
            <w:fldChar w:fldCharType="separate"/>
          </w:r>
          <w:r>
            <w:rPr>
              <w:rFonts w:eastAsia="仿宋_GB2312"/>
              <w:sz w:val="30"/>
              <w:szCs w:val="30"/>
            </w:rPr>
            <w:t>八、政府性基金预算支出决算情况说明</w:t>
            <w:tab/>
          </w:r>
          <w:r>
            <w:rPr>
              <w:rFonts w:eastAsia="仿宋_GB2312"/>
              <w:sz w:val="30"/>
              <w:szCs w:val="30"/>
            </w:rPr>
            <w:fldChar w:fldCharType="begin"/>
          </w:r>
          <w:r>
            <w:rPr>
              <w:rFonts w:eastAsia="仿宋_GB2312"/>
              <w:sz w:val="30"/>
              <w:szCs w:val="30"/>
            </w:rPr>
            <w:instrText xml:space="preserve"> PAGEREF _Toc14310 \h </w:instrText>
          </w:r>
          <w:r>
            <w:rPr>
              <w:rFonts w:eastAsia="仿宋_GB2312"/>
              <w:sz w:val="30"/>
              <w:szCs w:val="30"/>
            </w:rPr>
            <w:fldChar w:fldCharType="separate"/>
          </w:r>
          <w:r>
            <w:rPr>
              <w:rFonts w:eastAsia="仿宋_GB2312"/>
              <w:sz w:val="30"/>
              <w:szCs w:val="30"/>
            </w:rPr>
            <w:t>10</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"_Toc18820"</w:instrText>
          </w:r>
          <w:r>
            <w:fldChar w:fldCharType="separate"/>
          </w:r>
          <w:r>
            <w:rPr>
              <w:rFonts w:eastAsia="仿宋_GB2312"/>
              <w:sz w:val="30"/>
              <w:szCs w:val="30"/>
            </w:rPr>
            <w:t>九、国有资本经营预算支出决算情况说明</w:t>
            <w:tab/>
          </w:r>
          <w:r>
            <w:rPr>
              <w:rFonts w:eastAsia="仿宋_GB2312"/>
              <w:sz w:val="30"/>
              <w:szCs w:val="30"/>
            </w:rPr>
            <w:fldChar w:fldCharType="begin"/>
          </w:r>
          <w:r>
            <w:rPr>
              <w:rFonts w:eastAsia="仿宋_GB2312"/>
              <w:sz w:val="30"/>
              <w:szCs w:val="30"/>
            </w:rPr>
            <w:instrText xml:space="preserve"> PAGEREF _Toc18820 \h </w:instrText>
          </w:r>
          <w:r>
            <w:rPr>
              <w:rFonts w:eastAsia="仿宋_GB2312"/>
              <w:sz w:val="30"/>
              <w:szCs w:val="30"/>
            </w:rPr>
            <w:fldChar w:fldCharType="separate"/>
          </w:r>
          <w:r>
            <w:rPr>
              <w:rFonts w:eastAsia="仿宋_GB2312"/>
              <w:sz w:val="30"/>
              <w:szCs w:val="30"/>
            </w:rPr>
            <w:t>10</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"_Toc7994"</w:instrText>
          </w:r>
          <w:r>
            <w:fldChar w:fldCharType="separate"/>
          </w:r>
          <w:r>
            <w:rPr>
              <w:rFonts w:eastAsia="仿宋_GB2312"/>
              <w:sz w:val="30"/>
              <w:szCs w:val="30"/>
            </w:rPr>
            <w:t>十、其他重要事项的情况说明</w:t>
            <w:tab/>
          </w:r>
          <w:r>
            <w:rPr>
              <w:rFonts w:eastAsia="仿宋_GB2312"/>
              <w:sz w:val="30"/>
              <w:szCs w:val="30"/>
            </w:rPr>
            <w:fldChar w:fldCharType="begin"/>
          </w:r>
          <w:r>
            <w:rPr>
              <w:rFonts w:eastAsia="仿宋_GB2312"/>
              <w:sz w:val="30"/>
              <w:szCs w:val="30"/>
            </w:rPr>
            <w:instrText xml:space="preserve"> PAGEREF _Toc7994 \h </w:instrText>
          </w:r>
          <w:r>
            <w:rPr>
              <w:rFonts w:eastAsia="仿宋_GB2312"/>
              <w:sz w:val="30"/>
              <w:szCs w:val="30"/>
            </w:rPr>
            <w:fldChar w:fldCharType="separate"/>
          </w:r>
          <w:r>
            <w:rPr>
              <w:rFonts w:eastAsia="仿宋_GB2312"/>
              <w:sz w:val="30"/>
              <w:szCs w:val="30"/>
            </w:rPr>
            <w:t>10</w:t>
          </w:r>
          <w:r>
            <w:rPr>
              <w:rFonts w:eastAsia="仿宋_GB2312"/>
              <w:sz w:val="30"/>
              <w:szCs w:val="30"/>
            </w:rPr>
            <w:fldChar w:fldCharType="end"/>
          </w:r>
          <w:r>
            <w:fldChar w:fldCharType="end"/>
          </w:r>
        </w:p>
        <w:p>
          <w:pPr>
            <w:pStyle w:val="21"/>
            <w:tabs>
              <w:tab w:val="clear" w:pos="8296"/>
              <w:tab w:val="right" w:leader="dot" w:pos="8845"/>
            </w:tabs>
            <w:rPr>
              <w:rFonts w:ascii="Times New Roman" w:eastAsia="仿宋_GB2312" w:hAnsi="Times New Roman"/>
              <w:sz w:val="30"/>
              <w:szCs w:val="30"/>
            </w:rPr>
          </w:pPr>
          <w:r>
            <w:fldChar w:fldCharType="begin"/>
          </w:r>
          <w:r>
            <w:instrText>Hyperlink \l "_Toc10001"</w:instrText>
          </w:r>
          <w:r>
            <w:fldChar w:fldCharType="separate"/>
          </w:r>
          <w:r>
            <w:rPr>
              <w:rFonts w:ascii="Times New Roman" w:eastAsia="仿宋_GB2312" w:hAnsi="Times New Roman"/>
              <w:sz w:val="30"/>
              <w:szCs w:val="30"/>
            </w:rPr>
            <w:t>第三部分名词解释</w:t>
            <w:tab/>
          </w:r>
          <w:r>
            <w:rPr>
              <w:rFonts w:ascii="Times New Roman" w:eastAsia="仿宋_GB2312" w:hAnsi="Times New Roman"/>
              <w:sz w:val="30"/>
              <w:szCs w:val="30"/>
            </w:rPr>
            <w:fldChar w:fldCharType="begin"/>
          </w:r>
          <w:r>
            <w:rPr>
              <w:rFonts w:ascii="Times New Roman" w:eastAsia="仿宋_GB2312" w:hAnsi="Times New Roman"/>
              <w:sz w:val="30"/>
              <w:szCs w:val="30"/>
            </w:rPr>
            <w:instrText xml:space="preserve"> PAGEREF _Toc10001 \h </w:instrText>
          </w:r>
          <w:r>
            <w:rPr>
              <w:rFonts w:ascii="Times New Roman" w:eastAsia="仿宋_GB2312" w:hAnsi="Times New Roman"/>
              <w:sz w:val="30"/>
              <w:szCs w:val="30"/>
            </w:rPr>
            <w:fldChar w:fldCharType="separate"/>
          </w:r>
          <w:r>
            <w:rPr>
              <w:rFonts w:ascii="Times New Roman" w:eastAsia="仿宋_GB2312" w:hAnsi="Times New Roman"/>
              <w:sz w:val="30"/>
              <w:szCs w:val="30"/>
            </w:rPr>
            <w:t>13</w:t>
          </w:r>
          <w:r>
            <w:rPr>
              <w:rFonts w:ascii="Times New Roman" w:eastAsia="仿宋_GB2312" w:hAnsi="Times New Roman"/>
              <w:sz w:val="30"/>
              <w:szCs w:val="30"/>
            </w:rPr>
            <w:fldChar w:fldCharType="end"/>
          </w:r>
          <w:r>
            <w:fldChar w:fldCharType="end"/>
          </w:r>
        </w:p>
        <w:p>
          <w:pPr>
            <w:pStyle w:val="21"/>
            <w:tabs>
              <w:tab w:val="clear" w:pos="8296"/>
              <w:tab w:val="right" w:leader="dot" w:pos="8845"/>
            </w:tabs>
            <w:rPr>
              <w:rFonts w:ascii="Times New Roman" w:eastAsia="仿宋_GB2312" w:hAnsi="Times New Roman"/>
              <w:sz w:val="30"/>
              <w:szCs w:val="30"/>
            </w:rPr>
          </w:pPr>
          <w:r>
            <w:fldChar w:fldCharType="begin"/>
          </w:r>
          <w:r>
            <w:instrText>Hyperlink \l "_Toc14995"</w:instrText>
          </w:r>
          <w:r>
            <w:fldChar w:fldCharType="separate"/>
          </w:r>
          <w:r>
            <w:rPr>
              <w:rFonts w:ascii="Times New Roman" w:eastAsia="仿宋_GB2312" w:hAnsi="Times New Roman"/>
              <w:sz w:val="30"/>
              <w:szCs w:val="30"/>
            </w:rPr>
            <w:t>第四部分附件</w:t>
            <w:tab/>
          </w:r>
          <w:r>
            <w:rPr>
              <w:rFonts w:ascii="Times New Roman" w:eastAsia="仿宋_GB2312" w:hAnsi="Times New Roman"/>
              <w:sz w:val="30"/>
              <w:szCs w:val="30"/>
            </w:rPr>
            <w:fldChar w:fldCharType="begin"/>
          </w:r>
          <w:r>
            <w:rPr>
              <w:rFonts w:ascii="Times New Roman" w:eastAsia="仿宋_GB2312" w:hAnsi="Times New Roman"/>
              <w:sz w:val="30"/>
              <w:szCs w:val="30"/>
            </w:rPr>
            <w:instrText xml:space="preserve"> PAGEREF _Toc14995 \h </w:instrText>
          </w:r>
          <w:r>
            <w:rPr>
              <w:rFonts w:ascii="Times New Roman" w:eastAsia="仿宋_GB2312" w:hAnsi="Times New Roman"/>
              <w:sz w:val="30"/>
              <w:szCs w:val="30"/>
            </w:rPr>
            <w:fldChar w:fldCharType="separate"/>
          </w:r>
          <w:r>
            <w:rPr>
              <w:rFonts w:ascii="Times New Roman" w:eastAsia="仿宋_GB2312" w:hAnsi="Times New Roman"/>
              <w:sz w:val="30"/>
              <w:szCs w:val="30"/>
            </w:rPr>
            <w:t>16</w:t>
          </w:r>
          <w:r>
            <w:rPr>
              <w:rFonts w:ascii="Times New Roman" w:eastAsia="仿宋_GB2312" w:hAnsi="Times New Roman"/>
              <w:sz w:val="30"/>
              <w:szCs w:val="30"/>
            </w:rPr>
            <w:fldChar w:fldCharType="end"/>
          </w:r>
          <w:r>
            <w:fldChar w:fldCharType="end"/>
          </w:r>
        </w:p>
        <w:p>
          <w:pPr>
            <w:pStyle w:val="21"/>
            <w:tabs>
              <w:tab w:val="clear" w:pos="8296"/>
              <w:tab w:val="right" w:leader="dot" w:pos="8845"/>
            </w:tabs>
            <w:rPr>
              <w:rFonts w:ascii="Times New Roman" w:eastAsia="仿宋_GB2312" w:hAnsi="Times New Roman"/>
              <w:sz w:val="30"/>
              <w:szCs w:val="30"/>
            </w:rPr>
          </w:pPr>
          <w:r>
            <w:fldChar w:fldCharType="begin"/>
          </w:r>
          <w:r>
            <w:instrText>Hyperlink \l "_Toc27947"</w:instrText>
          </w:r>
          <w:r>
            <w:fldChar w:fldCharType="separate"/>
          </w:r>
          <w:r>
            <w:rPr>
              <w:rFonts w:ascii="Times New Roman" w:eastAsia="仿宋_GB2312" w:hAnsi="Times New Roman"/>
              <w:sz w:val="30"/>
              <w:szCs w:val="30"/>
            </w:rPr>
            <w:t>第五部分附表</w:t>
            <w:tab/>
          </w:r>
          <w:r>
            <w:rPr>
              <w:rFonts w:ascii="Times New Roman" w:eastAsia="仿宋_GB2312" w:hAnsi="Times New Roman"/>
              <w:sz w:val="30"/>
              <w:szCs w:val="30"/>
            </w:rPr>
            <w:fldChar w:fldCharType="begin"/>
          </w:r>
          <w:r>
            <w:rPr>
              <w:rFonts w:ascii="Times New Roman" w:eastAsia="仿宋_GB2312" w:hAnsi="Times New Roman"/>
              <w:sz w:val="30"/>
              <w:szCs w:val="30"/>
            </w:rPr>
            <w:instrText xml:space="preserve"> PAGEREF _Toc27947 \h </w:instrText>
          </w:r>
          <w:r>
            <w:rPr>
              <w:rFonts w:ascii="Times New Roman" w:eastAsia="仿宋_GB2312" w:hAnsi="Times New Roman"/>
              <w:sz w:val="30"/>
              <w:szCs w:val="30"/>
            </w:rPr>
            <w:fldChar w:fldCharType="separate"/>
          </w:r>
          <w:r>
            <w:rPr>
              <w:rFonts w:ascii="Times New Roman" w:eastAsia="仿宋_GB2312" w:hAnsi="Times New Roman"/>
              <w:sz w:val="30"/>
              <w:szCs w:val="30"/>
            </w:rPr>
            <w:t>39</w:t>
          </w:r>
          <w:r>
            <w:rPr>
              <w:rFonts w:ascii="Times New Roman" w:eastAsia="仿宋_GB2312" w:hAnsi="Times New Roman"/>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"_Toc887"</w:instrText>
          </w:r>
          <w:r>
            <w:fldChar w:fldCharType="separate"/>
          </w:r>
          <w:r>
            <w:rPr>
              <w:rFonts w:eastAsia="仿宋_GB2312"/>
              <w:sz w:val="30"/>
              <w:szCs w:val="30"/>
            </w:rPr>
            <w:t>一、收入支出决算总表</w:t>
            <w:tab/>
          </w:r>
          <w:r>
            <w:rPr>
              <w:rFonts w:eastAsia="仿宋_GB2312"/>
              <w:sz w:val="30"/>
              <w:szCs w:val="30"/>
            </w:rPr>
            <w:fldChar w:fldCharType="begin"/>
          </w:r>
          <w:r>
            <w:rPr>
              <w:rFonts w:eastAsia="仿宋_GB2312"/>
              <w:sz w:val="30"/>
              <w:szCs w:val="30"/>
            </w:rPr>
            <w:instrText xml:space="preserve"> PAGEREF _Toc887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"_Toc5640"</w:instrText>
          </w:r>
          <w:r>
            <w:fldChar w:fldCharType="separate"/>
          </w:r>
          <w:r>
            <w:rPr>
              <w:rFonts w:eastAsia="仿宋_GB2312"/>
              <w:sz w:val="30"/>
              <w:szCs w:val="30"/>
            </w:rPr>
            <w:t>二、收入决算表</w:t>
            <w:tab/>
          </w:r>
          <w:r>
            <w:rPr>
              <w:rFonts w:eastAsia="仿宋_GB2312"/>
              <w:sz w:val="30"/>
              <w:szCs w:val="30"/>
            </w:rPr>
            <w:fldChar w:fldCharType="begin"/>
          </w:r>
          <w:r>
            <w:rPr>
              <w:rFonts w:eastAsia="仿宋_GB2312"/>
              <w:sz w:val="30"/>
              <w:szCs w:val="30"/>
            </w:rPr>
            <w:instrText xml:space="preserve"> PAGEREF _Toc5640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"_Toc32490"</w:instrText>
          </w:r>
          <w:r>
            <w:fldChar w:fldCharType="separate"/>
          </w:r>
          <w:r>
            <w:rPr>
              <w:rFonts w:eastAsia="仿宋_GB2312"/>
              <w:sz w:val="30"/>
              <w:szCs w:val="30"/>
            </w:rPr>
            <w:t>三、支出决算表</w:t>
            <w:tab/>
          </w:r>
          <w:r>
            <w:rPr>
              <w:rFonts w:eastAsia="仿宋_GB2312"/>
              <w:sz w:val="30"/>
              <w:szCs w:val="30"/>
            </w:rPr>
            <w:fldChar w:fldCharType="begin"/>
          </w:r>
          <w:r>
            <w:rPr>
              <w:rFonts w:eastAsia="仿宋_GB2312"/>
              <w:sz w:val="30"/>
              <w:szCs w:val="30"/>
            </w:rPr>
            <w:instrText xml:space="preserve"> PAGEREF _Toc32490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"_Toc16307"</w:instrText>
          </w:r>
          <w:r>
            <w:fldChar w:fldCharType="separate"/>
          </w:r>
          <w:r>
            <w:rPr>
              <w:rFonts w:eastAsia="仿宋_GB2312"/>
              <w:sz w:val="30"/>
              <w:szCs w:val="30"/>
            </w:rPr>
            <w:t>四、财政拨款收入支出决算总表</w:t>
            <w:tab/>
          </w:r>
          <w:r>
            <w:rPr>
              <w:rFonts w:eastAsia="仿宋_GB2312"/>
              <w:sz w:val="30"/>
              <w:szCs w:val="30"/>
            </w:rPr>
            <w:fldChar w:fldCharType="begin"/>
          </w:r>
          <w:r>
            <w:rPr>
              <w:rFonts w:eastAsia="仿宋_GB2312"/>
              <w:sz w:val="30"/>
              <w:szCs w:val="30"/>
            </w:rPr>
            <w:instrText xml:space="preserve"> PAGEREF _Toc16307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"_Toc13177"</w:instrText>
          </w:r>
          <w:r>
            <w:fldChar w:fldCharType="separate"/>
          </w:r>
          <w:r>
            <w:rPr>
              <w:rFonts w:eastAsia="仿宋_GB2312"/>
              <w:sz w:val="30"/>
              <w:szCs w:val="30"/>
            </w:rPr>
            <w:t>五、财政拨款支出决算明细表</w:t>
            <w:tab/>
          </w:r>
          <w:r>
            <w:rPr>
              <w:rFonts w:eastAsia="仿宋_GB2312"/>
              <w:sz w:val="30"/>
              <w:szCs w:val="30"/>
            </w:rPr>
            <w:fldChar w:fldCharType="begin"/>
          </w:r>
          <w:r>
            <w:rPr>
              <w:rFonts w:eastAsia="仿宋_GB2312"/>
              <w:sz w:val="30"/>
              <w:szCs w:val="30"/>
            </w:rPr>
            <w:instrText xml:space="preserve"> PAGEREF _Toc13177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"_Toc31858"</w:instrText>
          </w:r>
          <w:r>
            <w:fldChar w:fldCharType="separate"/>
          </w:r>
          <w:r>
            <w:rPr>
              <w:rFonts w:eastAsia="仿宋_GB2312"/>
              <w:sz w:val="30"/>
              <w:szCs w:val="30"/>
            </w:rPr>
            <w:t>六、一般公共预算财政拨款支出决算表</w:t>
            <w:tab/>
          </w:r>
          <w:r>
            <w:rPr>
              <w:rFonts w:eastAsia="仿宋_GB2312"/>
              <w:sz w:val="30"/>
              <w:szCs w:val="30"/>
            </w:rPr>
            <w:fldChar w:fldCharType="begin"/>
          </w:r>
          <w:r>
            <w:rPr>
              <w:rFonts w:eastAsia="仿宋_GB2312"/>
              <w:sz w:val="30"/>
              <w:szCs w:val="30"/>
            </w:rPr>
            <w:instrText xml:space="preserve"> PAGEREF _Toc31858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"_Toc8344"</w:instrText>
          </w:r>
          <w:r>
            <w:fldChar w:fldCharType="separate"/>
          </w:r>
          <w:r>
            <w:rPr>
              <w:rFonts w:eastAsia="仿宋_GB2312"/>
              <w:sz w:val="30"/>
              <w:szCs w:val="30"/>
            </w:rPr>
            <w:t>七、一般公共预算财政拨款支出决算明细表</w:t>
            <w:tab/>
          </w:r>
          <w:r>
            <w:rPr>
              <w:rFonts w:eastAsia="仿宋_GB2312"/>
              <w:sz w:val="30"/>
              <w:szCs w:val="30"/>
            </w:rPr>
            <w:fldChar w:fldCharType="begin"/>
          </w:r>
          <w:r>
            <w:rPr>
              <w:rFonts w:eastAsia="仿宋_GB2312"/>
              <w:sz w:val="30"/>
              <w:szCs w:val="30"/>
            </w:rPr>
            <w:instrText xml:space="preserve"> PAGEREF _Toc8344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"_Toc13090"</w:instrText>
          </w:r>
          <w:r>
            <w:fldChar w:fldCharType="separate"/>
          </w:r>
          <w:r>
            <w:rPr>
              <w:rFonts w:eastAsia="仿宋_GB2312"/>
              <w:sz w:val="30"/>
              <w:szCs w:val="30"/>
            </w:rPr>
            <w:t>八、一般公共预算财政拨款基本支出决算表</w:t>
            <w:tab/>
          </w:r>
          <w:r>
            <w:rPr>
              <w:rFonts w:eastAsia="仿宋_GB2312"/>
              <w:sz w:val="30"/>
              <w:szCs w:val="30"/>
            </w:rPr>
            <w:fldChar w:fldCharType="begin"/>
          </w:r>
          <w:r>
            <w:rPr>
              <w:rFonts w:eastAsia="仿宋_GB2312"/>
              <w:sz w:val="30"/>
              <w:szCs w:val="30"/>
            </w:rPr>
            <w:instrText xml:space="preserve"> PAGEREF _Toc13090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"_Toc18943"</w:instrText>
          </w:r>
          <w:r>
            <w:fldChar w:fldCharType="separate"/>
          </w:r>
          <w:r>
            <w:rPr>
              <w:rFonts w:eastAsia="仿宋_GB2312"/>
              <w:sz w:val="30"/>
              <w:szCs w:val="30"/>
            </w:rPr>
            <w:t>九、一般公共预算财政拨款项目支出决算表</w:t>
            <w:tab/>
          </w:r>
          <w:r>
            <w:rPr>
              <w:rFonts w:eastAsia="仿宋_GB2312"/>
              <w:sz w:val="30"/>
              <w:szCs w:val="30"/>
            </w:rPr>
            <w:fldChar w:fldCharType="begin"/>
          </w:r>
          <w:r>
            <w:rPr>
              <w:rFonts w:eastAsia="仿宋_GB2312"/>
              <w:sz w:val="30"/>
              <w:szCs w:val="30"/>
            </w:rPr>
            <w:instrText xml:space="preserve"> PAGEREF _Toc18943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"_Toc30629"</w:instrText>
          </w:r>
          <w:r>
            <w:fldChar w:fldCharType="separate"/>
          </w:r>
          <w:r>
            <w:rPr>
              <w:rFonts w:eastAsia="仿宋_GB2312"/>
              <w:sz w:val="30"/>
              <w:szCs w:val="30"/>
            </w:rPr>
            <w:t>十、政府性基金预算财政拨款收入支出决算表</w:t>
            <w:tab/>
          </w:r>
          <w:r>
            <w:rPr>
              <w:rFonts w:eastAsia="仿宋_GB2312"/>
              <w:sz w:val="30"/>
              <w:szCs w:val="30"/>
            </w:rPr>
            <w:fldChar w:fldCharType="begin"/>
          </w:r>
          <w:r>
            <w:rPr>
              <w:rFonts w:eastAsia="仿宋_GB2312"/>
              <w:sz w:val="30"/>
              <w:szCs w:val="30"/>
            </w:rPr>
            <w:instrText xml:space="preserve"> PAGEREF _Toc30629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"_Toc16109"</w:instrText>
          </w:r>
          <w:r>
            <w:fldChar w:fldCharType="separate"/>
          </w:r>
          <w:r>
            <w:rPr>
              <w:rFonts w:eastAsia="仿宋_GB2312"/>
              <w:sz w:val="30"/>
              <w:szCs w:val="30"/>
            </w:rPr>
            <w:t>十一、国有资本经营预算财政拨款收入支出决算表</w:t>
            <w:tab/>
          </w:r>
          <w:r>
            <w:rPr>
              <w:rFonts w:eastAsia="仿宋_GB2312"/>
              <w:sz w:val="30"/>
              <w:szCs w:val="30"/>
            </w:rPr>
            <w:fldChar w:fldCharType="begin"/>
          </w:r>
          <w:r>
            <w:rPr>
              <w:rFonts w:eastAsia="仿宋_GB2312"/>
              <w:sz w:val="30"/>
              <w:szCs w:val="30"/>
            </w:rPr>
            <w:instrText xml:space="preserve"> PAGEREF _Toc16109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rPr>
              <w:rFonts w:eastAsia="仿宋_GB2312"/>
              <w:sz w:val="30"/>
              <w:szCs w:val="30"/>
            </w:rPr>
          </w:pPr>
          <w:r>
            <w:fldChar w:fldCharType="begin"/>
          </w:r>
          <w:r>
            <w:instrText>Hyperlink \l "_Toc17307"</w:instrText>
          </w:r>
          <w:r>
            <w:fldChar w:fldCharType="separate"/>
          </w:r>
          <w:r>
            <w:rPr>
              <w:rFonts w:eastAsia="仿宋_GB2312"/>
              <w:sz w:val="30"/>
              <w:szCs w:val="30"/>
            </w:rPr>
            <w:t>十二、国有资本经营预算财政拨款支出决算表</w:t>
            <w:tab/>
          </w:r>
          <w:r>
            <w:rPr>
              <w:rFonts w:eastAsia="仿宋_GB2312"/>
              <w:sz w:val="30"/>
              <w:szCs w:val="30"/>
            </w:rPr>
            <w:fldChar w:fldCharType="begin"/>
          </w:r>
          <w:r>
            <w:rPr>
              <w:rFonts w:eastAsia="仿宋_GB2312"/>
              <w:sz w:val="30"/>
              <w:szCs w:val="30"/>
            </w:rPr>
            <w:instrText xml:space="preserve"> PAGEREF _Toc17307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pStyle w:val="22"/>
            <w:tabs>
              <w:tab w:val="clear" w:pos="8296"/>
              <w:tab w:val="right" w:leader="dot" w:pos="8845"/>
            </w:tabs>
          </w:pPr>
          <w:r>
            <w:fldChar w:fldCharType="begin"/>
          </w:r>
          <w:r>
            <w:instrText>Hyperlink \l "_Toc1139"</w:instrText>
          </w:r>
          <w:r>
            <w:fldChar w:fldCharType="separate"/>
          </w:r>
          <w:r>
            <w:rPr>
              <w:rFonts w:eastAsia="仿宋_GB2312"/>
              <w:sz w:val="30"/>
              <w:szCs w:val="30"/>
            </w:rPr>
            <w:t>十三、财政拨款“三公”经费支出决算表</w:t>
            <w:tab/>
          </w:r>
          <w:r>
            <w:rPr>
              <w:rFonts w:eastAsia="仿宋_GB2312"/>
              <w:sz w:val="30"/>
              <w:szCs w:val="30"/>
            </w:rPr>
            <w:fldChar w:fldCharType="begin"/>
          </w:r>
          <w:r>
            <w:rPr>
              <w:rFonts w:eastAsia="仿宋_GB2312"/>
              <w:sz w:val="30"/>
              <w:szCs w:val="30"/>
            </w:rPr>
            <w:instrText xml:space="preserve"> PAGEREF _Toc1139 \h </w:instrText>
          </w:r>
          <w:r>
            <w:rPr>
              <w:rFonts w:eastAsia="仿宋_GB2312"/>
              <w:sz w:val="30"/>
              <w:szCs w:val="30"/>
            </w:rPr>
            <w:fldChar w:fldCharType="separate"/>
          </w:r>
          <w:r>
            <w:rPr>
              <w:rFonts w:eastAsia="仿宋_GB2312"/>
              <w:sz w:val="30"/>
              <w:szCs w:val="30"/>
            </w:rPr>
            <w:t>39</w:t>
          </w:r>
          <w:r>
            <w:rPr>
              <w:rFonts w:eastAsia="仿宋_GB2312"/>
              <w:sz w:val="30"/>
              <w:szCs w:val="30"/>
            </w:rPr>
            <w:fldChar w:fldCharType="end"/>
          </w:r>
          <w:r>
            <w:fldChar w:fldCharType="end"/>
          </w:r>
        </w:p>
        <w:p>
          <w:pPr>
            <w:widowControl/>
            <w:adjustRightInd w:val="0"/>
            <w:snapToGrid w:val="0"/>
            <w:spacing w:line="440" w:lineRule="exact"/>
            <w:ind w:firstLineChars="550" w:firstLine="1155"/>
            <w:jc w:val="left"/>
            <w:rPr>
              <w:rFonts w:eastAsia="仿宋"/>
              <w:b/>
            </w:rPr>
            <w:sectPr>
              <w:headerReference w:type="default" r:id="rId2"/>
              <w:footerReference w:type="default" r:id="rId3"/>
              <w:pgSz w:w="11906" w:h="16838"/>
              <w:pgMar w:top="2098" w:right="1474" w:bottom="1984" w:left="1587" w:header="851" w:footer="992" w:gutter="0"/>
              <w:pgNumType w:start="1"/>
              <w:cols w:num="1" w:space="425"/>
              <w:titlePg/>
              <w:docGrid w:type="lines" w:linePitch="312" w:charSpace="0"/>
            </w:sectPr>
          </w:pPr>
          <w:r>
            <w:rPr>
              <w:rFonts w:eastAsia="仿宋"/>
            </w:rPr>
            <w:fldChar w:fldCharType="end"/>
          </w:r>
        </w:p>
      </w:sdtContent>
    </w:sdt>
    <w:p>
      <w:pPr>
        <w:pStyle w:val="1"/>
        <w:spacing w:before="0" w:after="0" w:line="578" w:lineRule="exact"/>
        <w:jc w:val="center"/>
        <w:rPr>
          <w:rStyle w:val="1Char"/>
          <w:rFonts w:eastAsia="黑体"/>
          <w:b/>
          <w:szCs w:val="32"/>
        </w:rPr>
      </w:pPr>
      <w:bookmarkStart w:id="14" w:name="_Toc19678"/>
      <w:bookmarkStart w:id="15" w:name="_Toc15377196"/>
      <w:bookmarkStart w:id="16" w:name="_Toc15396599"/>
      <w:r>
        <w:rPr>
          <w:rFonts w:eastAsia="黑体"/>
          <w:b w:val="0"/>
          <w:szCs w:val="32"/>
        </w:rPr>
        <w:t>第一部分</w:t>
      </w:r>
      <w:r>
        <w:rPr>
          <w:rStyle w:val="1Char"/>
          <w:rFonts w:eastAsia="黑体"/>
          <w:szCs w:val="32"/>
        </w:rPr>
        <w:t>部门概况</w:t>
      </w:r>
      <w:bookmarkEnd w:id="14"/>
      <w:bookmarkEnd w:id="15"/>
      <w:bookmarkEnd w:id="16"/>
    </w:p>
    <w:p>
      <w:pPr>
        <w:widowControl/>
        <w:spacing w:line="578" w:lineRule="exact"/>
        <w:ind w:firstLineChars="200" w:firstLine="640"/>
        <w:rPr>
          <w:rFonts w:eastAsia="仿宋_GB2312"/>
          <w:sz w:val="32"/>
          <w:szCs w:val="32"/>
        </w:rPr>
      </w:pPr>
    </w:p>
    <w:p>
      <w:pPr>
        <w:pStyle w:val="32"/>
        <w:spacing w:line="578" w:lineRule="exact"/>
        <w:outlineLvl w:val="1"/>
        <w:rPr>
          <w:rFonts w:eastAsia="黑体"/>
          <w:color w:val="000000"/>
          <w:sz w:val="32"/>
          <w:szCs w:val="32"/>
        </w:rPr>
      </w:pPr>
      <w:bookmarkStart w:id="17" w:name="_Toc4336"/>
      <w:r>
        <w:rPr>
          <w:rFonts w:eastAsia="黑体"/>
          <w:color w:val="000000"/>
          <w:sz w:val="32"/>
          <w:szCs w:val="32"/>
        </w:rPr>
        <w:t>一、部门职责</w:t>
      </w:r>
      <w:bookmarkEnd w:id="17"/>
    </w:p>
    <w:p>
      <w:pPr>
        <w:pStyle w:val="32"/>
        <w:spacing w:line="578" w:lineRule="exact"/>
        <w:rPr>
          <w:rFonts w:eastAsia="仿宋_GB2312"/>
          <w:color w:val="000000"/>
          <w:sz w:val="32"/>
          <w:szCs w:val="32"/>
        </w:rPr>
      </w:pPr>
      <w:r>
        <w:rPr>
          <w:rFonts w:eastAsia="仿宋_GB2312"/>
          <w:color w:val="000000"/>
          <w:sz w:val="32"/>
          <w:szCs w:val="32"/>
        </w:rPr>
        <w:t>1、贯彻落实国家、省、市基本医疗保险、生育保险政策、法律和法规，并按照市医疗保障管理局的安排组织实施，参与拟订相关实施办法；</w:t>
      </w:r>
    </w:p>
    <w:p>
      <w:pPr>
        <w:pStyle w:val="32"/>
        <w:spacing w:line="578" w:lineRule="exact"/>
        <w:rPr>
          <w:rFonts w:eastAsia="仿宋_GB2312"/>
          <w:color w:val="000000"/>
          <w:sz w:val="32"/>
          <w:szCs w:val="32"/>
        </w:rPr>
      </w:pPr>
      <w:r>
        <w:rPr>
          <w:rFonts w:eastAsia="仿宋_GB2312"/>
          <w:color w:val="000000"/>
          <w:sz w:val="32"/>
          <w:szCs w:val="32"/>
        </w:rPr>
        <w:t>2、负责城镇职工基本医疗保险、城乡居民基本医疗保险参保缴费、医疗待遇审核及支付工作；</w:t>
      </w:r>
    </w:p>
    <w:p>
      <w:pPr>
        <w:pStyle w:val="32"/>
        <w:spacing w:line="578" w:lineRule="exact"/>
        <w:rPr>
          <w:rFonts w:eastAsia="仿宋_GB2312"/>
          <w:color w:val="000000"/>
          <w:sz w:val="32"/>
          <w:szCs w:val="32"/>
        </w:rPr>
      </w:pPr>
      <w:r>
        <w:rPr>
          <w:rFonts w:eastAsia="仿宋_GB2312"/>
          <w:color w:val="000000"/>
          <w:sz w:val="32"/>
          <w:szCs w:val="32"/>
        </w:rPr>
        <w:t>3、负责全市基本医疗保险、生育保险有关经办管理工作，对各县（区）、基层劳动保障所（站）及社区医疗服务机构开展基本医疗、生育保险经办业务进行指导和考核；</w:t>
      </w:r>
    </w:p>
    <w:p>
      <w:pPr>
        <w:spacing w:line="578" w:lineRule="exact"/>
        <w:ind w:firstLineChars="200" w:firstLine="640"/>
        <w:rPr>
          <w:rFonts w:eastAsia="仿宋_GB2312"/>
          <w:color w:val="000000"/>
          <w:sz w:val="32"/>
          <w:szCs w:val="32"/>
        </w:rPr>
      </w:pPr>
      <w:r>
        <w:rPr>
          <w:rFonts w:eastAsia="仿宋_GB2312"/>
          <w:color w:val="000000"/>
          <w:sz w:val="32"/>
          <w:szCs w:val="32"/>
        </w:rPr>
        <w:t>4、负责对全市医疗、生育和城乡居民医疗保险支付情况的稽核，对定点医药机构进行监督管理和考核；</w:t>
      </w:r>
    </w:p>
    <w:p>
      <w:pPr>
        <w:spacing w:line="578" w:lineRule="exact"/>
        <w:ind w:firstLineChars="200" w:firstLine="640"/>
        <w:rPr>
          <w:rFonts w:eastAsia="仿宋_GB2312"/>
          <w:color w:val="000000"/>
          <w:sz w:val="32"/>
          <w:szCs w:val="32"/>
        </w:rPr>
      </w:pPr>
      <w:r>
        <w:rPr>
          <w:rFonts w:eastAsia="仿宋_GB2312"/>
          <w:color w:val="000000"/>
          <w:sz w:val="32"/>
          <w:szCs w:val="32"/>
        </w:rPr>
        <w:t>5、按照</w:t>
      </w:r>
      <w:r>
        <w:rPr>
          <w:rFonts w:eastAsia="仿宋_GB2312"/>
          <w:sz w:val="32"/>
          <w:szCs w:val="32"/>
        </w:rPr>
        <w:t>两定</w:t>
      </w:r>
      <w:r>
        <w:rPr>
          <w:rFonts w:eastAsia="仿宋_GB2312"/>
          <w:color w:val="000000"/>
          <w:sz w:val="32"/>
          <w:szCs w:val="32"/>
        </w:rPr>
        <w:t>协议对基本医疗保险、生育保险定点医疗机构，定点零售药店执行保险政策规定和为参保病员提供医疗服务的情况进行监督管理；</w:t>
      </w:r>
    </w:p>
    <w:p>
      <w:pPr>
        <w:pStyle w:val="32"/>
        <w:spacing w:line="578" w:lineRule="exact"/>
        <w:rPr>
          <w:rFonts w:eastAsia="仿宋_GB2312"/>
          <w:color w:val="000000"/>
          <w:sz w:val="32"/>
          <w:szCs w:val="32"/>
        </w:rPr>
      </w:pPr>
      <w:r>
        <w:rPr>
          <w:rFonts w:eastAsia="仿宋_GB2312"/>
          <w:color w:val="000000"/>
          <w:sz w:val="32"/>
          <w:szCs w:val="32"/>
        </w:rPr>
        <w:t>6、负责本地参保人员在全省范围内异地就医和刷卡购药即时结算；负责全省异地就医人员在本地区定点医疗机构和定点零售药店发生的医疗费用审核结算和监管工作，考核当地定点医疗机构和定点零售药店的异地就医服务质量；</w:t>
      </w:r>
    </w:p>
    <w:p>
      <w:pPr>
        <w:pStyle w:val="32"/>
        <w:spacing w:line="578" w:lineRule="exact"/>
        <w:rPr>
          <w:rFonts w:eastAsia="仿宋_GB2312"/>
          <w:color w:val="000000"/>
          <w:sz w:val="32"/>
          <w:szCs w:val="32"/>
        </w:rPr>
      </w:pPr>
      <w:r>
        <w:rPr>
          <w:rFonts w:eastAsia="仿宋_GB2312"/>
          <w:color w:val="000000"/>
          <w:sz w:val="32"/>
          <w:szCs w:val="32"/>
        </w:rPr>
        <w:t>7、负责组织实施全市药品、医用耗材集中采购工作;</w:t>
      </w:r>
    </w:p>
    <w:p>
      <w:pPr>
        <w:spacing w:line="578" w:lineRule="exact"/>
        <w:ind w:firstLineChars="200" w:firstLine="640"/>
        <w:rPr>
          <w:rFonts w:eastAsia="仿宋_GB2312"/>
          <w:color w:val="000000"/>
          <w:sz w:val="32"/>
          <w:szCs w:val="32"/>
        </w:rPr>
      </w:pPr>
      <w:r>
        <w:rPr>
          <w:rFonts w:eastAsia="仿宋_GB2312"/>
          <w:color w:val="000000"/>
          <w:sz w:val="32"/>
          <w:szCs w:val="32"/>
        </w:rPr>
        <w:t>8、配合相关单位对城镇职工医疗保险、生育保险、城乡居民医保信息系统的建设、运行、升级维护和安全管理等协调工作；</w:t>
      </w:r>
    </w:p>
    <w:p>
      <w:pPr>
        <w:spacing w:line="578" w:lineRule="exact"/>
        <w:ind w:firstLineChars="200" w:firstLine="640"/>
        <w:rPr>
          <w:rFonts w:eastAsia="仿宋_GB2312"/>
          <w:color w:val="000000"/>
          <w:sz w:val="32"/>
          <w:szCs w:val="32"/>
        </w:rPr>
      </w:pPr>
      <w:r>
        <w:rPr>
          <w:rFonts w:eastAsia="仿宋_GB2312"/>
          <w:color w:val="000000"/>
          <w:sz w:val="32"/>
          <w:szCs w:val="32"/>
        </w:rPr>
        <w:t>9、指导县（区）、参保单位做好基本医疗保险和大病医疗保险经办管理工作；</w:t>
      </w:r>
    </w:p>
    <w:p>
      <w:pPr>
        <w:spacing w:line="578" w:lineRule="exact"/>
        <w:ind w:firstLineChars="200" w:firstLine="640"/>
        <w:rPr>
          <w:rFonts w:eastAsia="仿宋_GB2312"/>
          <w:sz w:val="32"/>
          <w:szCs w:val="32"/>
        </w:rPr>
      </w:pPr>
      <w:r>
        <w:rPr>
          <w:rFonts w:eastAsia="仿宋_GB2312"/>
          <w:color w:val="000000"/>
          <w:sz w:val="32"/>
          <w:szCs w:val="32"/>
        </w:rPr>
        <w:t>10、开展调查研究，为市政府及其相关职能部门制定和完善基本医疗保险政策提出建议意见。</w:t>
      </w:r>
    </w:p>
    <w:p>
      <w:pPr>
        <w:pStyle w:val="32"/>
        <w:spacing w:line="578" w:lineRule="exact"/>
        <w:outlineLvl w:val="1"/>
        <w:rPr>
          <w:rFonts w:eastAsia="黑体"/>
          <w:color w:val="000000"/>
          <w:sz w:val="32"/>
          <w:szCs w:val="32"/>
        </w:rPr>
      </w:pPr>
      <w:bookmarkStart w:id="18" w:name="_Toc6889"/>
      <w:bookmarkStart w:id="19" w:name="_Toc15377200"/>
      <w:bookmarkStart w:id="20" w:name="_Toc15396601"/>
      <w:r>
        <w:rPr>
          <w:rFonts w:eastAsia="黑体"/>
          <w:color w:val="000000"/>
          <w:sz w:val="32"/>
          <w:szCs w:val="32"/>
        </w:rPr>
        <w:t>二、机构设置</w:t>
      </w:r>
      <w:bookmarkEnd w:id="18"/>
      <w:bookmarkEnd w:id="19"/>
      <w:bookmarkEnd w:id="20"/>
    </w:p>
    <w:p>
      <w:pPr>
        <w:pStyle w:val="15"/>
        <w:adjustRightInd w:val="0"/>
        <w:snapToGrid w:val="0"/>
        <w:spacing w:beforeLines="0" w:before="30" w:line="578" w:lineRule="exact"/>
        <w:ind w:firstLineChars="200" w:firstLine="640"/>
        <w:rPr>
          <w:rFonts w:ascii="Times New Roman" w:hAnsi="Times New Roman"/>
          <w:sz w:val="32"/>
          <w:szCs w:val="32"/>
        </w:rPr>
      </w:pPr>
      <w:r>
        <w:rPr>
          <w:rFonts w:ascii="Times New Roman" w:hAnsi="Times New Roman"/>
          <w:color w:val="000000"/>
          <w:sz w:val="32"/>
          <w:szCs w:val="32"/>
        </w:rPr>
        <w:t>攀枝花市医疗保障事务中心属参照公务员法管理的事业单位，无下属二级单位。</w:t>
      </w:r>
    </w:p>
    <w:p>
      <w:pPr>
        <w:widowControl/>
        <w:spacing w:line="578" w:lineRule="exact"/>
        <w:ind w:firstLineChars="200" w:firstLine="640"/>
        <w:rPr>
          <w:rFonts w:eastAsia="仿宋_GB2312"/>
          <w:kern w:val="0"/>
          <w:sz w:val="32"/>
          <w:szCs w:val="32"/>
        </w:rPr>
      </w:pPr>
      <w:r>
        <w:rPr>
          <w:rFonts w:eastAsia="仿宋_GB2312"/>
          <w:sz w:val="32"/>
          <w:szCs w:val="32"/>
        </w:rPr>
        <w:br w:type="page"/>
      </w:r>
    </w:p>
    <w:p>
      <w:pPr>
        <w:pStyle w:val="1"/>
        <w:spacing w:before="0" w:after="0" w:line="578" w:lineRule="exact"/>
        <w:jc w:val="center"/>
        <w:rPr>
          <w:rStyle w:val="1Char"/>
          <w:rFonts w:eastAsia="黑体"/>
          <w:szCs w:val="32"/>
        </w:rPr>
      </w:pPr>
      <w:bookmarkStart w:id="21" w:name="_Toc20317"/>
      <w:bookmarkStart w:id="22" w:name="_Toc15396602"/>
      <w:bookmarkStart w:id="23" w:name="_Toc15377204"/>
      <w:r>
        <w:rPr>
          <w:rStyle w:val="1Char"/>
          <w:rFonts w:eastAsia="黑体"/>
          <w:szCs w:val="32"/>
        </w:rPr>
        <w:t>第二部分 2022年度部门决算情况说明</w:t>
      </w:r>
      <w:bookmarkEnd w:id="21"/>
      <w:bookmarkEnd w:id="22"/>
      <w:bookmarkEnd w:id="23"/>
    </w:p>
    <w:p>
      <w:pPr>
        <w:spacing w:line="578" w:lineRule="exact"/>
        <w:ind w:firstLineChars="200" w:firstLine="640"/>
        <w:rPr>
          <w:rFonts w:eastAsia="仿宋_GB2312"/>
          <w:sz w:val="32"/>
          <w:szCs w:val="32"/>
        </w:rPr>
      </w:pPr>
    </w:p>
    <w:p>
      <w:pPr>
        <w:pStyle w:val="32"/>
        <w:spacing w:line="578" w:lineRule="exact"/>
        <w:outlineLvl w:val="1"/>
        <w:rPr>
          <w:rFonts w:eastAsia="黑体"/>
          <w:color w:val="000000"/>
          <w:sz w:val="32"/>
          <w:szCs w:val="32"/>
        </w:rPr>
      </w:pPr>
      <w:bookmarkStart w:id="24" w:name="_Toc15396603"/>
      <w:bookmarkStart w:id="25" w:name="_Toc31767"/>
      <w:bookmarkStart w:id="26" w:name="_Toc15377205"/>
      <w:r>
        <w:rPr>
          <w:rFonts w:eastAsia="黑体"/>
          <w:color w:val="000000"/>
          <w:sz w:val="32"/>
          <w:szCs w:val="32"/>
        </w:rPr>
        <w:t>一、收入支出决算总体情况说明</w:t>
      </w:r>
      <w:bookmarkEnd w:id="24"/>
      <w:bookmarkEnd w:id="25"/>
      <w:bookmarkEnd w:id="26"/>
    </w:p>
    <w:p>
      <w:pPr>
        <w:spacing w:line="578" w:lineRule="exact"/>
        <w:ind w:firstLineChars="200" w:firstLine="640"/>
        <w:rPr>
          <w:rFonts w:eastAsia="仿宋_GB2312"/>
          <w:sz w:val="32"/>
          <w:szCs w:val="32"/>
        </w:rPr>
      </w:pPr>
      <w:r>
        <w:rPr>
          <w:rFonts w:eastAsia="仿宋_GB2312"/>
          <w:sz w:val="32"/>
          <w:szCs w:val="32"/>
        </w:rPr>
        <w:t>2022年度全年收入总计1213.39万元、支出总计1213.39万元。与2021年相比，收入总计增加</w:t>
      </w:r>
      <w:r>
        <w:rPr>
          <w:rFonts w:eastAsia="仿宋_GB2312" w:hint="eastAsia"/>
          <w:sz w:val="32"/>
          <w:szCs w:val="32"/>
        </w:rPr>
        <w:t>53.83</w:t>
      </w:r>
      <w:r>
        <w:rPr>
          <w:rFonts w:eastAsia="仿宋_GB2312"/>
          <w:sz w:val="32"/>
          <w:szCs w:val="32"/>
        </w:rPr>
        <w:t>万元，增长</w:t>
      </w:r>
      <w:r>
        <w:rPr>
          <w:rFonts w:eastAsia="仿宋_GB2312" w:hint="eastAsia"/>
          <w:sz w:val="32"/>
          <w:szCs w:val="32"/>
        </w:rPr>
        <w:t>4</w:t>
      </w:r>
      <w:r>
        <w:rPr>
          <w:rFonts w:eastAsia="仿宋_GB2312"/>
          <w:sz w:val="32"/>
          <w:szCs w:val="32"/>
        </w:rPr>
        <w:t>%、支出总计增加53.83万元，增长4%。主要变动原因是人员增加，导致人员经费、日常公用经费、项目资金相应增加。</w:t>
      </w:r>
    </w:p>
    <w:p>
      <w:pPr>
        <w:pStyle w:val="15"/>
        <w:spacing w:beforeLines="0" w:before="30"/>
        <w:jc w:val="center"/>
        <w:rPr>
          <w:rFonts w:ascii="Times New Roman" w:hAnsi="Times New Roman"/>
          <w:sz w:val="32"/>
          <w:szCs w:val="32"/>
        </w:rPr>
      </w:pPr>
      <w:r>
        <w:rPr>
          <w:rFonts w:ascii="Times New Roman" w:hAnsi="Times New Roman"/>
          <w:sz w:val="32"/>
          <w:szCs w:val="32"/>
        </w:rPr>
        <w:drawing>
          <wp:inline distT="0" distB="0" distL="0" distR="0">
            <wp:extent cx="4784090" cy="2520315"/>
            <wp:effectExtent l="0" t="0" r="0" b="0"/>
            <wp:docPr id="1" name="图表 1"/>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578" w:lineRule="exact"/>
        <w:ind w:firstLineChars="200" w:firstLine="640"/>
        <w:jc w:val="center"/>
        <w:rPr>
          <w:rFonts w:eastAsia="仿宋_GB2312"/>
          <w:sz w:val="32"/>
          <w:szCs w:val="32"/>
        </w:rPr>
      </w:pPr>
      <w:r>
        <w:rPr>
          <w:rFonts w:eastAsia="仿宋_GB2312"/>
          <w:sz w:val="32"/>
          <w:szCs w:val="32"/>
        </w:rPr>
        <w:t>（图1：收、支决算总计变动情况图）</w:t>
      </w:r>
    </w:p>
    <w:p>
      <w:pPr>
        <w:pStyle w:val="32"/>
        <w:spacing w:line="578" w:lineRule="exact"/>
        <w:outlineLvl w:val="1"/>
        <w:rPr>
          <w:rFonts w:eastAsia="黑体"/>
          <w:color w:val="000000"/>
          <w:sz w:val="32"/>
          <w:szCs w:val="32"/>
        </w:rPr>
      </w:pPr>
      <w:bookmarkStart w:id="27" w:name="_Toc5147"/>
      <w:bookmarkStart w:id="28" w:name="_Toc15396604"/>
      <w:bookmarkStart w:id="29" w:name="_Toc15377206"/>
      <w:r>
        <w:rPr>
          <w:rFonts w:eastAsia="黑体"/>
          <w:color w:val="000000"/>
          <w:sz w:val="32"/>
          <w:szCs w:val="32"/>
        </w:rPr>
        <w:t>二、收入决算情况说明</w:t>
      </w:r>
      <w:bookmarkEnd w:id="27"/>
      <w:bookmarkEnd w:id="28"/>
      <w:bookmarkEnd w:id="29"/>
    </w:p>
    <w:p>
      <w:pPr>
        <w:spacing w:line="578" w:lineRule="exact"/>
        <w:ind w:firstLineChars="200" w:firstLine="640"/>
        <w:rPr>
          <w:rFonts w:eastAsia="仿宋_GB2312"/>
          <w:sz w:val="32"/>
          <w:szCs w:val="32"/>
        </w:rPr>
      </w:pPr>
      <w:r>
        <w:rPr>
          <w:rFonts w:eastAsia="仿宋_GB2312"/>
          <w:sz w:val="32"/>
          <w:szCs w:val="32"/>
        </w:rPr>
        <w:t>2022年本年收入合计</w:t>
      </w:r>
      <w:r>
        <w:rPr>
          <w:rFonts w:eastAsia="仿宋_GB2312" w:hint="eastAsia"/>
          <w:sz w:val="32"/>
          <w:szCs w:val="32"/>
        </w:rPr>
        <w:t>1134.73</w:t>
      </w:r>
      <w:r>
        <w:rPr>
          <w:rFonts w:eastAsia="仿宋_GB2312"/>
          <w:sz w:val="32"/>
          <w:szCs w:val="32"/>
        </w:rPr>
        <w:t>万元，其中：一般公共预算财政拨款收入1134.73万元，占100%；政府性基金预算财政拨款收入0万元，占0%；国有资本经营预算财政拨款收入0万元，占0%；上级补助收入0万元，占0%；事业收入0万元，占0%；经营收入0万元，占0%；附属单位上缴收入0万元，占0%；其他收入0万元，占0%。</w:t>
      </w:r>
    </w:p>
    <w:p>
      <w:pPr>
        <w:pStyle w:val="15"/>
        <w:spacing w:beforeLines="0" w:before="30"/>
        <w:ind w:firstLineChars="200" w:firstLine="640"/>
        <w:rPr>
          <w:rFonts w:ascii="Times New Roman" w:hAnsi="Times New Roman"/>
          <w:sz w:val="32"/>
          <w:szCs w:val="32"/>
        </w:rPr>
      </w:pPr>
      <w:r>
        <w:rPr>
          <w:rFonts w:ascii="Times New Roman" w:hAnsi="Times New Roman"/>
          <w:sz w:val="32"/>
          <w:szCs w:val="32"/>
        </w:rPr>
        <w:drawing>
          <wp:inline distT="0" distB="0" distL="0" distR="0">
            <wp:extent cx="4857750" cy="2305050"/>
            <wp:effectExtent l="0" t="0" r="0" b="0"/>
            <wp:docPr id="2" name="图表 3"/>
            <wp:cNvGraphicFramePr>
              <a:graphicFrameLocks noChangeAspect="0"/>
            </wp:cNvGraphicFramePr>
            <a:graphic>
              <a:graphicData uri="http://schemas.openxmlformats.org/drawingml/2006/chart">
                <c:chart xmlns:c="http://schemas.openxmlformats.org/drawingml/2006/chart" r:id="rId7"/>
              </a:graphicData>
            </a:graphic>
          </wp:inline>
        </w:drawing>
      </w:r>
    </w:p>
    <w:p>
      <w:pPr>
        <w:spacing w:line="578" w:lineRule="exact"/>
        <w:ind w:firstLineChars="200" w:firstLine="640"/>
        <w:jc w:val="center"/>
        <w:rPr>
          <w:rFonts w:eastAsia="仿宋_GB2312"/>
          <w:sz w:val="32"/>
          <w:szCs w:val="32"/>
        </w:rPr>
      </w:pPr>
      <w:r>
        <w:rPr>
          <w:rFonts w:eastAsia="仿宋_GB2312"/>
          <w:sz w:val="32"/>
          <w:szCs w:val="32"/>
        </w:rPr>
        <w:t>（图2：收入决算结构图）</w:t>
      </w:r>
    </w:p>
    <w:p>
      <w:pPr>
        <w:pStyle w:val="32"/>
        <w:spacing w:line="578" w:lineRule="exact"/>
        <w:outlineLvl w:val="1"/>
        <w:rPr>
          <w:rFonts w:eastAsia="黑体"/>
          <w:color w:val="000000"/>
          <w:sz w:val="32"/>
          <w:szCs w:val="32"/>
        </w:rPr>
      </w:pPr>
      <w:bookmarkStart w:id="30" w:name="_Toc15398"/>
      <w:bookmarkStart w:id="31" w:name="_Toc15396605"/>
      <w:bookmarkStart w:id="32" w:name="_Toc15377207"/>
      <w:r>
        <w:rPr>
          <w:rFonts w:eastAsia="黑体"/>
          <w:color w:val="000000"/>
          <w:sz w:val="32"/>
          <w:szCs w:val="32"/>
        </w:rPr>
        <w:t>三、支出决算情况说明</w:t>
      </w:r>
      <w:bookmarkEnd w:id="30"/>
      <w:bookmarkEnd w:id="31"/>
      <w:bookmarkEnd w:id="32"/>
    </w:p>
    <w:p>
      <w:pPr>
        <w:spacing w:line="578" w:lineRule="exact"/>
        <w:ind w:firstLineChars="200" w:firstLine="640"/>
        <w:rPr>
          <w:rFonts w:eastAsia="仿宋_GB2312"/>
          <w:sz w:val="32"/>
          <w:szCs w:val="32"/>
        </w:rPr>
      </w:pPr>
      <w:r>
        <w:rPr>
          <w:rFonts w:eastAsia="仿宋_GB2312"/>
          <w:sz w:val="32"/>
          <w:szCs w:val="32"/>
        </w:rPr>
        <w:t>2022年本年支出合计1213.39万元，其中：基本支出962.63万元，占79%；项目支出250.76万元，占21%；上缴上级支出0万元，占0%；经营支出0万元，占0%；对附属单位补助支出0万元，占0%。</w:t>
      </w:r>
    </w:p>
    <w:p>
      <w:pPr>
        <w:pStyle w:val="15"/>
        <w:spacing w:beforeLines="0" w:before="30"/>
        <w:ind w:firstLineChars="200" w:firstLine="640"/>
        <w:rPr>
          <w:rFonts w:ascii="Times New Roman" w:hAnsi="Times New Roman"/>
          <w:sz w:val="32"/>
          <w:szCs w:val="32"/>
        </w:rPr>
      </w:pPr>
    </w:p>
    <w:p>
      <w:pPr>
        <w:pStyle w:val="15"/>
        <w:spacing w:beforeLines="0" w:before="30"/>
        <w:jc w:val="center"/>
        <w:rPr>
          <w:rFonts w:ascii="Times New Roman" w:hAnsi="Times New Roman"/>
          <w:sz w:val="32"/>
          <w:szCs w:val="32"/>
        </w:rPr>
      </w:pPr>
      <w:r>
        <w:rPr>
          <w:rFonts w:ascii="Times New Roman" w:hAnsi="Times New Roman"/>
          <w:sz w:val="32"/>
          <w:szCs w:val="32"/>
        </w:rPr>
        <w:drawing>
          <wp:inline distT="0" distB="0" distL="0" distR="0">
            <wp:extent cx="5086350" cy="1971675"/>
            <wp:effectExtent l="0" t="0" r="0" b="0"/>
            <wp:docPr id="3" name="图表 1"/>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578" w:lineRule="exact"/>
        <w:ind w:firstLineChars="200" w:firstLine="640"/>
        <w:jc w:val="center"/>
        <w:rPr>
          <w:rFonts w:eastAsia="仿宋_GB2312"/>
          <w:sz w:val="32"/>
          <w:szCs w:val="32"/>
        </w:rPr>
      </w:pPr>
      <w:bookmarkStart w:id="33" w:name="_Toc15396606"/>
      <w:bookmarkStart w:id="34" w:name="_Toc15377208"/>
      <w:r>
        <w:rPr>
          <w:rFonts w:eastAsia="仿宋_GB2312"/>
          <w:sz w:val="32"/>
          <w:szCs w:val="32"/>
        </w:rPr>
        <w:t>（图3：支出决算结构图）</w:t>
      </w:r>
    </w:p>
    <w:p>
      <w:pPr>
        <w:pStyle w:val="32"/>
        <w:spacing w:line="578" w:lineRule="exact"/>
        <w:outlineLvl w:val="1"/>
        <w:rPr>
          <w:rFonts w:eastAsia="黑体"/>
          <w:color w:val="000000"/>
          <w:sz w:val="32"/>
          <w:szCs w:val="32"/>
        </w:rPr>
      </w:pPr>
      <w:bookmarkStart w:id="35" w:name="_Toc21425"/>
      <w:r>
        <w:rPr>
          <w:rFonts w:eastAsia="黑体"/>
          <w:color w:val="000000"/>
          <w:sz w:val="32"/>
          <w:szCs w:val="32"/>
        </w:rPr>
        <w:t>四、财政拨款收入支出决算总体情况说明</w:t>
      </w:r>
      <w:bookmarkEnd w:id="33"/>
      <w:bookmarkEnd w:id="34"/>
      <w:bookmarkEnd w:id="35"/>
    </w:p>
    <w:p>
      <w:pPr>
        <w:spacing w:line="578" w:lineRule="exact"/>
        <w:ind w:firstLineChars="200" w:firstLine="640"/>
        <w:rPr>
          <w:rFonts w:eastAsia="仿宋_GB2312"/>
          <w:sz w:val="32"/>
          <w:szCs w:val="32"/>
        </w:rPr>
      </w:pPr>
      <w:r>
        <w:rPr>
          <w:rFonts w:eastAsia="仿宋_GB2312"/>
          <w:sz w:val="32"/>
          <w:szCs w:val="32"/>
        </w:rPr>
        <w:t>2022年财政拨款收入总计</w:t>
      </w:r>
      <w:r>
        <w:rPr>
          <w:rFonts w:eastAsia="仿宋_GB2312" w:hint="eastAsia"/>
          <w:sz w:val="32"/>
          <w:szCs w:val="32"/>
        </w:rPr>
        <w:t>1213.39</w:t>
      </w:r>
      <w:r>
        <w:rPr>
          <w:rFonts w:eastAsia="仿宋_GB2312"/>
          <w:sz w:val="32"/>
          <w:szCs w:val="32"/>
        </w:rPr>
        <w:t>万元、支出总计1213.39万元。与2021年相比，财政拨款收入</w:t>
      </w:r>
      <w:r>
        <w:rPr>
          <w:rFonts w:eastAsia="仿宋_GB2312" w:hint="eastAsia"/>
          <w:sz w:val="32"/>
          <w:szCs w:val="32"/>
        </w:rPr>
        <w:t>总计</w:t>
      </w:r>
      <w:r>
        <w:rPr>
          <w:rFonts w:eastAsia="仿宋_GB2312"/>
          <w:sz w:val="32"/>
          <w:szCs w:val="32"/>
        </w:rPr>
        <w:t>增加53.83万元、</w:t>
      </w:r>
      <w:r>
        <w:rPr>
          <w:rFonts w:eastAsia="仿宋_GB2312" w:hint="eastAsia"/>
          <w:sz w:val="32"/>
          <w:szCs w:val="32"/>
        </w:rPr>
        <w:t>增长4</w:t>
      </w:r>
      <w:r>
        <w:rPr>
          <w:rFonts w:eastAsia="仿宋_GB2312"/>
          <w:sz w:val="32"/>
          <w:szCs w:val="32"/>
        </w:rPr>
        <w:t>%，财政拨款支出总计增加53.83万元，增长4%。主要变动原因是人员增加，致人员经费、日常公用经费、项目资金相应增加。</w:t>
      </w:r>
    </w:p>
    <w:p>
      <w:pPr>
        <w:pStyle w:val="15"/>
        <w:spacing w:beforeLines="0" w:before="30"/>
        <w:jc w:val="center"/>
        <w:rPr>
          <w:rFonts w:ascii="Times New Roman" w:hAnsi="Times New Roman"/>
          <w:sz w:val="32"/>
          <w:szCs w:val="32"/>
        </w:rPr>
      </w:pPr>
      <w:r>
        <w:rPr>
          <w:rFonts w:ascii="Times New Roman" w:hAnsi="Times New Roman"/>
          <w:sz w:val="32"/>
          <w:szCs w:val="32"/>
        </w:rPr>
        <w:drawing>
          <wp:inline distT="0" distB="0" distL="0" distR="0">
            <wp:extent cx="5330824" cy="3109595"/>
            <wp:effectExtent l="0" t="0" r="0" b="0"/>
            <wp:docPr id="4" name="图表 5"/>
            <wp:cNvGraphicFramePr>
              <a:graphicFrameLocks noChangeAspect="0"/>
            </wp:cNvGraphicFramePr>
            <a:graphic>
              <a:graphicData uri="http://schemas.openxmlformats.org/drawingml/2006/chart">
                <c:chart xmlns:c="http://schemas.openxmlformats.org/drawingml/2006/chart" r:id="rId9"/>
              </a:graphicData>
            </a:graphic>
          </wp:inline>
        </w:drawing>
      </w:r>
    </w:p>
    <w:p>
      <w:pPr>
        <w:spacing w:line="578" w:lineRule="exact"/>
        <w:ind w:firstLineChars="200" w:firstLine="640"/>
        <w:jc w:val="center"/>
        <w:rPr>
          <w:rFonts w:eastAsia="仿宋_GB2312"/>
          <w:sz w:val="32"/>
          <w:szCs w:val="32"/>
        </w:rPr>
      </w:pPr>
      <w:r>
        <w:rPr>
          <w:rFonts w:eastAsia="仿宋_GB2312"/>
          <w:sz w:val="32"/>
          <w:szCs w:val="32"/>
        </w:rPr>
        <w:t>（图4：财政拨款收、支决算总计变动情况）</w:t>
      </w:r>
    </w:p>
    <w:p>
      <w:pPr>
        <w:pStyle w:val="32"/>
        <w:spacing w:line="578" w:lineRule="exact"/>
        <w:outlineLvl w:val="1"/>
        <w:rPr>
          <w:rFonts w:eastAsia="黑体"/>
          <w:color w:val="000000"/>
          <w:sz w:val="32"/>
          <w:szCs w:val="32"/>
        </w:rPr>
      </w:pPr>
      <w:bookmarkStart w:id="36" w:name="_Toc15396607"/>
      <w:bookmarkStart w:id="37" w:name="_Toc15377209"/>
      <w:bookmarkStart w:id="38" w:name="_Toc32321"/>
      <w:r>
        <w:rPr>
          <w:rFonts w:eastAsia="黑体"/>
          <w:color w:val="000000"/>
          <w:sz w:val="32"/>
          <w:szCs w:val="32"/>
        </w:rPr>
        <w:t>五、一般公共预算财政拨款支出决算情况说明</w:t>
      </w:r>
      <w:bookmarkEnd w:id="36"/>
      <w:bookmarkEnd w:id="37"/>
      <w:bookmarkEnd w:id="38"/>
    </w:p>
    <w:p>
      <w:pPr>
        <w:spacing w:line="578" w:lineRule="exact"/>
        <w:ind w:firstLineChars="200" w:firstLine="640"/>
        <w:outlineLvl w:val="2"/>
        <w:rPr>
          <w:rFonts w:eastAsia="仿宋_GB2312"/>
          <w:b/>
          <w:sz w:val="32"/>
          <w:szCs w:val="32"/>
        </w:rPr>
      </w:pPr>
      <w:bookmarkStart w:id="39" w:name="_Toc15377210"/>
      <w:r>
        <w:rPr>
          <w:rFonts w:eastAsia="仿宋_GB2312"/>
          <w:b/>
          <w:sz w:val="32"/>
          <w:szCs w:val="32"/>
        </w:rPr>
        <w:t>（一）一般公共预算财政拨款支出决算总体情况</w:t>
      </w:r>
      <w:bookmarkEnd w:id="39"/>
    </w:p>
    <w:p>
      <w:pPr>
        <w:spacing w:line="578" w:lineRule="exact"/>
        <w:ind w:firstLineChars="200" w:firstLine="640"/>
        <w:rPr>
          <w:rFonts w:eastAsia="仿宋_GB2312"/>
          <w:sz w:val="32"/>
          <w:szCs w:val="32"/>
        </w:rPr>
      </w:pPr>
      <w:r>
        <w:rPr>
          <w:rFonts w:eastAsia="仿宋_GB2312"/>
          <w:sz w:val="32"/>
          <w:szCs w:val="32"/>
        </w:rPr>
        <w:t>2022年</w:t>
      </w:r>
      <w:r>
        <w:rPr>
          <w:rFonts w:eastAsia="仿宋_GB2312" w:hint="eastAsia"/>
          <w:sz w:val="32"/>
          <w:szCs w:val="32"/>
        </w:rPr>
        <w:t>一般</w:t>
      </w:r>
      <w:r>
        <w:rPr>
          <w:rFonts w:eastAsia="仿宋_GB2312"/>
          <w:sz w:val="32"/>
          <w:szCs w:val="32"/>
        </w:rPr>
        <w:t>公共预算财政拨款支出总计1213.39万元，与2021年财政拨款支出相比，</w:t>
      </w:r>
      <w:r>
        <w:rPr>
          <w:rFonts w:eastAsia="仿宋_GB2312" w:hint="eastAsia"/>
          <w:sz w:val="32"/>
          <w:szCs w:val="32"/>
        </w:rPr>
        <w:t>一般</w:t>
      </w:r>
      <w:r>
        <w:rPr>
          <w:rFonts w:eastAsia="仿宋_GB2312"/>
          <w:sz w:val="32"/>
          <w:szCs w:val="32"/>
        </w:rPr>
        <w:t>公共预算增加53.83万元，增长4%。主要变动原因是人员增加，导致人员经费、日常公用经费、项目资金相应增加。</w:t>
      </w:r>
    </w:p>
    <w:p>
      <w:pPr>
        <w:jc w:val="center"/>
        <w:rPr>
          <w:rFonts w:eastAsia="仿宋_GB2312"/>
          <w:sz w:val="32"/>
          <w:szCs w:val="32"/>
        </w:rPr>
      </w:pPr>
      <w:r>
        <w:rPr>
          <w:rFonts w:eastAsia="仿宋_GB2312"/>
          <w:sz w:val="32"/>
          <w:szCs w:val="32"/>
        </w:rPr>
        <w:drawing>
          <wp:inline distT="0" distB="0" distL="0" distR="0">
            <wp:extent cx="4584700" cy="2674620"/>
            <wp:effectExtent l="0" t="0" r="0" b="0"/>
            <wp:docPr id="5" name="图表 11"/>
            <wp:cNvGraphicFramePr>
              <a:graphicFrameLocks noChangeAspect="0"/>
            </wp:cNvGraphicFramePr>
            <a:graphic>
              <a:graphicData uri="http://schemas.openxmlformats.org/drawingml/2006/chart">
                <c:chart xmlns:c="http://schemas.openxmlformats.org/drawingml/2006/chart" r:id="rId10"/>
              </a:graphicData>
            </a:graphic>
          </wp:inline>
        </w:drawing>
      </w:r>
    </w:p>
    <w:p>
      <w:pPr>
        <w:spacing w:line="578" w:lineRule="exact"/>
        <w:jc w:val="center"/>
        <w:rPr>
          <w:rFonts w:eastAsia="仿宋_GB2312"/>
          <w:sz w:val="32"/>
          <w:szCs w:val="32"/>
        </w:rPr>
      </w:pPr>
      <w:r>
        <w:rPr>
          <w:rFonts w:eastAsia="仿宋_GB2312"/>
          <w:sz w:val="32"/>
          <w:szCs w:val="32"/>
        </w:rPr>
        <w:t>（图5：一般公共预算财政拨款支出决算变动情况）</w:t>
      </w:r>
    </w:p>
    <w:p>
      <w:pPr>
        <w:spacing w:line="578" w:lineRule="exact"/>
        <w:ind w:firstLineChars="200" w:firstLine="640"/>
        <w:outlineLvl w:val="2"/>
        <w:rPr>
          <w:rFonts w:eastAsia="仿宋_GB2312"/>
          <w:b/>
          <w:sz w:val="32"/>
          <w:szCs w:val="32"/>
        </w:rPr>
      </w:pPr>
      <w:bookmarkStart w:id="40" w:name="_Toc15377211"/>
      <w:r>
        <w:rPr>
          <w:rFonts w:eastAsia="仿宋_GB2312"/>
          <w:b/>
          <w:sz w:val="32"/>
          <w:szCs w:val="32"/>
        </w:rPr>
        <w:t>（二）一般公共预算财政拨款支出决算结构情况</w:t>
      </w:r>
      <w:bookmarkEnd w:id="40"/>
    </w:p>
    <w:p>
      <w:pPr>
        <w:spacing w:line="578" w:lineRule="exact"/>
        <w:ind w:firstLineChars="200" w:firstLine="640"/>
        <w:rPr>
          <w:rFonts w:eastAsia="仿宋_GB2312"/>
          <w:sz w:val="32"/>
          <w:szCs w:val="32"/>
        </w:rPr>
      </w:pPr>
      <w:r>
        <w:rPr>
          <w:rFonts w:eastAsia="仿宋_GB2312"/>
          <w:sz w:val="32"/>
          <w:szCs w:val="32"/>
        </w:rPr>
        <w:t>2022年一般公共预算财政拨款支出1213.39万元，主要用于以下方面:</w:t>
      </w:r>
      <w:r>
        <w:rPr>
          <w:rFonts w:eastAsia="仿宋_GB2312"/>
          <w:b/>
          <w:sz w:val="32"/>
          <w:szCs w:val="32"/>
        </w:rPr>
        <w:t>一般公共服务</w:t>
      </w:r>
      <w:r>
        <w:rPr>
          <w:rFonts w:eastAsia="仿宋_GB2312"/>
          <w:b/>
          <w:bCs/>
          <w:sz w:val="32"/>
          <w:szCs w:val="32"/>
        </w:rPr>
        <w:t>支出</w:t>
      </w:r>
      <w:r>
        <w:rPr>
          <w:rFonts w:eastAsia="仿宋_GB2312"/>
          <w:sz w:val="32"/>
          <w:szCs w:val="32"/>
        </w:rPr>
        <w:t>2.80万元，占0.2%；</w:t>
      </w:r>
      <w:r>
        <w:rPr>
          <w:rFonts w:eastAsia="仿宋_GB2312"/>
          <w:b/>
          <w:sz w:val="32"/>
          <w:szCs w:val="32"/>
        </w:rPr>
        <w:t>社会保障和就业</w:t>
      </w:r>
      <w:r>
        <w:rPr>
          <w:rFonts w:eastAsia="仿宋_GB2312"/>
          <w:b/>
          <w:bCs/>
          <w:sz w:val="32"/>
          <w:szCs w:val="32"/>
        </w:rPr>
        <w:t>支出</w:t>
      </w:r>
      <w:r>
        <w:rPr>
          <w:rFonts w:eastAsia="仿宋_GB2312"/>
          <w:sz w:val="32"/>
          <w:szCs w:val="32"/>
        </w:rPr>
        <w:t>99.83万元，占8%；</w:t>
      </w:r>
      <w:r>
        <w:rPr>
          <w:rFonts w:eastAsia="仿宋_GB2312"/>
          <w:b/>
          <w:bCs/>
          <w:sz w:val="32"/>
          <w:szCs w:val="32"/>
        </w:rPr>
        <w:t>卫生健康支出</w:t>
      </w:r>
      <w:r>
        <w:rPr>
          <w:rFonts w:eastAsia="仿宋_GB2312"/>
          <w:sz w:val="32"/>
          <w:szCs w:val="32"/>
        </w:rPr>
        <w:t>1032.49万元，占85%；</w:t>
      </w:r>
      <w:r>
        <w:rPr>
          <w:rFonts w:eastAsia="仿宋_GB2312"/>
          <w:b/>
          <w:bCs/>
          <w:sz w:val="32"/>
          <w:szCs w:val="32"/>
        </w:rPr>
        <w:t>住房保障支出</w:t>
      </w:r>
      <w:r>
        <w:rPr>
          <w:rFonts w:eastAsia="仿宋_GB2312"/>
          <w:sz w:val="32"/>
          <w:szCs w:val="32"/>
        </w:rPr>
        <w:t>78.27万元，占6.8%。</w:t>
      </w:r>
    </w:p>
    <w:p>
      <w:pPr>
        <w:jc w:val="center"/>
        <w:rPr>
          <w:rFonts w:eastAsia="仿宋_GB2312"/>
          <w:sz w:val="32"/>
          <w:szCs w:val="32"/>
        </w:rPr>
      </w:pPr>
      <w:r>
        <w:rPr>
          <w:rFonts w:eastAsia="仿宋_GB2312"/>
          <w:sz w:val="32"/>
          <w:szCs w:val="32"/>
        </w:rPr>
        <w:drawing>
          <wp:inline distT="0" distB="0" distL="0" distR="0">
            <wp:extent cx="4381500" cy="2556510"/>
            <wp:effectExtent l="0" t="0" r="0" b="0"/>
            <wp:docPr id="6" name="图表 17"/>
            <wp:cNvGraphicFramePr>
              <a:graphicFrameLocks noChangeAspect="0"/>
            </wp:cNvGraphicFramePr>
            <a:graphic>
              <a:graphicData uri="http://schemas.openxmlformats.org/drawingml/2006/chart">
                <c:chart xmlns:c="http://schemas.openxmlformats.org/drawingml/2006/chart" r:id="rId11"/>
              </a:graphicData>
            </a:graphic>
          </wp:inline>
        </w:drawing>
      </w:r>
    </w:p>
    <w:p>
      <w:pPr>
        <w:spacing w:line="578" w:lineRule="exact"/>
        <w:ind w:firstLineChars="200" w:firstLine="640"/>
        <w:jc w:val="center"/>
        <w:rPr>
          <w:rFonts w:eastAsia="仿宋_GB2312"/>
          <w:sz w:val="32"/>
          <w:szCs w:val="32"/>
        </w:rPr>
      </w:pPr>
      <w:r>
        <w:rPr>
          <w:rFonts w:eastAsia="仿宋_GB2312"/>
          <w:sz w:val="32"/>
          <w:szCs w:val="32"/>
        </w:rPr>
        <w:t>（图6：一般公共预算财政拨款支出决算结构）</w:t>
      </w:r>
    </w:p>
    <w:p>
      <w:pPr>
        <w:spacing w:line="578" w:lineRule="exact"/>
        <w:ind w:firstLineChars="200" w:firstLine="640"/>
        <w:outlineLvl w:val="2"/>
        <w:rPr>
          <w:rFonts w:eastAsia="仿宋_GB2312"/>
          <w:b/>
          <w:sz w:val="32"/>
          <w:szCs w:val="32"/>
        </w:rPr>
      </w:pPr>
      <w:bookmarkStart w:id="41" w:name="_Toc15377212"/>
      <w:r>
        <w:rPr>
          <w:rFonts w:eastAsia="仿宋_GB2312"/>
          <w:b/>
          <w:sz w:val="32"/>
          <w:szCs w:val="32"/>
        </w:rPr>
        <w:t>（三）一般公共预算财政拨款支出决算具体情况</w:t>
      </w:r>
      <w:bookmarkEnd w:id="41"/>
    </w:p>
    <w:p>
      <w:pPr>
        <w:spacing w:line="578" w:lineRule="exact"/>
        <w:ind w:firstLineChars="200" w:firstLine="640"/>
        <w:outlineLvl w:val="2"/>
        <w:rPr>
          <w:rFonts w:eastAsia="仿宋_GB2312"/>
          <w:sz w:val="32"/>
          <w:szCs w:val="32"/>
        </w:rPr>
      </w:pPr>
      <w:bookmarkStart w:id="42" w:name="_Toc15377213"/>
      <w:bookmarkStart w:id="43" w:name="_Toc15378460"/>
      <w:bookmarkStart w:id="44" w:name="_Toc15377444"/>
      <w:r>
        <w:rPr>
          <w:rFonts w:eastAsia="仿宋_GB2312"/>
          <w:b/>
          <w:sz w:val="32"/>
          <w:szCs w:val="32"/>
        </w:rPr>
        <w:t>2022年一般公共预算支出决算数为1213.39</w:t>
      </w:r>
      <w:r>
        <w:rPr>
          <w:rFonts w:eastAsia="仿宋_GB2312"/>
          <w:sz w:val="32"/>
          <w:szCs w:val="32"/>
        </w:rPr>
        <w:t>，</w:t>
      </w:r>
      <w:r>
        <w:rPr>
          <w:rStyle w:val="24"/>
          <w:rFonts w:eastAsia="仿宋_GB2312"/>
          <w:bCs/>
          <w:sz w:val="32"/>
          <w:szCs w:val="32"/>
        </w:rPr>
        <w:t>完成预算</w:t>
      </w:r>
      <w:r>
        <w:rPr>
          <w:rStyle w:val="24"/>
          <w:rFonts w:eastAsia="仿宋_GB2312" w:hint="eastAsia"/>
          <w:bCs/>
          <w:sz w:val="32"/>
          <w:szCs w:val="32"/>
        </w:rPr>
        <w:t>100</w:t>
      </w:r>
      <w:r>
        <w:rPr>
          <w:rStyle w:val="24"/>
          <w:rFonts w:eastAsia="仿宋_GB2312"/>
          <w:bCs/>
          <w:sz w:val="32"/>
          <w:szCs w:val="32"/>
        </w:rPr>
        <w:t>%。其中：</w:t>
      </w:r>
      <w:bookmarkEnd w:id="42"/>
      <w:bookmarkEnd w:id="43"/>
      <w:bookmarkEnd w:id="44"/>
    </w:p>
    <w:p>
      <w:pPr>
        <w:spacing w:line="578" w:lineRule="exact"/>
        <w:ind w:firstLineChars="200" w:firstLine="640"/>
        <w:rPr>
          <w:rFonts w:eastAsia="仿宋_GB2312"/>
          <w:bCs/>
          <w:sz w:val="32"/>
          <w:szCs w:val="32"/>
        </w:rPr>
      </w:pPr>
      <w:r>
        <w:rPr>
          <w:rStyle w:val="24"/>
          <w:rFonts w:eastAsia="仿宋_GB2312"/>
          <w:bCs/>
          <w:sz w:val="32"/>
          <w:szCs w:val="32"/>
        </w:rPr>
        <w:t>1.一般公共服务:</w:t>
      </w:r>
      <w:r>
        <w:rPr>
          <w:rStyle w:val="24"/>
          <w:rFonts w:eastAsia="仿宋_GB2312"/>
          <w:b w:val="0"/>
          <w:bCs/>
          <w:sz w:val="32"/>
          <w:szCs w:val="32"/>
        </w:rPr>
        <w:t>支出决算为2.80万元，完成预算100%，决算数大于预算数的主要原因是根据攀财资行〔2022〕98号文，支付2022年度市级挂职干部补助。</w:t>
      </w:r>
    </w:p>
    <w:p>
      <w:pPr>
        <w:spacing w:line="578" w:lineRule="exact"/>
        <w:ind w:firstLineChars="200" w:firstLine="640"/>
        <w:rPr>
          <w:rFonts w:eastAsia="仿宋_GB2312"/>
          <w:b/>
          <w:sz w:val="32"/>
          <w:szCs w:val="32"/>
        </w:rPr>
      </w:pPr>
      <w:r>
        <w:rPr>
          <w:rStyle w:val="24"/>
          <w:rFonts w:eastAsia="仿宋_GB2312"/>
          <w:bCs/>
          <w:sz w:val="32"/>
          <w:szCs w:val="32"/>
        </w:rPr>
        <w:t>2.社会保障和就业:</w:t>
      </w:r>
      <w:r>
        <w:rPr>
          <w:rStyle w:val="24"/>
          <w:rFonts w:eastAsia="仿宋_GB2312"/>
          <w:b w:val="0"/>
          <w:bCs/>
          <w:sz w:val="32"/>
          <w:szCs w:val="32"/>
        </w:rPr>
        <w:t>支出决算为</w:t>
      </w:r>
      <w:r>
        <w:rPr>
          <w:rFonts w:eastAsia="仿宋_GB2312"/>
          <w:sz w:val="32"/>
          <w:szCs w:val="32"/>
        </w:rPr>
        <w:t>99.83</w:t>
      </w:r>
      <w:r>
        <w:rPr>
          <w:rStyle w:val="24"/>
          <w:rFonts w:eastAsia="仿宋_GB2312"/>
          <w:b w:val="0"/>
          <w:bCs/>
          <w:sz w:val="32"/>
          <w:szCs w:val="32"/>
        </w:rPr>
        <w:t>万元，完成预算100%</w:t>
      </w:r>
      <w:r>
        <w:rPr>
          <w:rStyle w:val="24"/>
          <w:rFonts w:eastAsia="仿宋_GB2312" w:hint="eastAsia"/>
          <w:b w:val="0"/>
          <w:bCs/>
          <w:sz w:val="32"/>
          <w:szCs w:val="32"/>
        </w:rPr>
        <w:t>。</w:t>
      </w:r>
    </w:p>
    <w:p>
      <w:pPr>
        <w:spacing w:line="578" w:lineRule="exact"/>
        <w:ind w:firstLineChars="200" w:firstLine="640"/>
        <w:rPr>
          <w:rStyle w:val="24"/>
          <w:rFonts w:eastAsia="仿宋_GB2312"/>
          <w:b w:val="0"/>
          <w:bCs/>
          <w:sz w:val="32"/>
          <w:szCs w:val="32"/>
        </w:rPr>
      </w:pPr>
      <w:r>
        <w:rPr>
          <w:rStyle w:val="24"/>
          <w:rFonts w:eastAsia="仿宋_GB2312"/>
          <w:bCs/>
          <w:sz w:val="32"/>
          <w:szCs w:val="32"/>
        </w:rPr>
        <w:t>3.</w:t>
      </w:r>
      <w:r>
        <w:rPr>
          <w:rFonts w:eastAsia="仿宋_GB2312" w:hint="eastAsia"/>
          <w:b/>
          <w:bCs/>
          <w:sz w:val="32"/>
          <w:szCs w:val="32"/>
        </w:rPr>
        <w:t>卫生健康</w:t>
      </w:r>
      <w:r>
        <w:rPr>
          <w:rStyle w:val="24"/>
          <w:rFonts w:eastAsia="仿宋_GB2312"/>
          <w:bCs/>
          <w:sz w:val="32"/>
          <w:szCs w:val="32"/>
        </w:rPr>
        <w:t>:</w:t>
      </w:r>
      <w:r>
        <w:rPr>
          <w:rStyle w:val="24"/>
          <w:rFonts w:eastAsia="仿宋_GB2312" w:hint="eastAsia"/>
          <w:b w:val="0"/>
          <w:bCs/>
          <w:sz w:val="32"/>
          <w:szCs w:val="32"/>
        </w:rPr>
        <w:t>支出决算为</w:t>
      </w:r>
      <w:r>
        <w:rPr>
          <w:rFonts w:eastAsia="仿宋_GB2312"/>
          <w:sz w:val="32"/>
          <w:szCs w:val="32"/>
        </w:rPr>
        <w:t>1032.4</w:t>
      </w:r>
      <w:r>
        <w:rPr>
          <w:rFonts w:eastAsia="仿宋_GB2312" w:hint="eastAsia"/>
          <w:sz w:val="32"/>
          <w:szCs w:val="32"/>
        </w:rPr>
        <w:t>9</w:t>
      </w:r>
      <w:r>
        <w:rPr>
          <w:rStyle w:val="24"/>
          <w:rFonts w:eastAsia="仿宋_GB2312" w:hint="eastAsia"/>
          <w:b w:val="0"/>
          <w:bCs/>
          <w:sz w:val="32"/>
          <w:szCs w:val="32"/>
        </w:rPr>
        <w:t>万元，完成预算100</w:t>
      </w:r>
      <w:r>
        <w:rPr>
          <w:rStyle w:val="24"/>
          <w:rFonts w:eastAsia="仿宋_GB2312"/>
          <w:b w:val="0"/>
          <w:bCs/>
          <w:sz w:val="32"/>
          <w:szCs w:val="32"/>
        </w:rPr>
        <w:t>%</w:t>
      </w:r>
      <w:r>
        <w:rPr>
          <w:rStyle w:val="24"/>
          <w:rFonts w:eastAsia="仿宋_GB2312" w:hint="eastAsia"/>
          <w:b w:val="0"/>
          <w:bCs/>
          <w:sz w:val="32"/>
          <w:szCs w:val="32"/>
        </w:rPr>
        <w:t>。</w:t>
      </w:r>
    </w:p>
    <w:p>
      <w:pPr>
        <w:spacing w:line="578" w:lineRule="exact"/>
        <w:ind w:firstLineChars="200" w:firstLine="640"/>
        <w:rPr>
          <w:rStyle w:val="24"/>
          <w:rFonts w:eastAsia="仿宋_GB2312"/>
          <w:b w:val="0"/>
          <w:bCs/>
          <w:sz w:val="32"/>
          <w:szCs w:val="32"/>
        </w:rPr>
      </w:pPr>
      <w:r>
        <w:rPr>
          <w:rStyle w:val="24"/>
          <w:rFonts w:eastAsia="仿宋_GB2312"/>
          <w:bCs/>
          <w:sz w:val="32"/>
          <w:szCs w:val="32"/>
        </w:rPr>
        <w:t>4.</w:t>
      </w:r>
      <w:r>
        <w:rPr>
          <w:rFonts w:eastAsia="仿宋_GB2312"/>
          <w:b/>
          <w:bCs/>
          <w:sz w:val="32"/>
          <w:szCs w:val="32"/>
        </w:rPr>
        <w:t>住房保障支出</w:t>
      </w:r>
      <w:r>
        <w:rPr>
          <w:rStyle w:val="24"/>
          <w:rFonts w:eastAsia="仿宋_GB2312"/>
          <w:bCs/>
          <w:sz w:val="32"/>
          <w:szCs w:val="32"/>
        </w:rPr>
        <w:t>:</w:t>
      </w:r>
      <w:r>
        <w:rPr>
          <w:rStyle w:val="24"/>
          <w:rFonts w:eastAsia="仿宋_GB2312"/>
          <w:b w:val="0"/>
          <w:bCs/>
          <w:sz w:val="32"/>
          <w:szCs w:val="32"/>
        </w:rPr>
        <w:t>支出决算为</w:t>
      </w:r>
      <w:r>
        <w:rPr>
          <w:rFonts w:eastAsia="仿宋_GB2312"/>
          <w:sz w:val="32"/>
          <w:szCs w:val="32"/>
        </w:rPr>
        <w:t>78.27</w:t>
      </w:r>
      <w:r>
        <w:rPr>
          <w:rStyle w:val="24"/>
          <w:rFonts w:eastAsia="仿宋_GB2312"/>
          <w:b w:val="0"/>
          <w:bCs/>
          <w:sz w:val="32"/>
          <w:szCs w:val="32"/>
        </w:rPr>
        <w:t>万元，完成预算</w:t>
      </w:r>
      <w:r>
        <w:rPr>
          <w:rStyle w:val="24"/>
          <w:rFonts w:eastAsia="仿宋_GB2312" w:hint="eastAsia"/>
          <w:b w:val="0"/>
          <w:bCs/>
          <w:sz w:val="32"/>
          <w:szCs w:val="32"/>
        </w:rPr>
        <w:t>100</w:t>
      </w:r>
      <w:r>
        <w:rPr>
          <w:rStyle w:val="24"/>
          <w:rFonts w:eastAsia="仿宋_GB2312"/>
          <w:b w:val="0"/>
          <w:bCs/>
          <w:sz w:val="32"/>
          <w:szCs w:val="32"/>
        </w:rPr>
        <w:t>%</w:t>
      </w:r>
      <w:r>
        <w:rPr>
          <w:rStyle w:val="24"/>
          <w:rFonts w:eastAsia="仿宋_GB2312" w:hint="eastAsia"/>
          <w:b w:val="0"/>
          <w:bCs/>
          <w:sz w:val="32"/>
          <w:szCs w:val="32"/>
        </w:rPr>
        <w:t>。</w:t>
      </w:r>
    </w:p>
    <w:p>
      <w:pPr>
        <w:pStyle w:val="32"/>
        <w:spacing w:line="578" w:lineRule="exact"/>
        <w:outlineLvl w:val="1"/>
        <w:rPr>
          <w:rFonts w:eastAsia="黑体"/>
          <w:color w:val="000000"/>
          <w:sz w:val="32"/>
          <w:szCs w:val="32"/>
        </w:rPr>
      </w:pPr>
      <w:bookmarkStart w:id="45" w:name="_Toc15377214"/>
      <w:bookmarkStart w:id="46" w:name="_Toc15396608"/>
      <w:bookmarkStart w:id="47" w:name="_Toc2669"/>
      <w:r>
        <w:rPr>
          <w:rFonts w:eastAsia="黑体"/>
          <w:color w:val="000000"/>
          <w:sz w:val="32"/>
          <w:szCs w:val="32"/>
        </w:rPr>
        <w:t>六、一般公共预算财政拨款基本支出决算情况说明</w:t>
      </w:r>
      <w:bookmarkEnd w:id="45"/>
      <w:bookmarkEnd w:id="46"/>
      <w:bookmarkEnd w:id="47"/>
    </w:p>
    <w:p>
      <w:pPr>
        <w:spacing w:line="578" w:lineRule="exact"/>
        <w:ind w:firstLineChars="200" w:firstLine="640"/>
        <w:rPr>
          <w:rFonts w:eastAsia="仿宋_GB2312"/>
          <w:sz w:val="32"/>
          <w:szCs w:val="32"/>
        </w:rPr>
      </w:pPr>
      <w:r>
        <w:rPr>
          <w:rFonts w:eastAsia="仿宋_GB2312"/>
          <w:sz w:val="32"/>
          <w:szCs w:val="32"/>
        </w:rPr>
        <w:t>2022年一般公共预算财政拨款基本支出962.63万元，其中：</w:t>
      </w:r>
    </w:p>
    <w:p>
      <w:pPr>
        <w:spacing w:line="578" w:lineRule="exact"/>
        <w:ind w:firstLineChars="200" w:firstLine="640"/>
        <w:rPr>
          <w:rFonts w:eastAsia="仿宋_GB2312"/>
          <w:sz w:val="32"/>
          <w:szCs w:val="32"/>
        </w:rPr>
      </w:pPr>
      <w:r>
        <w:rPr>
          <w:rFonts w:eastAsia="仿宋_GB2312"/>
          <w:sz w:val="32"/>
          <w:szCs w:val="32"/>
        </w:rPr>
        <w:t>人员经费868.45万元，主要包括：基本工资、津贴补贴、奖金、机关事业单位基本养老保险缴费、其他社会保障缴费、其他工资福利支出、生活补助。</w:t>
      </w:r>
    </w:p>
    <w:p>
      <w:pPr>
        <w:spacing w:line="578" w:lineRule="exact"/>
        <w:ind w:firstLineChars="200" w:firstLine="640"/>
        <w:rPr>
          <w:rFonts w:eastAsia="仿宋_GB2312"/>
          <w:sz w:val="32"/>
          <w:szCs w:val="32"/>
        </w:rPr>
      </w:pPr>
      <w:r>
        <w:rPr>
          <w:rFonts w:eastAsia="仿宋_GB2312"/>
          <w:sz w:val="32"/>
          <w:szCs w:val="32"/>
        </w:rPr>
        <w:t>公用经费94.18万元，主要包括：办公费水费、电费、邮电费、差旅费、租赁费、公务接待费、工会经费、福利费、其他交通费、其他商品和服务支出。</w:t>
      </w:r>
    </w:p>
    <w:p>
      <w:pPr>
        <w:pStyle w:val="32"/>
        <w:spacing w:line="578" w:lineRule="exact"/>
        <w:ind w:firstLineChars="0" w:firstLine="0"/>
        <w:outlineLvl w:val="1"/>
        <w:rPr>
          <w:rFonts w:eastAsia="黑体"/>
          <w:color w:val="000000"/>
          <w:sz w:val="32"/>
          <w:szCs w:val="32"/>
        </w:rPr>
      </w:pPr>
      <w:bookmarkStart w:id="48" w:name="_Toc15396609"/>
      <w:bookmarkStart w:id="49" w:name="_Toc15377215"/>
      <w:bookmarkStart w:id="50" w:name="_Toc25602"/>
      <w:r>
        <w:rPr>
          <w:rFonts w:eastAsia="黑体"/>
          <w:color w:val="000000"/>
          <w:sz w:val="32"/>
          <w:szCs w:val="32"/>
        </w:rPr>
        <w:t>七、财政拨款“三公”经费支出决算情况说明</w:t>
      </w:r>
      <w:bookmarkEnd w:id="48"/>
      <w:bookmarkEnd w:id="49"/>
      <w:bookmarkEnd w:id="50"/>
    </w:p>
    <w:p>
      <w:pPr>
        <w:spacing w:line="578" w:lineRule="exact"/>
        <w:ind w:firstLineChars="200" w:firstLine="640"/>
        <w:outlineLvl w:val="2"/>
        <w:rPr>
          <w:rFonts w:eastAsia="仿宋_GB2312"/>
          <w:b/>
          <w:sz w:val="32"/>
          <w:szCs w:val="32"/>
        </w:rPr>
      </w:pPr>
      <w:bookmarkStart w:id="51" w:name="_Toc15377216"/>
      <w:r>
        <w:rPr>
          <w:rFonts w:eastAsia="仿宋_GB2312"/>
          <w:b/>
          <w:sz w:val="32"/>
          <w:szCs w:val="32"/>
        </w:rPr>
        <w:t>（一）“三公”经费财政拨款支出决算总体情况说明</w:t>
      </w:r>
      <w:bookmarkEnd w:id="51"/>
    </w:p>
    <w:p>
      <w:pPr>
        <w:spacing w:line="578" w:lineRule="exact"/>
        <w:ind w:firstLineChars="200" w:firstLine="640"/>
        <w:rPr>
          <w:rFonts w:eastAsia="仿宋_GB2312"/>
          <w:sz w:val="32"/>
          <w:szCs w:val="32"/>
        </w:rPr>
      </w:pPr>
      <w:r>
        <w:rPr>
          <w:rFonts w:eastAsia="仿宋_GB2312"/>
          <w:sz w:val="32"/>
          <w:szCs w:val="32"/>
        </w:rPr>
        <w:t>2022年“三公”经费财政拨款支出决算为0.73万元，完成预算70%，较上年减少0.31万元，下降30%。决算数小于预算数的主要原因是</w:t>
      </w:r>
      <w:r>
        <w:rPr>
          <w:rFonts w:eastAsia="仿宋_GB2312"/>
          <w:color w:val="000000"/>
          <w:sz w:val="32"/>
          <w:szCs w:val="32"/>
        </w:rPr>
        <w:t>我中心认真贯彻落实中央八项规定和省</w:t>
      </w:r>
      <w:r>
        <w:rPr>
          <w:rFonts w:eastAsia="仿宋_GB2312" w:hint="eastAsia"/>
          <w:color w:val="000000"/>
          <w:sz w:val="32"/>
          <w:szCs w:val="32"/>
        </w:rPr>
        <w:t>、</w:t>
      </w:r>
      <w:r>
        <w:rPr>
          <w:rFonts w:eastAsia="仿宋_GB2312"/>
          <w:color w:val="000000"/>
          <w:sz w:val="32"/>
          <w:szCs w:val="32"/>
        </w:rPr>
        <w:t>市十项规定，控制公务接待次数，严把接待支付</w:t>
      </w:r>
      <w:r>
        <w:rPr>
          <w:rFonts w:eastAsia="仿宋_GB2312" w:hint="eastAsia"/>
          <w:color w:val="000000"/>
          <w:sz w:val="32"/>
          <w:szCs w:val="32"/>
        </w:rPr>
        <w:t>审核</w:t>
      </w:r>
      <w:r>
        <w:rPr>
          <w:rFonts w:eastAsia="仿宋_GB2312"/>
          <w:color w:val="000000"/>
          <w:sz w:val="32"/>
          <w:szCs w:val="32"/>
        </w:rPr>
        <w:t>关，降低行政运行成本</w:t>
      </w:r>
      <w:r>
        <w:rPr>
          <w:rFonts w:eastAsia="仿宋_GB2312"/>
          <w:sz w:val="32"/>
          <w:szCs w:val="32"/>
        </w:rPr>
        <w:t>。</w:t>
      </w:r>
    </w:p>
    <w:p>
      <w:pPr>
        <w:spacing w:line="578" w:lineRule="exact"/>
        <w:ind w:firstLineChars="200" w:firstLine="640"/>
        <w:outlineLvl w:val="2"/>
        <w:rPr>
          <w:rFonts w:eastAsia="仿宋_GB2312"/>
          <w:b/>
          <w:sz w:val="32"/>
          <w:szCs w:val="32"/>
        </w:rPr>
      </w:pPr>
      <w:bookmarkStart w:id="52" w:name="_Toc15377217"/>
      <w:r>
        <w:rPr>
          <w:rFonts w:eastAsia="仿宋_GB2312"/>
          <w:b/>
          <w:sz w:val="32"/>
          <w:szCs w:val="32"/>
        </w:rPr>
        <w:t>（二）“三公”经费财政拨款支出决算具体情况说明</w:t>
      </w:r>
      <w:bookmarkEnd w:id="52"/>
    </w:p>
    <w:p>
      <w:pPr>
        <w:spacing w:line="578" w:lineRule="exact"/>
        <w:ind w:firstLineChars="200" w:firstLine="640"/>
        <w:rPr>
          <w:rFonts w:eastAsia="仿宋_GB2312"/>
          <w:sz w:val="32"/>
          <w:szCs w:val="32"/>
        </w:rPr>
      </w:pPr>
      <w:r>
        <w:rPr>
          <w:rFonts w:eastAsia="仿宋_GB2312"/>
          <w:sz w:val="32"/>
          <w:szCs w:val="32"/>
        </w:rPr>
        <w:t>2022年“三公”经费财政拨款支出决算中，因公出国（境）费支出决算0万元，占0%；公务用车购置及运行维护费支出决算0万元，占0%；公务接待费支出决算0.73万元，占100%。具体情况如下：</w:t>
      </w:r>
    </w:p>
    <w:p>
      <w:pPr>
        <w:ind w:firstLineChars="200" w:firstLine="640"/>
        <w:rPr>
          <w:rFonts w:eastAsia="仿宋_GB2312"/>
          <w:sz w:val="32"/>
          <w:szCs w:val="32"/>
        </w:rPr>
      </w:pPr>
      <w:r>
        <w:rPr>
          <w:rFonts w:eastAsia="仿宋_GB2312"/>
          <w:sz w:val="32"/>
          <w:szCs w:val="32"/>
        </w:rPr>
        <w:drawing>
          <wp:inline distT="0" distB="0" distL="114300" distR="114300">
            <wp:extent cx="4647565" cy="1854200"/>
            <wp:effectExtent l="0" t="0" r="0" b="0"/>
            <wp:docPr id="7" name="图表 1"/>
            <wp:cNvGraphicFramePr>
              <a:graphicFrameLocks noChangeAspect="0"/>
            </wp:cNvGraphicFramePr>
            <a:graphic>
              <a:graphicData uri="http://schemas.openxmlformats.org/drawingml/2006/chart">
                <c:chart xmlns:c="http://schemas.openxmlformats.org/drawingml/2006/chart" r:id="rId12"/>
              </a:graphicData>
            </a:graphic>
          </wp:inline>
        </w:drawing>
      </w:r>
    </w:p>
    <w:p>
      <w:pPr>
        <w:spacing w:line="578" w:lineRule="exact"/>
        <w:ind w:firstLineChars="200" w:firstLine="640"/>
        <w:jc w:val="center"/>
        <w:rPr>
          <w:rFonts w:eastAsia="仿宋_GB2312"/>
          <w:sz w:val="32"/>
          <w:szCs w:val="32"/>
        </w:rPr>
      </w:pPr>
      <w:r>
        <w:rPr>
          <w:rFonts w:eastAsia="仿宋_GB2312"/>
          <w:sz w:val="32"/>
          <w:szCs w:val="32"/>
        </w:rPr>
        <w:t>（图7：“三公”经费财政拨款支出结构）</w:t>
      </w:r>
    </w:p>
    <w:p>
      <w:pPr>
        <w:spacing w:line="578" w:lineRule="exact"/>
        <w:ind w:firstLineChars="200" w:firstLine="640"/>
        <w:rPr>
          <w:rFonts w:eastAsia="仿宋_GB2312"/>
          <w:b/>
          <w:sz w:val="32"/>
          <w:szCs w:val="32"/>
        </w:rPr>
      </w:pPr>
      <w:r>
        <w:rPr>
          <w:rFonts w:eastAsia="仿宋_GB2312"/>
          <w:b/>
          <w:sz w:val="32"/>
          <w:szCs w:val="32"/>
        </w:rPr>
        <w:t>1.因公出国（境）经费支出0</w:t>
      </w:r>
      <w:r>
        <w:rPr>
          <w:rFonts w:eastAsia="仿宋_GB2312"/>
          <w:sz w:val="32"/>
          <w:szCs w:val="32"/>
        </w:rPr>
        <w:t>万元，</w:t>
      </w:r>
      <w:r>
        <w:rPr>
          <w:rStyle w:val="24"/>
          <w:rFonts w:eastAsia="仿宋_GB2312"/>
          <w:b w:val="0"/>
          <w:bCs/>
          <w:sz w:val="32"/>
          <w:szCs w:val="32"/>
        </w:rPr>
        <w:t>完成预算0%。</w:t>
      </w:r>
      <w:r>
        <w:rPr>
          <w:rFonts w:eastAsia="仿宋_GB2312"/>
          <w:sz w:val="32"/>
          <w:szCs w:val="32"/>
        </w:rPr>
        <w:t>全年安排因公出国（境）团组0次，出国（境）0人。因公出国（境）支出决算比2021年持平。</w:t>
      </w:r>
    </w:p>
    <w:p>
      <w:pPr>
        <w:spacing w:line="578" w:lineRule="exact"/>
        <w:ind w:firstLineChars="200" w:firstLine="640"/>
        <w:rPr>
          <w:rFonts w:eastAsia="仿宋_GB2312"/>
          <w:b/>
          <w:sz w:val="32"/>
          <w:szCs w:val="32"/>
        </w:rPr>
      </w:pPr>
      <w:r>
        <w:rPr>
          <w:rFonts w:eastAsia="仿宋_GB2312"/>
          <w:b/>
          <w:sz w:val="32"/>
          <w:szCs w:val="32"/>
        </w:rPr>
        <w:t>2.公务用车购置及运行维护费支出</w:t>
      </w:r>
      <w:r>
        <w:rPr>
          <w:rFonts w:eastAsia="仿宋_GB2312"/>
          <w:sz w:val="32"/>
          <w:szCs w:val="32"/>
        </w:rPr>
        <w:t>0万元,</w:t>
      </w:r>
      <w:r>
        <w:rPr>
          <w:rStyle w:val="24"/>
          <w:rFonts w:eastAsia="仿宋_GB2312"/>
          <w:b w:val="0"/>
          <w:bCs/>
          <w:sz w:val="32"/>
          <w:szCs w:val="32"/>
        </w:rPr>
        <w:t>完成预算0%。</w:t>
      </w:r>
      <w:r>
        <w:rPr>
          <w:rFonts w:eastAsia="仿宋_GB2312"/>
          <w:sz w:val="32"/>
          <w:szCs w:val="32"/>
        </w:rPr>
        <w:t>公务用车购置及运行维护费支出决算比2021年持平。</w:t>
      </w:r>
    </w:p>
    <w:p>
      <w:pPr>
        <w:spacing w:line="578"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0万元。全年按规定更新购置公务用车0辆，其中：轿车0辆、金额0万元，越野车0辆、金额0万元，载客汽车0辆、金额0万元。截至2022年12月底，单位共有公务用车0辆，其中：轿车0辆、越野车0辆、载客汽车0辆。</w:t>
      </w:r>
    </w:p>
    <w:p>
      <w:pPr>
        <w:spacing w:line="578" w:lineRule="exact"/>
        <w:ind w:firstLineChars="200" w:firstLine="640"/>
        <w:rPr>
          <w:rFonts w:eastAsia="仿宋_GB2312"/>
          <w:sz w:val="32"/>
          <w:szCs w:val="32"/>
        </w:rPr>
      </w:pPr>
      <w:r>
        <w:rPr>
          <w:rFonts w:eastAsia="仿宋_GB2312"/>
          <w:b/>
          <w:sz w:val="32"/>
          <w:szCs w:val="32"/>
        </w:rPr>
        <w:t>公务用车运行维护费支出</w:t>
      </w:r>
      <w:r>
        <w:rPr>
          <w:rFonts w:eastAsia="仿宋_GB2312"/>
          <w:sz w:val="32"/>
          <w:szCs w:val="32"/>
        </w:rPr>
        <w:t>0万元。</w:t>
      </w:r>
    </w:p>
    <w:p>
      <w:pPr>
        <w:spacing w:line="578" w:lineRule="exact"/>
        <w:ind w:firstLineChars="200" w:firstLine="640"/>
        <w:rPr>
          <w:rFonts w:eastAsia="仿宋_GB2312"/>
          <w:sz w:val="32"/>
          <w:szCs w:val="32"/>
        </w:rPr>
      </w:pPr>
      <w:r>
        <w:rPr>
          <w:rFonts w:eastAsia="仿宋_GB2312"/>
          <w:b/>
          <w:sz w:val="32"/>
          <w:szCs w:val="32"/>
        </w:rPr>
        <w:t>3.公务接待费支出</w:t>
      </w:r>
      <w:r>
        <w:rPr>
          <w:rFonts w:eastAsia="仿宋_GB2312"/>
          <w:sz w:val="32"/>
          <w:szCs w:val="32"/>
        </w:rPr>
        <w:t>0.73万元，</w:t>
      </w:r>
      <w:r>
        <w:rPr>
          <w:rStyle w:val="24"/>
          <w:rFonts w:eastAsia="仿宋_GB2312"/>
          <w:b w:val="0"/>
          <w:bCs/>
          <w:sz w:val="32"/>
          <w:szCs w:val="32"/>
        </w:rPr>
        <w:t>完成预算70%。</w:t>
      </w:r>
      <w:r>
        <w:rPr>
          <w:rFonts w:eastAsia="仿宋_GB2312"/>
          <w:sz w:val="32"/>
          <w:szCs w:val="32"/>
        </w:rPr>
        <w:t>公务接待费支出决算比2021年减少0.31万元，下降30%。主要原因是</w:t>
      </w:r>
      <w:r>
        <w:rPr>
          <w:rFonts w:eastAsia="仿宋_GB2312"/>
          <w:color w:val="000000"/>
          <w:sz w:val="32"/>
          <w:szCs w:val="32"/>
        </w:rPr>
        <w:t>我中心认真贯彻落实中央八项规定和省市十项规定，控制公务接待次数，严把接待支付关，降低行政运行成本</w:t>
      </w:r>
      <w:r>
        <w:rPr>
          <w:rFonts w:eastAsia="仿宋_GB2312"/>
          <w:sz w:val="32"/>
          <w:szCs w:val="32"/>
        </w:rPr>
        <w:t>。其中：</w:t>
      </w:r>
    </w:p>
    <w:p>
      <w:pPr>
        <w:spacing w:line="578" w:lineRule="exact"/>
        <w:ind w:firstLineChars="200" w:firstLine="640"/>
        <w:rPr>
          <w:rFonts w:eastAsia="仿宋_GB2312"/>
          <w:color w:val="000000"/>
          <w:sz w:val="32"/>
          <w:szCs w:val="32"/>
        </w:rPr>
      </w:pPr>
      <w:r>
        <w:rPr>
          <w:rFonts w:eastAsia="仿宋_GB2312"/>
          <w:b/>
          <w:color w:val="000000"/>
          <w:sz w:val="32"/>
          <w:szCs w:val="32"/>
        </w:rPr>
        <w:t>国内公务接待支出</w:t>
      </w:r>
      <w:r>
        <w:rPr>
          <w:rFonts w:eastAsia="仿宋_GB2312"/>
          <w:color w:val="000000"/>
          <w:sz w:val="32"/>
          <w:szCs w:val="32"/>
        </w:rPr>
        <w:t>0.73万元，主要用于执行公务接待费。国内公务接待7批次，41人次（不包括陪同人员），共计支出0.73万元，具体内容包括：</w:t>
      </w:r>
    </w:p>
    <w:p>
      <w:pPr>
        <w:spacing w:line="578" w:lineRule="exact"/>
        <w:ind w:firstLineChars="200" w:firstLine="640"/>
        <w:rPr>
          <w:rFonts w:eastAsia="仿宋_GB2312"/>
          <w:color w:val="000000"/>
          <w:sz w:val="32"/>
          <w:szCs w:val="32"/>
        </w:rPr>
      </w:pPr>
      <w:r>
        <w:rPr>
          <w:rFonts w:eastAsia="仿宋_GB2312"/>
          <w:color w:val="000000"/>
          <w:sz w:val="32"/>
          <w:szCs w:val="32"/>
        </w:rPr>
        <w:t>1、接待省医保中心关于调研学习医疗保障基金监管工作，接待人次5人，陪餐</w:t>
      </w:r>
      <w:r>
        <w:rPr>
          <w:rFonts w:eastAsia="仿宋_GB2312" w:hint="eastAsia"/>
          <w:color w:val="000000"/>
          <w:sz w:val="32"/>
          <w:szCs w:val="32"/>
        </w:rPr>
        <w:t>人员</w:t>
      </w:r>
      <w:r>
        <w:rPr>
          <w:rFonts w:eastAsia="仿宋_GB2312"/>
          <w:color w:val="000000"/>
          <w:sz w:val="32"/>
          <w:szCs w:val="32"/>
        </w:rPr>
        <w:t>3人，公务接待支出0.12万元。</w:t>
      </w:r>
    </w:p>
    <w:p>
      <w:pPr>
        <w:spacing w:line="578" w:lineRule="exact"/>
        <w:ind w:firstLineChars="200" w:firstLine="640"/>
        <w:rPr>
          <w:rFonts w:eastAsia="仿宋_GB2312"/>
          <w:color w:val="000000"/>
          <w:sz w:val="32"/>
          <w:szCs w:val="32"/>
        </w:rPr>
      </w:pPr>
      <w:r>
        <w:rPr>
          <w:rFonts w:eastAsia="仿宋_GB2312"/>
          <w:color w:val="000000"/>
          <w:sz w:val="32"/>
          <w:szCs w:val="32"/>
        </w:rPr>
        <w:t>2、接待全国医疗保障服务示范点验收工作组，接待人次5人，陪餐</w:t>
      </w:r>
      <w:r>
        <w:rPr>
          <w:rFonts w:eastAsia="仿宋_GB2312" w:hint="eastAsia"/>
          <w:color w:val="000000"/>
          <w:sz w:val="32"/>
          <w:szCs w:val="32"/>
        </w:rPr>
        <w:t>人员</w:t>
      </w:r>
      <w:r>
        <w:rPr>
          <w:rFonts w:eastAsia="仿宋_GB2312"/>
          <w:color w:val="000000"/>
          <w:sz w:val="32"/>
          <w:szCs w:val="32"/>
        </w:rPr>
        <w:t>3人，工作人员3人，公务接待支出0.09万元。</w:t>
      </w:r>
    </w:p>
    <w:p>
      <w:pPr>
        <w:spacing w:line="578" w:lineRule="exact"/>
        <w:ind w:firstLineChars="200" w:firstLine="640"/>
        <w:rPr>
          <w:rFonts w:eastAsia="仿宋_GB2312"/>
          <w:color w:val="000000"/>
          <w:sz w:val="32"/>
          <w:szCs w:val="32"/>
        </w:rPr>
      </w:pPr>
      <w:r>
        <w:rPr>
          <w:rFonts w:eastAsia="仿宋_GB2312"/>
          <w:color w:val="000000"/>
          <w:sz w:val="32"/>
          <w:szCs w:val="32"/>
        </w:rPr>
        <w:t>3、接待贵州省医保局来攀开展DRG支付方式改革调研，接待人次5人，陪餐</w:t>
      </w:r>
      <w:r>
        <w:rPr>
          <w:rFonts w:eastAsia="仿宋_GB2312" w:hint="eastAsia"/>
          <w:color w:val="000000"/>
          <w:sz w:val="32"/>
          <w:szCs w:val="32"/>
        </w:rPr>
        <w:t>人员</w:t>
      </w:r>
      <w:r>
        <w:rPr>
          <w:rFonts w:eastAsia="仿宋_GB2312"/>
          <w:color w:val="000000"/>
          <w:sz w:val="32"/>
          <w:szCs w:val="32"/>
        </w:rPr>
        <w:t>3人，公务接待支出0.08万元。</w:t>
      </w:r>
    </w:p>
    <w:p>
      <w:pPr>
        <w:spacing w:line="578" w:lineRule="exact"/>
        <w:ind w:firstLineChars="200" w:firstLine="640"/>
        <w:rPr>
          <w:rFonts w:eastAsia="仿宋_GB2312"/>
          <w:color w:val="000000"/>
          <w:sz w:val="32"/>
          <w:szCs w:val="32"/>
        </w:rPr>
      </w:pPr>
      <w:r>
        <w:rPr>
          <w:rFonts w:eastAsia="仿宋_GB2312"/>
          <w:color w:val="000000"/>
          <w:sz w:val="32"/>
          <w:szCs w:val="32"/>
        </w:rPr>
        <w:t>4、接待乐山市医疗保障局关于赴攀枝花开展口腔种植牙收费和医疗服务价格调查登记交叉抽查，接待人次4人，陪餐</w:t>
      </w:r>
      <w:r>
        <w:rPr>
          <w:rFonts w:eastAsia="仿宋_GB2312" w:hint="eastAsia"/>
          <w:color w:val="000000"/>
          <w:sz w:val="32"/>
          <w:szCs w:val="32"/>
        </w:rPr>
        <w:t>人员</w:t>
      </w:r>
      <w:r>
        <w:rPr>
          <w:rFonts w:eastAsia="仿宋_GB2312"/>
          <w:color w:val="000000"/>
          <w:sz w:val="32"/>
          <w:szCs w:val="32"/>
        </w:rPr>
        <w:t>2人，工作人员2人，公务接待支出0.11万元。</w:t>
      </w:r>
    </w:p>
    <w:p>
      <w:pPr>
        <w:spacing w:line="578" w:lineRule="exact"/>
        <w:ind w:firstLineChars="200" w:firstLine="640"/>
        <w:rPr>
          <w:rFonts w:eastAsia="仿宋_GB2312"/>
          <w:color w:val="000000"/>
          <w:sz w:val="32"/>
          <w:szCs w:val="32"/>
        </w:rPr>
      </w:pPr>
      <w:r>
        <w:rPr>
          <w:rFonts w:eastAsia="仿宋_GB2312"/>
          <w:color w:val="000000"/>
          <w:sz w:val="32"/>
          <w:szCs w:val="32"/>
        </w:rPr>
        <w:t>5、接待省药招中心参加我市公立医疗机构上线药械集中采购及医药价格监管平台动员会，接待人次3人，陪餐</w:t>
      </w:r>
      <w:r>
        <w:rPr>
          <w:rFonts w:eastAsia="仿宋_GB2312" w:hint="eastAsia"/>
          <w:color w:val="000000"/>
          <w:sz w:val="32"/>
          <w:szCs w:val="32"/>
        </w:rPr>
        <w:t>人员</w:t>
      </w:r>
      <w:r>
        <w:rPr>
          <w:rFonts w:eastAsia="仿宋_GB2312"/>
          <w:color w:val="000000"/>
          <w:sz w:val="32"/>
          <w:szCs w:val="32"/>
        </w:rPr>
        <w:t>2人，公务接待支出0.09万元</w:t>
      </w:r>
    </w:p>
    <w:p>
      <w:pPr>
        <w:spacing w:line="578" w:lineRule="exact"/>
        <w:ind w:firstLineChars="200" w:firstLine="640"/>
        <w:rPr>
          <w:rFonts w:eastAsia="仿宋_GB2312"/>
          <w:color w:val="000000"/>
          <w:sz w:val="32"/>
          <w:szCs w:val="32"/>
        </w:rPr>
      </w:pPr>
      <w:r>
        <w:rPr>
          <w:rFonts w:eastAsia="仿宋_GB2312"/>
          <w:color w:val="000000"/>
          <w:sz w:val="32"/>
          <w:szCs w:val="32"/>
        </w:rPr>
        <w:t>6、接待省医保局赴攀枝花</w:t>
      </w:r>
      <w:r>
        <w:rPr>
          <w:rFonts w:eastAsia="仿宋_GB2312" w:hint="eastAsia"/>
          <w:color w:val="000000"/>
          <w:sz w:val="32"/>
          <w:szCs w:val="32"/>
        </w:rPr>
        <w:t>市</w:t>
      </w:r>
      <w:r>
        <w:rPr>
          <w:rFonts w:eastAsia="仿宋_GB2312"/>
          <w:color w:val="000000"/>
          <w:sz w:val="32"/>
          <w:szCs w:val="32"/>
        </w:rPr>
        <w:t>开展2022年全省基金监管督查巡查及经办服务调研，接待人次5人，陪餐</w:t>
      </w:r>
      <w:r>
        <w:rPr>
          <w:rFonts w:eastAsia="仿宋_GB2312" w:hint="eastAsia"/>
          <w:color w:val="000000"/>
          <w:sz w:val="32"/>
          <w:szCs w:val="32"/>
        </w:rPr>
        <w:t>人员</w:t>
      </w:r>
      <w:r>
        <w:rPr>
          <w:rFonts w:eastAsia="仿宋_GB2312"/>
          <w:color w:val="000000"/>
          <w:sz w:val="32"/>
          <w:szCs w:val="32"/>
        </w:rPr>
        <w:t>2人，工作人员2人，公务接待支出0.10万元</w:t>
      </w:r>
    </w:p>
    <w:p>
      <w:pPr>
        <w:spacing w:line="578" w:lineRule="exact"/>
        <w:ind w:firstLineChars="200" w:firstLine="640"/>
        <w:rPr>
          <w:rFonts w:eastAsia="仿宋_GB2312"/>
          <w:color w:val="000000"/>
          <w:sz w:val="32"/>
          <w:szCs w:val="32"/>
        </w:rPr>
      </w:pPr>
      <w:r>
        <w:rPr>
          <w:rFonts w:eastAsia="仿宋_GB2312"/>
          <w:color w:val="000000"/>
          <w:sz w:val="32"/>
          <w:szCs w:val="32"/>
        </w:rPr>
        <w:t>7、接待省医疗保障局赴攀枝花市开展工作调研，接待人次5人，陪餐</w:t>
      </w:r>
      <w:r>
        <w:rPr>
          <w:rFonts w:eastAsia="仿宋_GB2312" w:hint="eastAsia"/>
          <w:color w:val="000000"/>
          <w:sz w:val="32"/>
          <w:szCs w:val="32"/>
        </w:rPr>
        <w:t>人员</w:t>
      </w:r>
      <w:r>
        <w:rPr>
          <w:rFonts w:eastAsia="仿宋_GB2312"/>
          <w:color w:val="000000"/>
          <w:sz w:val="32"/>
          <w:szCs w:val="32"/>
        </w:rPr>
        <w:t>2人，工作人员2人，公务接待支出0.14万元</w:t>
      </w:r>
    </w:p>
    <w:p>
      <w:pPr>
        <w:spacing w:line="578" w:lineRule="exact"/>
        <w:ind w:firstLineChars="200" w:firstLine="640"/>
        <w:rPr>
          <w:rFonts w:eastAsia="仿宋_GB2312"/>
          <w:sz w:val="32"/>
          <w:szCs w:val="32"/>
        </w:rPr>
      </w:pPr>
      <w:r>
        <w:rPr>
          <w:rFonts w:eastAsia="仿宋_GB2312"/>
          <w:b/>
          <w:sz w:val="32"/>
          <w:szCs w:val="32"/>
        </w:rPr>
        <w:t>外事接待支出</w:t>
      </w:r>
      <w:r>
        <w:rPr>
          <w:rFonts w:eastAsia="仿宋_GB2312"/>
          <w:sz w:val="32"/>
          <w:szCs w:val="32"/>
        </w:rPr>
        <w:t>0万元。外事接待0批次，0人次（不包括陪同人员），共计支出0万元。</w:t>
      </w:r>
    </w:p>
    <w:p>
      <w:pPr>
        <w:pStyle w:val="32"/>
        <w:spacing w:line="578" w:lineRule="exact"/>
        <w:outlineLvl w:val="1"/>
        <w:rPr>
          <w:rFonts w:eastAsia="黑体"/>
          <w:color w:val="000000"/>
          <w:sz w:val="32"/>
          <w:szCs w:val="32"/>
        </w:rPr>
      </w:pPr>
      <w:bookmarkStart w:id="53" w:name="_Toc14310"/>
      <w:bookmarkStart w:id="54" w:name="_Toc15396610"/>
      <w:bookmarkStart w:id="55" w:name="_Toc15377218"/>
      <w:r>
        <w:rPr>
          <w:rFonts w:eastAsia="黑体"/>
          <w:color w:val="000000"/>
          <w:sz w:val="32"/>
          <w:szCs w:val="32"/>
        </w:rPr>
        <w:t>八、政府性基金预算支出决算情况说明</w:t>
      </w:r>
      <w:bookmarkEnd w:id="53"/>
      <w:bookmarkEnd w:id="54"/>
      <w:bookmarkEnd w:id="55"/>
    </w:p>
    <w:p>
      <w:pPr>
        <w:spacing w:line="578" w:lineRule="exact"/>
        <w:ind w:firstLineChars="200" w:firstLine="640"/>
        <w:rPr>
          <w:rFonts w:eastAsia="仿宋_GB2312"/>
          <w:sz w:val="32"/>
          <w:szCs w:val="32"/>
        </w:rPr>
      </w:pPr>
      <w:r>
        <w:rPr>
          <w:rFonts w:eastAsia="仿宋_GB2312"/>
          <w:sz w:val="32"/>
          <w:szCs w:val="32"/>
        </w:rPr>
        <w:t>2022年政府性基金预算财政拨款支出0万元。</w:t>
      </w:r>
    </w:p>
    <w:p>
      <w:pPr>
        <w:pStyle w:val="32"/>
        <w:spacing w:line="578" w:lineRule="exact"/>
        <w:outlineLvl w:val="1"/>
        <w:rPr>
          <w:rFonts w:eastAsia="黑体"/>
          <w:color w:val="000000"/>
          <w:sz w:val="32"/>
          <w:szCs w:val="32"/>
        </w:rPr>
      </w:pPr>
      <w:bookmarkStart w:id="56" w:name="_Toc15377219"/>
      <w:bookmarkStart w:id="57" w:name="_Toc15396611"/>
      <w:bookmarkStart w:id="58" w:name="_Toc18820"/>
      <w:r>
        <w:rPr>
          <w:rFonts w:eastAsia="黑体"/>
          <w:color w:val="000000"/>
          <w:sz w:val="32"/>
          <w:szCs w:val="32"/>
        </w:rPr>
        <w:t>九、国有资本经营预算支出决算情况说明</w:t>
      </w:r>
      <w:bookmarkEnd w:id="56"/>
      <w:bookmarkEnd w:id="57"/>
      <w:bookmarkEnd w:id="58"/>
    </w:p>
    <w:p>
      <w:pPr>
        <w:spacing w:line="578" w:lineRule="exact"/>
        <w:ind w:firstLineChars="200" w:firstLine="640"/>
        <w:rPr>
          <w:rFonts w:eastAsia="仿宋_GB2312"/>
          <w:sz w:val="32"/>
          <w:szCs w:val="32"/>
        </w:rPr>
      </w:pPr>
      <w:r>
        <w:rPr>
          <w:rFonts w:eastAsia="仿宋_GB2312"/>
          <w:sz w:val="32"/>
          <w:szCs w:val="32"/>
        </w:rPr>
        <w:t>2022年国有资本经营预算财政拨款支出0万元。</w:t>
      </w:r>
    </w:p>
    <w:p>
      <w:pPr>
        <w:pStyle w:val="32"/>
        <w:spacing w:line="578" w:lineRule="exact"/>
        <w:outlineLvl w:val="1"/>
        <w:rPr>
          <w:rFonts w:eastAsia="黑体"/>
          <w:color w:val="000000"/>
          <w:sz w:val="32"/>
          <w:szCs w:val="32"/>
        </w:rPr>
      </w:pPr>
      <w:bookmarkStart w:id="59" w:name="_Toc15377221"/>
      <w:bookmarkStart w:id="60" w:name="_Toc15396612"/>
      <w:bookmarkStart w:id="61" w:name="_Toc7994"/>
      <w:r>
        <w:rPr>
          <w:rFonts w:eastAsia="黑体"/>
          <w:color w:val="000000"/>
          <w:sz w:val="32"/>
          <w:szCs w:val="32"/>
        </w:rPr>
        <w:t>十、其他重要事项的情况说明</w:t>
      </w:r>
      <w:bookmarkEnd w:id="59"/>
      <w:bookmarkEnd w:id="60"/>
      <w:bookmarkEnd w:id="61"/>
    </w:p>
    <w:p>
      <w:pPr>
        <w:spacing w:line="578" w:lineRule="exact"/>
        <w:ind w:firstLineChars="200" w:firstLine="640"/>
        <w:outlineLvl w:val="2"/>
        <w:rPr>
          <w:rFonts w:eastAsia="仿宋_GB2312"/>
          <w:sz w:val="32"/>
          <w:szCs w:val="32"/>
        </w:rPr>
      </w:pPr>
      <w:bookmarkStart w:id="62" w:name="_Toc15377222"/>
      <w:r>
        <w:rPr>
          <w:rFonts w:eastAsia="仿宋_GB2312"/>
          <w:b/>
          <w:sz w:val="32"/>
          <w:szCs w:val="32"/>
        </w:rPr>
        <w:t>（一）机关运行经费支出情况</w:t>
      </w:r>
      <w:bookmarkEnd w:id="62"/>
    </w:p>
    <w:p>
      <w:pPr>
        <w:spacing w:line="578" w:lineRule="exact"/>
        <w:ind w:firstLineChars="200" w:firstLine="640"/>
        <w:rPr>
          <w:rFonts w:eastAsia="仿宋_GB2312"/>
          <w:sz w:val="32"/>
          <w:szCs w:val="32"/>
        </w:rPr>
      </w:pPr>
      <w:r>
        <w:rPr>
          <w:rFonts w:eastAsia="仿宋_GB2312"/>
          <w:sz w:val="32"/>
          <w:szCs w:val="32"/>
        </w:rPr>
        <w:t>2022年，攀枝花市医疗保障事务中心机关运行经费支出94.18万元，比2021年减少10.55万元，下降10%。主要原因是厉行节约、反对浪费、压缩开支。</w:t>
      </w:r>
    </w:p>
    <w:p>
      <w:pPr>
        <w:autoSpaceDE w:val="0"/>
        <w:autoSpaceDN w:val="0"/>
        <w:adjustRightInd w:val="0"/>
        <w:spacing w:line="578" w:lineRule="exact"/>
        <w:ind w:firstLineChars="200" w:firstLine="640"/>
        <w:outlineLvl w:val="2"/>
        <w:rPr>
          <w:rFonts w:eastAsia="仿宋_GB2312"/>
          <w:b/>
          <w:sz w:val="32"/>
          <w:szCs w:val="32"/>
        </w:rPr>
      </w:pPr>
      <w:bookmarkStart w:id="63" w:name="_Toc15377223"/>
      <w:r>
        <w:rPr>
          <w:rFonts w:eastAsia="仿宋_GB2312"/>
          <w:b/>
          <w:sz w:val="32"/>
          <w:szCs w:val="32"/>
        </w:rPr>
        <w:t>（二）政府采购支出情况</w:t>
      </w:r>
      <w:bookmarkEnd w:id="63"/>
    </w:p>
    <w:p>
      <w:pPr>
        <w:spacing w:line="578" w:lineRule="exact"/>
        <w:ind w:firstLineChars="200" w:firstLine="640"/>
        <w:rPr>
          <w:rFonts w:eastAsia="仿宋_GB2312"/>
          <w:sz w:val="32"/>
          <w:szCs w:val="32"/>
        </w:rPr>
      </w:pPr>
      <w:r>
        <w:rPr>
          <w:rFonts w:eastAsia="仿宋_GB2312"/>
          <w:sz w:val="32"/>
          <w:szCs w:val="32"/>
        </w:rPr>
        <w:t>2022年，攀枝花市医疗保障事务中心政府采购支出总额0万元，其中：政府采购货物支出0万元、政府采购工程支出0万元、政府采购服务支出0万元。。授予中小企业合同金额0万元，占政府采购支出总额的0%。</w:t>
      </w:r>
    </w:p>
    <w:p>
      <w:pPr>
        <w:autoSpaceDE w:val="0"/>
        <w:autoSpaceDN w:val="0"/>
        <w:adjustRightInd w:val="0"/>
        <w:spacing w:line="578" w:lineRule="exact"/>
        <w:ind w:firstLineChars="200" w:firstLine="640"/>
        <w:outlineLvl w:val="2"/>
        <w:rPr>
          <w:rFonts w:eastAsia="仿宋_GB2312"/>
          <w:b/>
          <w:sz w:val="32"/>
          <w:szCs w:val="32"/>
        </w:rPr>
      </w:pPr>
      <w:bookmarkStart w:id="64" w:name="_Toc15377224"/>
      <w:r>
        <w:rPr>
          <w:rFonts w:eastAsia="仿宋_GB2312"/>
          <w:b/>
          <w:sz w:val="32"/>
          <w:szCs w:val="32"/>
        </w:rPr>
        <w:t>（三）国有资产占有使用情况</w:t>
      </w:r>
      <w:bookmarkEnd w:id="64"/>
    </w:p>
    <w:p>
      <w:pPr>
        <w:spacing w:line="578" w:lineRule="exact"/>
        <w:ind w:firstLineChars="200" w:firstLine="640"/>
        <w:rPr>
          <w:rFonts w:eastAsia="仿宋_GB2312"/>
          <w:sz w:val="32"/>
          <w:szCs w:val="32"/>
        </w:rPr>
      </w:pPr>
      <w:r>
        <w:rPr>
          <w:rFonts w:eastAsia="仿宋_GB2312"/>
          <w:sz w:val="32"/>
          <w:szCs w:val="32"/>
        </w:rPr>
        <w:t>截至2022年12月31日，攀枝花市医疗保障事务中心共有车辆0辆，其中：主要领导干部用车0辆、机要通信用车0辆、应急保障用车0辆、其他用车0辆。单价100万元以上专用设备0台（套）。</w:t>
      </w:r>
    </w:p>
    <w:p>
      <w:pPr>
        <w:autoSpaceDE w:val="0"/>
        <w:autoSpaceDN w:val="0"/>
        <w:adjustRightInd w:val="0"/>
        <w:spacing w:line="578" w:lineRule="exact"/>
        <w:ind w:firstLineChars="200" w:firstLine="640"/>
        <w:outlineLvl w:val="2"/>
        <w:rPr>
          <w:rFonts w:eastAsia="仿宋_GB2312"/>
          <w:b/>
          <w:sz w:val="32"/>
          <w:szCs w:val="32"/>
        </w:rPr>
      </w:pPr>
      <w:r>
        <w:rPr>
          <w:rFonts w:eastAsia="仿宋_GB2312"/>
          <w:b/>
          <w:sz w:val="32"/>
          <w:szCs w:val="32"/>
        </w:rPr>
        <w:t>（四）预算绩效管理情况</w:t>
      </w:r>
    </w:p>
    <w:p>
      <w:pPr>
        <w:pStyle w:val="35"/>
        <w:spacing w:line="578" w:lineRule="exact"/>
        <w:ind w:firstLineChars="200" w:firstLine="640"/>
        <w:rPr>
          <w:rFonts w:ascii="Times New Roman" w:eastAsia="仿宋_GB2312" w:hAnsi="Times New Roman"/>
          <w:sz w:val="32"/>
          <w:szCs w:val="32"/>
        </w:rPr>
      </w:pPr>
      <w:r>
        <w:rPr>
          <w:rFonts w:ascii="Times New Roman" w:eastAsia="仿宋_GB2312" w:hAnsi="Times New Roman"/>
          <w:kern w:val="2"/>
          <w:sz w:val="32"/>
          <w:szCs w:val="32"/>
        </w:rPr>
        <w:t>根据预算绩效管理要求，攀枝花市医疗保障事务中心在2022年度预算编制阶段，组织对</w:t>
      </w:r>
      <w:r>
        <w:rPr>
          <w:rFonts w:ascii="Times New Roman" w:eastAsia="仿宋_GB2312" w:hAnsi="Times New Roman"/>
          <w:color w:val="auto"/>
          <w:sz w:val="32"/>
          <w:szCs w:val="32"/>
        </w:rPr>
        <w:t>“2022年度预算编</w:t>
      </w:r>
      <w:r>
        <w:rPr>
          <w:rFonts w:ascii="Times New Roman" w:eastAsia="仿宋_GB2312" w:hAnsi="Times New Roman"/>
          <w:sz w:val="32"/>
          <w:szCs w:val="32"/>
        </w:rPr>
        <w:t>贯彻执行国家15项医保信息业务编码</w:t>
      </w:r>
      <w:r>
        <w:rPr>
          <w:rFonts w:ascii="Times New Roman" w:eastAsia="仿宋_GB2312" w:hAnsi="Times New Roman"/>
          <w:color w:val="auto"/>
          <w:sz w:val="32"/>
          <w:szCs w:val="32"/>
        </w:rPr>
        <w:t>”“</w:t>
      </w:r>
      <w:r>
        <w:rPr>
          <w:rFonts w:ascii="Times New Roman" w:eastAsia="仿宋_GB2312" w:hAnsi="Times New Roman"/>
          <w:sz w:val="32"/>
          <w:szCs w:val="32"/>
        </w:rPr>
        <w:t>医保定点医疗机构监管</w:t>
      </w:r>
      <w:r>
        <w:rPr>
          <w:rFonts w:ascii="Times New Roman" w:eastAsia="仿宋_GB2312" w:hAnsi="Times New Roman"/>
          <w:color w:val="auto"/>
          <w:sz w:val="32"/>
          <w:szCs w:val="32"/>
        </w:rPr>
        <w:t>”“</w:t>
      </w:r>
      <w:r>
        <w:rPr>
          <w:rFonts w:ascii="Times New Roman" w:eastAsia="仿宋_GB2312" w:hAnsi="Times New Roman"/>
          <w:sz w:val="32"/>
          <w:szCs w:val="32"/>
        </w:rPr>
        <w:t>医疗保障宣传项目</w:t>
      </w:r>
      <w:r>
        <w:rPr>
          <w:rFonts w:ascii="Times New Roman" w:eastAsia="仿宋_GB2312" w:hAnsi="Times New Roman"/>
          <w:color w:val="auto"/>
          <w:sz w:val="32"/>
          <w:szCs w:val="32"/>
        </w:rPr>
        <w:t>”等4个</w:t>
      </w:r>
      <w:r>
        <w:rPr>
          <w:rFonts w:ascii="Times New Roman" w:eastAsia="仿宋_GB2312" w:hAnsi="Times New Roman"/>
          <w:kern w:val="2"/>
          <w:sz w:val="32"/>
          <w:szCs w:val="32"/>
        </w:rPr>
        <w:t>项目开展了预算事前绩效评估，对</w:t>
      </w:r>
      <w:r>
        <w:rPr>
          <w:rFonts w:ascii="Times New Roman" w:eastAsia="仿宋_GB2312" w:hAnsi="Times New Roman"/>
          <w:color w:val="auto"/>
          <w:sz w:val="32"/>
          <w:szCs w:val="32"/>
        </w:rPr>
        <w:t>4</w:t>
      </w:r>
      <w:r>
        <w:rPr>
          <w:rFonts w:ascii="Times New Roman" w:eastAsia="仿宋_GB2312" w:hAnsi="Times New Roman"/>
          <w:kern w:val="2"/>
          <w:sz w:val="32"/>
          <w:szCs w:val="32"/>
        </w:rPr>
        <w:t>个项目编制了绩效目标，预算执行过程中，选取</w:t>
      </w:r>
      <w:r>
        <w:rPr>
          <w:rFonts w:ascii="Times New Roman" w:eastAsia="仿宋_GB2312" w:hAnsi="Times New Roman"/>
          <w:color w:val="auto"/>
          <w:sz w:val="32"/>
          <w:szCs w:val="32"/>
        </w:rPr>
        <w:t>4</w:t>
      </w:r>
      <w:r>
        <w:rPr>
          <w:rFonts w:ascii="Times New Roman" w:eastAsia="仿宋_GB2312" w:hAnsi="Times New Roman"/>
          <w:kern w:val="2"/>
          <w:sz w:val="32"/>
          <w:szCs w:val="32"/>
        </w:rPr>
        <w:t>个项目开展绩效监控。</w:t>
      </w:r>
    </w:p>
    <w:p>
      <w:pPr>
        <w:spacing w:line="578" w:lineRule="exact"/>
        <w:ind w:firstLineChars="200" w:firstLine="640"/>
        <w:rPr>
          <w:rFonts w:eastAsia="仿宋_GB2312"/>
          <w:sz w:val="32"/>
          <w:szCs w:val="32"/>
        </w:rPr>
      </w:pPr>
      <w:r>
        <w:rPr>
          <w:rFonts w:eastAsia="仿宋_GB2312"/>
          <w:kern w:val="0"/>
          <w:sz w:val="32"/>
          <w:szCs w:val="32"/>
        </w:rPr>
        <w:t>组织对2022年度一般公共预算、政府性基金预算、国有资本经营预算、社会保险基金预算以及资本资产、债券资金等全面开展绩效自评，形成1个部门整体（含部门预算项目）绩效自评报告。</w:t>
      </w:r>
      <w:r>
        <w:rPr>
          <w:rFonts w:eastAsia="仿宋_GB2312"/>
          <w:sz w:val="32"/>
          <w:szCs w:val="32"/>
        </w:rPr>
        <w:t>4个专项预算项目绩效自评报告，其中，1个部门整体（含部门预算项目）绩效自评得分为99分，绩效自评综述：</w:t>
      </w:r>
      <w:r>
        <w:rPr>
          <w:rFonts w:eastAsia="仿宋_GB2312"/>
          <w:color w:val="666666"/>
          <w:sz w:val="32"/>
          <w:szCs w:val="32"/>
          <w:shd w:val="clear" w:color="auto" w:fill="FFFFFF"/>
        </w:rPr>
        <w:t>攀枝花市医疗保障事务中心坚持以确保基金安全为前提，以保障参保人员切身利益为重点，以控制医疗费用不合理增长和加强定点医疗机构监管为核心，积极履行服务、管理、监管、宣传职能，不断创新管理机制和提升服务能力，全力破解影响医保制度运行过程中存在的突出问题和困难，着力推动各项医保工作的全面、协调、快速发展，取得了较好的成效。</w:t>
      </w:r>
      <w:r>
        <w:rPr>
          <w:rFonts w:eastAsia="仿宋_GB2312"/>
          <w:sz w:val="32"/>
          <w:szCs w:val="32"/>
        </w:rPr>
        <w:t>“</w:t>
      </w:r>
      <w:r>
        <w:rPr>
          <w:rFonts w:eastAsia="仿宋_GB2312"/>
          <w:kern w:val="0"/>
          <w:sz w:val="32"/>
          <w:szCs w:val="32"/>
          <w:lang w:val="zh-CN"/>
        </w:rPr>
        <w:t>医疗保障宣传项目</w:t>
      </w:r>
      <w:r>
        <w:rPr>
          <w:rFonts w:eastAsia="仿宋_GB2312"/>
          <w:sz w:val="32"/>
          <w:szCs w:val="32"/>
        </w:rPr>
        <w:t>”专项预算项目绩效自评得分为100分，绩效自评综述：攀枝花市医疗保障事务中心在当期完成了项目的总体实施，执行率100%，</w:t>
      </w:r>
      <w:r>
        <w:rPr>
          <w:rFonts w:eastAsia="仿宋_GB2312"/>
          <w:kern w:val="0"/>
          <w:sz w:val="32"/>
          <w:szCs w:val="32"/>
        </w:rPr>
        <w:t>保障了</w:t>
      </w:r>
      <w:r>
        <w:rPr>
          <w:rFonts w:eastAsia="仿宋_GB2312"/>
          <w:sz w:val="32"/>
          <w:szCs w:val="32"/>
          <w:lang w:val="zh-CN"/>
        </w:rPr>
        <w:t>全面完成各项医疗保障业务宣传经办工作</w:t>
      </w:r>
      <w:r>
        <w:rPr>
          <w:rFonts w:eastAsia="仿宋_GB2312"/>
          <w:sz w:val="32"/>
          <w:szCs w:val="32"/>
        </w:rPr>
        <w:t>；“贯彻执行国家15项医保信息业务编码”专项预算项目绩效自评得分为100分，绩效自评综述：攀枝花市医疗保障事务中心在当期完成了项目的总体实施，执行率100%。</w:t>
      </w:r>
      <w:r>
        <w:rPr>
          <w:rFonts w:eastAsia="仿宋_GB2312"/>
          <w:bCs/>
          <w:sz w:val="32"/>
          <w:szCs w:val="32"/>
        </w:rPr>
        <w:t>对我市疾病诊断编码进行映射，转化为国家医保2021版疾病诊断编码使用。逐项逐步推进疾病诊断和手术操作等15信息业务编码标准的数据映射治理和对标落地，同时完成相关系统改造</w:t>
      </w:r>
      <w:r>
        <w:rPr>
          <w:rFonts w:eastAsia="仿宋_GB2312"/>
          <w:sz w:val="32"/>
          <w:szCs w:val="32"/>
        </w:rPr>
        <w:t>；“医保定点医疗机构监管”专项预算项目绩效自评得分为100分，绩效自评综述：攀枝花市医疗保障事务中心在当期完成了项目的总体实施，执行率100%。</w:t>
      </w:r>
      <w:r>
        <w:rPr>
          <w:rFonts w:eastAsia="仿宋_GB2312"/>
          <w:kern w:val="0"/>
          <w:sz w:val="32"/>
          <w:szCs w:val="32"/>
        </w:rPr>
        <w:t>确保了基金监管顺利进行，参保覆盖人数持续增长，监管水平稳步提高，基金运行总体平稳，切实构建医疗保障基金监督管理的长效机制</w:t>
      </w:r>
      <w:r>
        <w:rPr>
          <w:rFonts w:eastAsia="仿宋_GB2312"/>
          <w:sz w:val="32"/>
          <w:szCs w:val="32"/>
        </w:rPr>
        <w:t>。绩效自评报告详见附件。</w:t>
      </w: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widowControl/>
        <w:jc w:val="left"/>
        <w:rPr>
          <w:rFonts w:eastAsia="仿宋_GB2312"/>
          <w:bCs/>
          <w:sz w:val="32"/>
          <w:szCs w:val="32"/>
        </w:rPr>
      </w:pPr>
      <w:r>
        <w:rPr>
          <w:rFonts w:eastAsia="仿宋_GB2312"/>
          <w:bCs/>
          <w:sz w:val="32"/>
          <w:szCs w:val="32"/>
        </w:rPr>
        <w:br w:type="page"/>
      </w:r>
    </w:p>
    <w:p>
      <w:pPr>
        <w:spacing w:line="578" w:lineRule="exact"/>
        <w:jc w:val="center"/>
        <w:outlineLvl w:val="0"/>
        <w:rPr>
          <w:rStyle w:val="1Char"/>
          <w:rFonts w:eastAsia="黑体"/>
          <w:b w:val="0"/>
        </w:rPr>
      </w:pPr>
      <w:bookmarkStart w:id="65" w:name="_Toc15396613"/>
      <w:bookmarkStart w:id="66" w:name="_Toc15377225"/>
      <w:bookmarkStart w:id="67" w:name="_Toc10001"/>
      <w:r>
        <w:rPr>
          <w:rFonts w:eastAsia="黑体"/>
          <w:sz w:val="44"/>
          <w:szCs w:val="44"/>
        </w:rPr>
        <w:t>第三部分名</w:t>
      </w:r>
      <w:r>
        <w:rPr>
          <w:rStyle w:val="1Char"/>
          <w:rFonts w:eastAsia="黑体"/>
          <w:b w:val="0"/>
        </w:rPr>
        <w:t>词解释</w:t>
      </w:r>
      <w:bookmarkEnd w:id="65"/>
      <w:bookmarkEnd w:id="66"/>
      <w:bookmarkEnd w:id="67"/>
    </w:p>
    <w:p>
      <w:pPr>
        <w:spacing w:line="578" w:lineRule="exact"/>
        <w:ind w:firstLineChars="200" w:firstLine="640"/>
        <w:rPr>
          <w:rFonts w:eastAsia="仿宋_GB2312"/>
          <w:b/>
          <w:sz w:val="32"/>
          <w:szCs w:val="32"/>
        </w:rPr>
      </w:pP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1.财政拨款收入：指单位从同级财政部门取得的财政预算资金。</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2.事业收入：指事业单位开展专业业务活动及辅助活动取得的收入。</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3.经营收入：指事业单位在专业业务活动及其辅助活动之外开展非独立核算经营活动取得的收入。</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4.其他收入：指单位取得的除上述收入以外的各项收入。</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5.使用非财政拨款结余：指事业单位使用以前年度积累的非财政拨款结余弥补当年收支差额的金额。</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6.年初结转和结余：指以前年度尚未完成、结转到本年按有关规定继续使用的资金。</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7.结余分配：指事业单位按照会计制度规定缴纳的所得税、提取的专用结余以及转入非财政拨款结余的金额等。</w:t>
      </w:r>
    </w:p>
    <w:p>
      <w:pPr>
        <w:pStyle w:val="31"/>
        <w:spacing w:line="578" w:lineRule="exact"/>
        <w:ind w:firstLineChars="200" w:firstLine="640"/>
        <w:jc w:val="both"/>
        <w:rPr>
          <w:rFonts w:ascii="Times New Roman" w:eastAsia="仿宋_GB2312" w:cs="Times New Roman" w:hAnsi="Times New Roman"/>
          <w:color w:val="auto"/>
          <w:sz w:val="32"/>
          <w:szCs w:val="32"/>
        </w:rPr>
      </w:pPr>
      <w:r>
        <w:rPr>
          <w:rFonts w:ascii="Times New Roman" w:eastAsia="仿宋_GB2312" w:cs="Times New Roman" w:hAnsi="Times New Roman"/>
          <w:color w:val="auto"/>
          <w:sz w:val="32"/>
          <w:szCs w:val="32"/>
        </w:rPr>
        <w:t>8.年末结转和结余：指单位按有关规定结转到下年或以后年度继续使用的资金。</w:t>
      </w:r>
    </w:p>
    <w:p>
      <w:pPr>
        <w:spacing w:line="578" w:lineRule="exact"/>
        <w:ind w:firstLineChars="200" w:firstLine="640"/>
        <w:rPr>
          <w:rFonts w:eastAsia="仿宋_GB2312"/>
          <w:color w:val="000000"/>
          <w:sz w:val="32"/>
          <w:szCs w:val="32"/>
        </w:rPr>
      </w:pPr>
      <w:r>
        <w:rPr>
          <w:rFonts w:eastAsia="仿宋_GB2312"/>
          <w:sz w:val="32"/>
          <w:szCs w:val="32"/>
        </w:rPr>
        <w:t>9.</w:t>
      </w:r>
      <w:r>
        <w:rPr>
          <w:rFonts w:eastAsia="仿宋_GB2312"/>
          <w:color w:val="000000"/>
          <w:sz w:val="32"/>
          <w:szCs w:val="32"/>
        </w:rPr>
        <w:t>一般公共服务（类）</w:t>
      </w:r>
      <w:r>
        <w:rPr>
          <w:rStyle w:val="24"/>
          <w:rFonts w:eastAsia="仿宋_GB2312"/>
          <w:bCs/>
          <w:color w:val="000000"/>
          <w:sz w:val="32"/>
          <w:szCs w:val="32"/>
        </w:rPr>
        <w:t>组织事务</w:t>
      </w:r>
      <w:r>
        <w:rPr>
          <w:rFonts w:eastAsia="仿宋_GB2312"/>
          <w:color w:val="000000"/>
          <w:sz w:val="32"/>
          <w:szCs w:val="32"/>
        </w:rPr>
        <w:t>（款）</w:t>
      </w:r>
      <w:r>
        <w:rPr>
          <w:rStyle w:val="24"/>
          <w:rFonts w:eastAsia="仿宋_GB2312"/>
          <w:bCs/>
          <w:color w:val="000000"/>
          <w:sz w:val="32"/>
          <w:szCs w:val="32"/>
        </w:rPr>
        <w:t>其他组织事务支出</w:t>
      </w:r>
      <w:r>
        <w:rPr>
          <w:rFonts w:eastAsia="仿宋_GB2312"/>
          <w:color w:val="000000"/>
          <w:sz w:val="32"/>
          <w:szCs w:val="32"/>
        </w:rPr>
        <w:t>（项）：2013299指反映除上述项目以外其他用于中国共产党组织部门的事务支出。</w:t>
      </w:r>
    </w:p>
    <w:p>
      <w:pPr>
        <w:tabs>
          <w:tab w:val="left" w:pos="312"/>
        </w:tabs>
        <w:spacing w:line="578" w:lineRule="exact"/>
        <w:ind w:left="640"/>
        <w:rPr>
          <w:rFonts w:eastAsia="仿宋_GB2312"/>
          <w:color w:val="000000"/>
          <w:sz w:val="32"/>
          <w:szCs w:val="32"/>
        </w:rPr>
      </w:pPr>
      <w:r>
        <w:rPr>
          <w:rFonts w:eastAsia="仿宋_GB2312" w:hint="eastAsia"/>
          <w:sz w:val="32"/>
          <w:szCs w:val="32"/>
        </w:rPr>
        <w:t>10.</w:t>
      </w:r>
      <w:r>
        <w:rPr>
          <w:rFonts w:eastAsia="仿宋_GB2312"/>
          <w:sz w:val="32"/>
          <w:szCs w:val="32"/>
        </w:rPr>
        <w:t>社会保障和就业（类）行政事业单位养老支出（款）行政单位离退休（项）：</w:t>
      </w:r>
      <w:r>
        <w:rPr>
          <w:rFonts w:eastAsia="仿宋_GB2312"/>
          <w:color w:val="000000"/>
          <w:sz w:val="32"/>
          <w:szCs w:val="32"/>
        </w:rPr>
        <w:t>2080501指反映行政单位（包括实行公务员管理的事业单位）开支的离退休经费。</w:t>
      </w:r>
    </w:p>
    <w:p>
      <w:pPr>
        <w:spacing w:line="578" w:lineRule="exact"/>
        <w:ind w:firstLineChars="200" w:firstLine="640"/>
        <w:rPr>
          <w:rFonts w:eastAsia="仿宋_GB2312"/>
          <w:color w:val="000000"/>
          <w:sz w:val="32"/>
          <w:szCs w:val="32"/>
        </w:rPr>
      </w:pPr>
      <w:r>
        <w:rPr>
          <w:rFonts w:eastAsia="仿宋_GB2312" w:hint="eastAsia"/>
          <w:sz w:val="32"/>
          <w:szCs w:val="32"/>
        </w:rPr>
        <w:t>11</w:t>
      </w:r>
      <w:r>
        <w:rPr>
          <w:rFonts w:eastAsia="仿宋_GB2312"/>
          <w:sz w:val="32"/>
          <w:szCs w:val="32"/>
        </w:rPr>
        <w:t>.社会保障和就业（类）行政事业单位养老支出（款）机关事业单位基本养老保险缴费支出（项）：</w:t>
      </w:r>
      <w:r>
        <w:rPr>
          <w:rFonts w:eastAsia="仿宋_GB2312"/>
          <w:color w:val="000000"/>
          <w:sz w:val="32"/>
          <w:szCs w:val="32"/>
        </w:rPr>
        <w:t>2080505指反映机关事业单位实施养老保险制度由单位缴纳的基本养老保险费支出。</w:t>
      </w:r>
    </w:p>
    <w:p>
      <w:pPr>
        <w:spacing w:line="578" w:lineRule="exact"/>
        <w:ind w:firstLineChars="200" w:firstLine="640"/>
        <w:rPr>
          <w:rFonts w:eastAsia="仿宋_GB2312"/>
          <w:color w:val="000000"/>
          <w:sz w:val="32"/>
          <w:szCs w:val="32"/>
        </w:rPr>
      </w:pPr>
      <w:r>
        <w:rPr>
          <w:rFonts w:eastAsia="仿宋_GB2312" w:hint="eastAsia"/>
          <w:color w:val="000000"/>
          <w:sz w:val="32"/>
          <w:szCs w:val="32"/>
        </w:rPr>
        <w:t>12</w:t>
      </w: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行政运行</w:t>
      </w:r>
      <w:r>
        <w:rPr>
          <w:rFonts w:eastAsia="仿宋_GB2312"/>
          <w:sz w:val="32"/>
          <w:szCs w:val="32"/>
        </w:rPr>
        <w:t>（项）：</w:t>
      </w:r>
      <w:r>
        <w:rPr>
          <w:rFonts w:eastAsia="仿宋_GB2312"/>
          <w:color w:val="000000"/>
          <w:sz w:val="32"/>
          <w:szCs w:val="32"/>
        </w:rPr>
        <w:t>2101501指反映行政单位（包括实行公务员管理的事业单位）的基本支出。</w:t>
      </w:r>
    </w:p>
    <w:p>
      <w:pPr>
        <w:spacing w:line="578" w:lineRule="exact"/>
        <w:ind w:firstLineChars="200" w:firstLine="640"/>
        <w:rPr>
          <w:rFonts w:eastAsia="仿宋_GB2312"/>
          <w:color w:val="000000"/>
          <w:sz w:val="32"/>
          <w:szCs w:val="32"/>
        </w:rPr>
      </w:pPr>
      <w:r>
        <w:rPr>
          <w:rFonts w:eastAsia="仿宋_GB2312" w:hint="eastAsia"/>
          <w:color w:val="000000"/>
          <w:sz w:val="32"/>
          <w:szCs w:val="32"/>
        </w:rPr>
        <w:t>13</w:t>
      </w: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医疗保障经办事务</w:t>
      </w:r>
      <w:r>
        <w:rPr>
          <w:rFonts w:eastAsia="仿宋_GB2312"/>
          <w:sz w:val="32"/>
          <w:szCs w:val="32"/>
        </w:rPr>
        <w:t>（项）：</w:t>
      </w:r>
      <w:r>
        <w:rPr>
          <w:rFonts w:eastAsia="仿宋_GB2312"/>
          <w:color w:val="000000"/>
          <w:sz w:val="32"/>
          <w:szCs w:val="32"/>
        </w:rPr>
        <w:t>2101506指反映医保基金核算、精算、参保登记、权益记录、转移接续等医疗保障经办支出。</w:t>
      </w:r>
    </w:p>
    <w:p>
      <w:pPr>
        <w:spacing w:line="578" w:lineRule="exact"/>
        <w:ind w:firstLineChars="200" w:firstLine="640"/>
        <w:rPr>
          <w:rFonts w:eastAsia="仿宋_GB2312"/>
          <w:color w:val="000000"/>
          <w:sz w:val="32"/>
          <w:szCs w:val="32"/>
        </w:rPr>
      </w:pPr>
      <w:r>
        <w:rPr>
          <w:rFonts w:eastAsia="仿宋_GB2312" w:hint="eastAsia"/>
          <w:color w:val="000000"/>
          <w:sz w:val="32"/>
          <w:szCs w:val="32"/>
        </w:rPr>
        <w:t>14</w:t>
      </w:r>
      <w:r>
        <w:rPr>
          <w:rFonts w:eastAsia="仿宋_GB2312"/>
          <w:color w:val="000000"/>
          <w:sz w:val="32"/>
          <w:szCs w:val="32"/>
        </w:rPr>
        <w:t>.卫生健康</w:t>
      </w:r>
      <w:r>
        <w:rPr>
          <w:rFonts w:eastAsia="仿宋_GB2312"/>
          <w:sz w:val="32"/>
          <w:szCs w:val="32"/>
        </w:rPr>
        <w:t>（类）医疗保障管理事务（款）</w:t>
      </w:r>
      <w:r>
        <w:rPr>
          <w:rFonts w:eastAsia="仿宋_GB2312"/>
          <w:color w:val="000000"/>
          <w:sz w:val="32"/>
          <w:szCs w:val="32"/>
        </w:rPr>
        <w:t>其他医疗保障管理事务支出</w:t>
      </w:r>
      <w:r>
        <w:rPr>
          <w:rFonts w:eastAsia="仿宋_GB2312"/>
          <w:sz w:val="32"/>
          <w:szCs w:val="32"/>
        </w:rPr>
        <w:t>（项）：</w:t>
      </w:r>
      <w:r>
        <w:rPr>
          <w:rFonts w:eastAsia="仿宋_GB2312"/>
          <w:color w:val="000000"/>
          <w:sz w:val="32"/>
          <w:szCs w:val="32"/>
        </w:rPr>
        <w:t>2101599指用于其他医疗保障管理事务方面的支出。</w:t>
      </w:r>
    </w:p>
    <w:p>
      <w:pPr>
        <w:spacing w:line="578" w:lineRule="exact"/>
        <w:ind w:firstLineChars="200" w:firstLine="640"/>
        <w:rPr>
          <w:rFonts w:eastAsia="仿宋_GB2312"/>
          <w:color w:val="000000"/>
          <w:sz w:val="32"/>
          <w:szCs w:val="32"/>
        </w:rPr>
      </w:pPr>
      <w:r>
        <w:rPr>
          <w:rFonts w:eastAsia="仿宋_GB2312" w:hint="eastAsia"/>
          <w:color w:val="000000"/>
          <w:sz w:val="32"/>
          <w:szCs w:val="32"/>
        </w:rPr>
        <w:t>15</w:t>
      </w:r>
      <w:r>
        <w:rPr>
          <w:rFonts w:eastAsia="仿宋_GB2312"/>
          <w:color w:val="000000"/>
          <w:sz w:val="32"/>
          <w:szCs w:val="32"/>
        </w:rPr>
        <w:t>.</w:t>
      </w:r>
      <w:r>
        <w:rPr>
          <w:rFonts w:eastAsia="仿宋_GB2312"/>
          <w:sz w:val="32"/>
          <w:szCs w:val="32"/>
        </w:rPr>
        <w:t>住房保障（类）住房改革支出（款）</w:t>
      </w:r>
      <w:r>
        <w:rPr>
          <w:rFonts w:eastAsia="仿宋_GB2312"/>
          <w:color w:val="000000"/>
          <w:sz w:val="32"/>
          <w:szCs w:val="32"/>
        </w:rPr>
        <w:t>住房公积金</w:t>
      </w:r>
      <w:r>
        <w:rPr>
          <w:rFonts w:eastAsia="仿宋_GB2312"/>
          <w:sz w:val="32"/>
          <w:szCs w:val="32"/>
        </w:rPr>
        <w:t>（项）：</w:t>
      </w:r>
      <w:r>
        <w:rPr>
          <w:rFonts w:eastAsia="仿宋_GB2312"/>
          <w:color w:val="000000"/>
          <w:sz w:val="32"/>
          <w:szCs w:val="32"/>
        </w:rPr>
        <w:t>2210201指反映行政事业单位按人力资源和社会保障部、财政部规定的基本工资和津贴补贴以及规定比例为职工缴纳的住房公积金。</w:t>
      </w:r>
    </w:p>
    <w:p>
      <w:pPr>
        <w:spacing w:line="578" w:lineRule="exact"/>
        <w:ind w:firstLineChars="200" w:firstLine="640"/>
        <w:rPr>
          <w:rFonts w:eastAsia="仿宋_GB2312"/>
          <w:color w:val="000000"/>
          <w:sz w:val="32"/>
          <w:szCs w:val="32"/>
        </w:rPr>
      </w:pPr>
      <w:r>
        <w:rPr>
          <w:rFonts w:eastAsia="仿宋_GB2312" w:hint="eastAsia"/>
          <w:sz w:val="32"/>
          <w:szCs w:val="32"/>
        </w:rPr>
        <w:t>16</w:t>
      </w:r>
      <w:r>
        <w:rPr>
          <w:rFonts w:eastAsia="仿宋_GB2312"/>
          <w:sz w:val="32"/>
          <w:szCs w:val="32"/>
        </w:rPr>
        <w:t>.基本支出：指为保障机构正常运转、完成日常工作任务而发生的人员支出和公用支出。</w:t>
      </w:r>
    </w:p>
    <w:p>
      <w:pPr>
        <w:spacing w:line="578" w:lineRule="exact"/>
        <w:ind w:firstLineChars="200" w:firstLine="640"/>
        <w:rPr>
          <w:rFonts w:eastAsia="仿宋_GB2312"/>
          <w:color w:val="000000"/>
          <w:sz w:val="32"/>
          <w:szCs w:val="32"/>
        </w:rPr>
      </w:pPr>
      <w:r>
        <w:rPr>
          <w:rFonts w:eastAsia="仿宋_GB2312" w:hint="eastAsia"/>
          <w:sz w:val="32"/>
          <w:szCs w:val="32"/>
        </w:rPr>
        <w:t>17</w:t>
      </w:r>
      <w:r>
        <w:rPr>
          <w:rFonts w:eastAsia="仿宋_GB2312"/>
          <w:sz w:val="32"/>
          <w:szCs w:val="32"/>
        </w:rPr>
        <w:t>.项目支出：指在基本支出之外为完成特定行政任务和事业发展目标所发生的支出。</w:t>
      </w:r>
    </w:p>
    <w:p>
      <w:pPr>
        <w:spacing w:line="578" w:lineRule="exact"/>
        <w:ind w:firstLineChars="200" w:firstLine="640"/>
        <w:rPr>
          <w:rFonts w:eastAsia="仿宋_GB2312"/>
          <w:color w:val="000000"/>
          <w:sz w:val="32"/>
          <w:szCs w:val="32"/>
        </w:rPr>
      </w:pPr>
      <w:r>
        <w:rPr>
          <w:rFonts w:eastAsia="仿宋_GB2312" w:hint="eastAsia"/>
          <w:sz w:val="32"/>
          <w:szCs w:val="32"/>
        </w:rPr>
        <w:t>18</w:t>
      </w:r>
      <w:r>
        <w:rPr>
          <w:rFonts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78" w:lineRule="exact"/>
        <w:ind w:firstLineChars="200" w:firstLine="640"/>
        <w:rPr>
          <w:rFonts w:eastAsia="仿宋_GB2312"/>
          <w:sz w:val="32"/>
          <w:szCs w:val="32"/>
        </w:rPr>
      </w:pPr>
      <w:r>
        <w:rPr>
          <w:rFonts w:eastAsia="仿宋_GB2312" w:hint="eastAsia"/>
          <w:sz w:val="32"/>
          <w:szCs w:val="32"/>
        </w:rPr>
        <w:t>19</w:t>
      </w:r>
      <w:r>
        <w:rPr>
          <w:rFonts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spacing w:line="578" w:lineRule="exact"/>
        <w:ind w:firstLineChars="200" w:firstLine="640"/>
        <w:rPr>
          <w:rFonts w:eastAsia="仿宋_GB2312"/>
          <w:sz w:val="32"/>
          <w:szCs w:val="32"/>
        </w:rPr>
      </w:pPr>
    </w:p>
    <w:p>
      <w:pPr>
        <w:jc w:val="center"/>
        <w:rPr>
          <w:rStyle w:val="1Char"/>
          <w:rFonts w:eastAsia="黑体"/>
          <w:b w:val="0"/>
        </w:rPr>
      </w:pPr>
      <w:bookmarkStart w:id="68" w:name="_Toc14995"/>
      <w:bookmarkStart w:id="69" w:name="_Toc15377226"/>
      <w:r>
        <w:rPr>
          <w:rStyle w:val="1Char"/>
          <w:rFonts w:eastAsia="黑体"/>
          <w:b w:val="0"/>
        </w:rPr>
        <w:t>第</w:t>
      </w:r>
      <w:bookmarkStart w:id="70" w:name="_Toc15396614"/>
      <w:r>
        <w:rPr>
          <w:rStyle w:val="1Char"/>
          <w:rFonts w:eastAsia="黑体"/>
          <w:b w:val="0"/>
        </w:rPr>
        <w:t>四部分附件</w:t>
      </w:r>
      <w:bookmarkEnd w:id="68"/>
      <w:bookmarkEnd w:id="70"/>
    </w:p>
    <w:p>
      <w:pPr>
        <w:spacing w:line="578" w:lineRule="exact"/>
        <w:jc w:val="center"/>
        <w:outlineLvl w:val="0"/>
        <w:rPr>
          <w:rStyle w:val="1Char"/>
          <w:rFonts w:eastAsia="黑体"/>
          <w:b w:val="0"/>
        </w:rPr>
      </w:pPr>
    </w:p>
    <w:p>
      <w:pPr>
        <w:rPr>
          <w:rFonts w:eastAsia="黑体"/>
          <w:sz w:val="32"/>
          <w:szCs w:val="32"/>
        </w:rPr>
      </w:pPr>
      <w:r>
        <w:rPr>
          <w:rFonts w:eastAsia="黑体"/>
          <w:sz w:val="32"/>
          <w:szCs w:val="32"/>
        </w:rPr>
        <w:t>附件1</w:t>
      </w:r>
    </w:p>
    <w:p>
      <w:pPr>
        <w:spacing w:line="578" w:lineRule="exact"/>
        <w:rPr>
          <w:rFonts w:eastAsia="黑体"/>
          <w:color w:val="000000"/>
          <w:sz w:val="32"/>
          <w:szCs w:val="32"/>
        </w:rPr>
      </w:pPr>
    </w:p>
    <w:p>
      <w:pPr>
        <w:pStyle w:val="35"/>
        <w:spacing w:line="578" w:lineRule="exact"/>
        <w:jc w:val="center"/>
        <w:rPr>
          <w:rFonts w:ascii="Times New Roman" w:eastAsia="方正小标宋_GBK" w:hAnsi="Times New Roman"/>
          <w:color w:val="000000"/>
          <w:kern w:val="2"/>
          <w:sz w:val="44"/>
          <w:szCs w:val="44"/>
          <w:lang w:val="en-US"/>
        </w:rPr>
      </w:pPr>
      <w:r>
        <w:rPr>
          <w:rFonts w:ascii="Times New Roman" w:eastAsia="方正小标宋_GBK" w:hAnsi="Times New Roman"/>
          <w:color w:val="000000"/>
          <w:kern w:val="2"/>
          <w:sz w:val="44"/>
          <w:szCs w:val="44"/>
          <w:lang w:val="en-US"/>
        </w:rPr>
        <w:t>攀枝花市医疗保障事务中心</w:t>
      </w:r>
    </w:p>
    <w:p>
      <w:pPr>
        <w:pStyle w:val="35"/>
        <w:spacing w:line="578" w:lineRule="exact"/>
        <w:jc w:val="center"/>
        <w:rPr>
          <w:rFonts w:ascii="Times New Roman" w:eastAsia="方正小标宋_GBK" w:hAnsi="Times New Roman"/>
          <w:color w:val="000000"/>
          <w:kern w:val="2"/>
          <w:sz w:val="44"/>
          <w:szCs w:val="44"/>
          <w:lang w:val="en-US"/>
        </w:rPr>
      </w:pPr>
      <w:r>
        <w:rPr>
          <w:rFonts w:ascii="Times New Roman" w:eastAsia="方正小标宋_GBK" w:hAnsi="Times New Roman"/>
          <w:color w:val="000000"/>
          <w:kern w:val="2"/>
          <w:sz w:val="44"/>
          <w:szCs w:val="44"/>
          <w:lang w:val="en-US"/>
        </w:rPr>
        <w:t>2022年部门整体绩效评价报告</w:t>
      </w:r>
    </w:p>
    <w:p>
      <w:pPr>
        <w:pStyle w:val="35"/>
        <w:spacing w:line="578" w:lineRule="exact"/>
        <w:jc w:val="center"/>
        <w:rPr>
          <w:rFonts w:ascii="Times New Roman" w:eastAsia="方正小标宋_GBK" w:hAnsi="Times New Roman"/>
          <w:color w:val="000000"/>
          <w:kern w:val="2"/>
          <w:sz w:val="44"/>
          <w:szCs w:val="44"/>
          <w:lang w:val="en-US"/>
        </w:rPr>
      </w:pPr>
    </w:p>
    <w:p>
      <w:pPr>
        <w:widowControl/>
        <w:numPr>
          <w:ilvl w:val="0"/>
          <w:numId w:val="1"/>
        </w:numPr>
        <w:adjustRightInd w:val="0"/>
        <w:snapToGrid w:val="0"/>
        <w:spacing w:line="578" w:lineRule="exact"/>
        <w:ind w:left="0"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lang w:val="zh-CN"/>
        </w:rPr>
        <w:t>部门（单位）基本情况</w:t>
      </w:r>
    </w:p>
    <w:p>
      <w:pPr>
        <w:spacing w:line="578" w:lineRule="exact"/>
        <w:ind w:firstLineChars="200" w:firstLine="640"/>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（一）机构组成。</w:t>
      </w:r>
    </w:p>
    <w:p>
      <w:pPr>
        <w:spacing w:line="578" w:lineRule="exact"/>
        <w:ind w:firstLineChars="200" w:firstLine="640"/>
        <w:rPr>
          <w:rFonts w:eastAsia="仿宋_GB2312"/>
          <w:b/>
          <w:bCs/>
          <w:color w:val="000000"/>
          <w:kern w:val="0"/>
          <w:sz w:val="32"/>
          <w:szCs w:val="32"/>
          <w:shd w:val="clear" w:color="auto" w:fill="FFFFFF"/>
          <w:lang w:val="zh-CN"/>
        </w:rPr>
      </w:pPr>
      <w:r>
        <w:rPr>
          <w:rFonts w:eastAsia="仿宋_GB2312"/>
          <w:color w:val="000000"/>
          <w:sz w:val="32"/>
          <w:szCs w:val="32"/>
        </w:rPr>
        <w:t>攀枝花市医疗保障事务中心（以下简称“市医保中心”）执行政府会计准则制度，单位基本性质为参照公务员法管理的公益一类事业单位。截至2022年12月31日，独立编制机构数1个。无下属机构。</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（二）机构职能和人员概况。</w:t>
      </w:r>
    </w:p>
    <w:p>
      <w:pPr>
        <w:spacing w:line="578" w:lineRule="exact"/>
        <w:ind w:firstLineChars="200" w:firstLine="640"/>
        <w:rPr>
          <w:rFonts w:eastAsia="仿宋_GB2312"/>
          <w:color w:val="000000"/>
          <w:kern w:val="0"/>
          <w:sz w:val="32"/>
          <w:szCs w:val="32"/>
          <w:shd w:val="clear" w:color="auto" w:fill="FFFFFF"/>
          <w:lang w:val="zh-CN"/>
        </w:rPr>
      </w:pPr>
      <w:r>
        <w:rPr>
          <w:rFonts w:eastAsia="仿宋_GB2312"/>
          <w:color w:val="000000"/>
          <w:kern w:val="0"/>
          <w:sz w:val="32"/>
          <w:szCs w:val="32"/>
          <w:shd w:val="clear" w:color="auto" w:fill="FFFFFF"/>
          <w:lang w:val="zh-CN"/>
        </w:rPr>
        <w:t>负责职工基本医疗保险、城乡居民基本医疗保险、生育保险、医疗救助具体经办业务，制定、完善业务经办管理规程。负责对定点医药机构执行政策规定和为参保人员提供医疗服务进行指导和检查。承担离休干部、六级以上革命伤残军人（警察）、建国初期参加工作退休干部及其他医疗照顾人员医药费用审核报销的具体业务工作。参与医疗保障业务经办信息系统建设。</w:t>
      </w:r>
    </w:p>
    <w:p>
      <w:pPr>
        <w:spacing w:line="578" w:lineRule="exact"/>
        <w:ind w:firstLineChars="200" w:firstLine="640"/>
        <w:rPr>
          <w:rFonts w:eastAsia="仿宋_GB2312"/>
          <w:color w:val="000000"/>
          <w:sz w:val="32"/>
          <w:szCs w:val="32"/>
        </w:rPr>
      </w:pPr>
      <w:r>
        <w:rPr>
          <w:rFonts w:eastAsia="仿宋_GB2312"/>
          <w:color w:val="000000"/>
          <w:sz w:val="32"/>
          <w:szCs w:val="32"/>
        </w:rPr>
        <w:t>市医保中心编制人数45人。2022年实有在职人员41人，退休人员16人。</w:t>
      </w:r>
    </w:p>
    <w:p>
      <w:pPr>
        <w:spacing w:line="578" w:lineRule="exact"/>
        <w:ind w:firstLineChars="200" w:firstLine="640"/>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（三）年度主要工作任务。</w:t>
      </w:r>
    </w:p>
    <w:p>
      <w:pPr>
        <w:spacing w:line="578" w:lineRule="exact"/>
        <w:ind w:firstLineChars="200" w:firstLine="640"/>
        <w:rPr>
          <w:rFonts w:eastAsia="仿宋_GB2312"/>
          <w:color w:val="000000"/>
          <w:sz w:val="32"/>
          <w:szCs w:val="32"/>
        </w:rPr>
      </w:pPr>
      <w:r>
        <w:rPr>
          <w:rFonts w:eastAsia="仿宋_GB2312"/>
          <w:color w:val="000000"/>
          <w:sz w:val="32"/>
          <w:szCs w:val="32"/>
        </w:rPr>
        <w:t>1. 完善线上服务渠道的功能。在确保国家医疗保障信息平台通畅的情况下，逐步完善线上服务渠道，优化上线网厅个人服务模块，开通自助服务终端，缓解前台经办压力，完善四川医保APP及微信小程序的医保公共服务功能，侧重开发手机端个人服务，为参保群众提供便捷高效的医保服务渠道。推进公共服务体系建设。积极探索银行及社区作为医保外延网点的可行性。将部分常见或风险性较低的业务下沉至银行网点及社区办理，实现医保参保登记业务家门口办。建立起以各级政务服务大厅为中心，辐射银行网点及社区便民服务中心的居民身边的医保实体服务网络。</w:t>
      </w:r>
    </w:p>
    <w:p>
      <w:pPr>
        <w:spacing w:line="578" w:lineRule="exact"/>
        <w:ind w:firstLineChars="200" w:firstLine="640"/>
        <w:rPr>
          <w:rFonts w:eastAsia="仿宋_GB2312"/>
          <w:color w:val="000000"/>
          <w:sz w:val="32"/>
          <w:szCs w:val="32"/>
        </w:rPr>
      </w:pPr>
      <w:r>
        <w:rPr>
          <w:rFonts w:eastAsia="仿宋_GB2312"/>
          <w:color w:val="000000"/>
          <w:sz w:val="32"/>
          <w:szCs w:val="32"/>
        </w:rPr>
        <w:t>2. 持续推进医保支付方式改革。启动CHS-DRG（1.1版）本地细分组方案；制定长期住院康复病例按床日付费办法；攀枝花市列为全国18个DRG示范点之一。规范费用审核结算工作。健全病组点数法付费绩效分析评价制度；完善国家医保审核标准的智能审核规则；建立全市统一的基本医保审核稽核标准。</w:t>
      </w:r>
    </w:p>
    <w:p>
      <w:pPr>
        <w:spacing w:line="578" w:lineRule="exact"/>
        <w:ind w:firstLineChars="200" w:firstLine="640"/>
        <w:rPr>
          <w:rFonts w:eastAsia="仿宋_GB2312"/>
          <w:color w:val="000000"/>
          <w:sz w:val="32"/>
          <w:szCs w:val="32"/>
        </w:rPr>
      </w:pPr>
      <w:r>
        <w:rPr>
          <w:rFonts w:eastAsia="仿宋_GB2312"/>
          <w:color w:val="000000"/>
          <w:sz w:val="32"/>
          <w:szCs w:val="32"/>
        </w:rPr>
        <w:t>3. 按照《四川省人民政府办公厅关于进一步完善药品和医用耗材集中采购制度的指导意见》等文件精神，规范药品和医用耗材集中采购货款在线结算流程，确保四川省药械集中采购及医药监管平台在我市落地，组织县（区）医保经办机构、医药机构和医药企业深入学习集采政策，主动适应集采货款资金流、订单信息流、货物物流“三流合一”集中采购模式，建立集采药械的落地实施和药（械）质量监测机制，建立健全医药企业信用评价体系，及时向有关部门反馈情况，继续做好药品目录的接受、推送、维护工作。</w:t>
      </w:r>
    </w:p>
    <w:p>
      <w:pPr>
        <w:spacing w:line="578" w:lineRule="exact"/>
        <w:ind w:firstLineChars="200" w:firstLine="640"/>
        <w:rPr>
          <w:rFonts w:eastAsia="仿宋_GB2312"/>
          <w:color w:val="000000"/>
          <w:sz w:val="32"/>
          <w:szCs w:val="32"/>
        </w:rPr>
      </w:pPr>
      <w:r>
        <w:rPr>
          <w:rFonts w:eastAsia="仿宋_GB2312"/>
          <w:color w:val="000000"/>
          <w:sz w:val="32"/>
          <w:szCs w:val="32"/>
        </w:rPr>
        <w:t>4. 按省医保局安排部署，进一步做好高血压、糖尿病、恶性肿瘤门诊放化疗、尿毒症透析、器官移植术后抗排异治疗等门诊慢特病的相关治疗费用跨省直接结算及城乡居民门诊统筹异地就医直接结算工作。进一步加强异地就医监管工作，确保医保基金合理安全支出。持续开展异地就医政策宣传，不断提高异地就医直接结算率。</w:t>
      </w:r>
    </w:p>
    <w:p>
      <w:pPr>
        <w:spacing w:line="578" w:lineRule="exact"/>
        <w:ind w:firstLineChars="200" w:firstLine="640"/>
        <w:rPr>
          <w:rFonts w:eastAsia="仿宋_GB2312"/>
          <w:color w:val="000000"/>
          <w:sz w:val="32"/>
          <w:szCs w:val="32"/>
        </w:rPr>
      </w:pPr>
      <w:r>
        <w:rPr>
          <w:rFonts w:eastAsia="仿宋_GB2312"/>
          <w:color w:val="000000"/>
          <w:sz w:val="32"/>
          <w:szCs w:val="32"/>
        </w:rPr>
        <w:t>5.持续深入开展打击欺诈骗保专项行动。将打击欺诈骗保作为稽核工作首要任务，坚持日常巡查、专项检查、重点检查、飞行检查相结合，实现对定点医药机构全覆盖检查，对重点领域、关键环节、举报投诉多的重点检查、频繁检查，对造成严重损失、产生恶劣影响的案件，坚决公开曝光，形成强有力的震慑。二是加快建设“集成式”监管体系。利用现代化信息技术，根据以临床知识库、医保政策库和医保目录库为基础的全市统一医疗费用审核监管规则，通过数据挖掘技术，在医保海量数据中实时筛查、分析，自动过滤出异常信息，对医疗服务行为进行事前提醒、事中控制和事后监控，从而减少、杜绝欺诈行为的发生。三是通过购买第三方监管力量参与监管，提升监管的专业性、精准性、效益性。四是建立协同机制，凝聚部门监管合力。在打击欺诈骗取医疗保障基金联席会议制度的基础上，联合公安、卫健局、市场监管等部门建立了医疗保障基金监督管理部门协同工作机制，进一步完善了案件移送规则，实现部门间联合执法、信息共享和互联互通的协同监管机制，促进了防范和打击欺诈骗保监管工作持续提质增效。</w:t>
      </w:r>
    </w:p>
    <w:p>
      <w:pPr>
        <w:spacing w:line="578" w:lineRule="exact"/>
        <w:ind w:firstLineChars="200" w:firstLine="640"/>
        <w:rPr>
          <w:rFonts w:eastAsia="仿宋_GB2312"/>
          <w:b/>
          <w:bCs/>
          <w:color w:val="000000"/>
          <w:kern w:val="0"/>
          <w:sz w:val="32"/>
          <w:szCs w:val="32"/>
          <w:shd w:val="clear" w:color="auto" w:fill="FFFFFF"/>
        </w:rPr>
      </w:pPr>
      <w:r>
        <w:rPr>
          <w:rFonts w:eastAsia="仿宋_GB2312"/>
          <w:color w:val="000000"/>
          <w:sz w:val="32"/>
          <w:szCs w:val="32"/>
        </w:rPr>
        <w:t>6.以工作方案为指导，通过加强基层服务平台建设、信息化公共服务渠道建设、业务协同建设和推广医保电子凭证应用等举措推动服务多元化能力建设取得实效；以全面落实经办政务服务事项清单制、科学梳理再造业务流程、强化信息化对业务经办的引领和支撑作用、完善费用审核和基金稽核联动工作机制、全面落实内控机制为抓手全面推进经办科学化能力建设；开展医疗保障服务品牌建设，构建常态化宣传渠道，深入推进宣传常态化能力建设；深入开展政风行风建设，加强人员综合素质能力提升，建立健全激励考评机制，加强医疗保障经办基础工作设备保障，促进保障体系化能力建设成型成势；修订完善各类规章制度，建立健全各项业务规程，建立费用审核和基金稽核统一规则，确保制度规范标准化能力建设落到实处。到2022年底，基本建成全市统一、规范标准、智慧融合、便捷高效的医疗保障经办服务体系。</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（四）部门整体支出绩效目标。</w:t>
      </w:r>
    </w:p>
    <w:p>
      <w:pPr>
        <w:adjustRightIn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数量指标1：确保职工工资、五险一金和目标奖等按时足额发放。</w:t>
      </w:r>
    </w:p>
    <w:p>
      <w:pPr>
        <w:adjustRightIn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数量指标2：日常开支（差旅和维修、办公、培训等公用）。</w:t>
      </w:r>
    </w:p>
    <w:p>
      <w:pPr>
        <w:adjustRightIn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数量指标3：2022年度医保法制宣传和建设。</w:t>
      </w:r>
    </w:p>
    <w:p>
      <w:pPr>
        <w:adjustRightIn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质量指标：按月支付费用。</w:t>
      </w:r>
    </w:p>
    <w:p>
      <w:pPr>
        <w:tabs>
          <w:tab w:val="left" w:pos="6366"/>
        </w:tabs>
        <w:adjustRightIn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时效指标：2022年1-12月完成时间。</w:t>
      </w:r>
    </w:p>
    <w:p>
      <w:pPr>
        <w:tabs>
          <w:tab w:val="left" w:pos="6366"/>
        </w:tabs>
        <w:adjustRightInd w:val="0"/>
        <w:spacing w:line="578" w:lineRule="exact"/>
        <w:ind w:firstLineChars="200" w:firstLine="640"/>
        <w:rPr>
          <w:rFonts w:eastAsia="仿宋_GB2312"/>
          <w:color w:val="000000"/>
          <w:sz w:val="32"/>
          <w:szCs w:val="32"/>
        </w:rPr>
      </w:pPr>
      <w:r>
        <w:rPr>
          <w:rFonts w:eastAsia="仿宋_GB2312"/>
          <w:color w:val="000000"/>
          <w:sz w:val="32"/>
          <w:szCs w:val="32"/>
          <w:lang w:val="zh-CN"/>
        </w:rPr>
        <w:t>成本指标</w:t>
      </w:r>
      <w:r>
        <w:rPr>
          <w:rFonts w:eastAsia="仿宋_GB2312"/>
          <w:color w:val="000000"/>
          <w:sz w:val="32"/>
          <w:szCs w:val="32"/>
        </w:rPr>
        <w:t>1：按月支付保障单位正常运转的工作经费。</w:t>
      </w:r>
    </w:p>
    <w:p>
      <w:pPr>
        <w:tabs>
          <w:tab w:val="left" w:pos="6366"/>
        </w:tabs>
        <w:adjustRightInd w:val="0"/>
        <w:spacing w:line="578" w:lineRule="exact"/>
        <w:ind w:firstLineChars="200" w:firstLine="640"/>
        <w:rPr>
          <w:rFonts w:eastAsia="仿宋_GB2312"/>
          <w:color w:val="000000"/>
          <w:sz w:val="32"/>
          <w:szCs w:val="32"/>
        </w:rPr>
      </w:pPr>
      <w:r>
        <w:rPr>
          <w:rFonts w:eastAsia="仿宋_GB2312"/>
          <w:color w:val="000000"/>
          <w:sz w:val="32"/>
          <w:szCs w:val="32"/>
          <w:lang w:val="zh-CN"/>
        </w:rPr>
        <w:t>成本指标</w:t>
      </w:r>
      <w:r>
        <w:rPr>
          <w:rFonts w:eastAsia="仿宋_GB2312"/>
          <w:color w:val="000000"/>
          <w:sz w:val="32"/>
          <w:szCs w:val="32"/>
        </w:rPr>
        <w:t>2：按月支付人员工资、社保缴费及公积金等人员经费。</w:t>
      </w:r>
    </w:p>
    <w:p>
      <w:pPr>
        <w:tabs>
          <w:tab w:val="left" w:pos="6366"/>
        </w:tabs>
        <w:adjustRightInd w:val="0"/>
        <w:spacing w:line="578" w:lineRule="exact"/>
        <w:ind w:firstLineChars="200" w:firstLine="640"/>
        <w:rPr>
          <w:rFonts w:eastAsia="仿宋_GB2312"/>
          <w:color w:val="000000"/>
          <w:sz w:val="32"/>
          <w:szCs w:val="32"/>
        </w:rPr>
      </w:pPr>
      <w:r>
        <w:rPr>
          <w:rFonts w:eastAsia="仿宋_GB2312"/>
          <w:color w:val="000000"/>
          <w:sz w:val="32"/>
          <w:szCs w:val="32"/>
        </w:rPr>
        <w:t>社会效益指标：按时足额发放待遇。</w:t>
      </w:r>
    </w:p>
    <w:p>
      <w:pPr>
        <w:tabs>
          <w:tab w:val="left" w:pos="6366"/>
        </w:tabs>
        <w:adjustRightInd w:val="0"/>
        <w:spacing w:line="578" w:lineRule="exact"/>
        <w:ind w:firstLineChars="200" w:firstLine="640"/>
        <w:rPr>
          <w:rFonts w:eastAsia="仿宋_GB2312"/>
          <w:color w:val="000000"/>
          <w:sz w:val="32"/>
          <w:szCs w:val="32"/>
        </w:rPr>
      </w:pPr>
      <w:r>
        <w:rPr>
          <w:rFonts w:eastAsia="仿宋_GB2312"/>
          <w:color w:val="000000"/>
          <w:sz w:val="32"/>
          <w:szCs w:val="32"/>
        </w:rPr>
        <w:t>可持续影响指标：医保基金运行平稳有序。</w:t>
      </w:r>
    </w:p>
    <w:p>
      <w:pPr>
        <w:tabs>
          <w:tab w:val="left" w:pos="6366"/>
        </w:tabs>
        <w:adjustRightInd w:val="0"/>
        <w:spacing w:line="578" w:lineRule="exact"/>
        <w:ind w:firstLineChars="200" w:firstLine="640"/>
        <w:rPr>
          <w:rFonts w:eastAsia="仿宋_GB2312"/>
          <w:color w:val="000000"/>
          <w:sz w:val="32"/>
          <w:szCs w:val="32"/>
        </w:rPr>
      </w:pPr>
      <w:r>
        <w:rPr>
          <w:rFonts w:eastAsia="仿宋_GB2312"/>
          <w:color w:val="000000"/>
          <w:sz w:val="32"/>
          <w:szCs w:val="32"/>
        </w:rPr>
        <w:t>服务对象满意度指标：参保人员满意度大于90%。</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二、部门资金收支情况</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（一）部门总体收支情况。</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1.部门总体收入情况</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sz w:val="32"/>
          <w:szCs w:val="32"/>
        </w:rPr>
        <w:t>2022年本年收入合计1213.39万元，其中：一般公共预算财政拨款收入1134.73万元，占100%；政府性基金预算财政拨款收入0万元，占0%；国有资本经营预算财政拨款收入0万元，占0%；上级补助收入0万元，占0%；事业收入0万元，占0%；经营收入0万元，占0%；附属单位上缴收入0万元，占0%；其他收入0万元，占0%。</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2.部门总体支出情况</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sz w:val="32"/>
          <w:szCs w:val="32"/>
        </w:rPr>
        <w:t>2022年本年支出合计1213.39万元，其中：基本支出962.63万元，占79%；项目支出250.76万元，占21%；上缴上级支出0万元，占0%；经营支出0万元，占0%；对附属单位补助支出0万元，占0%。</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3.部门总体结转结余情况</w:t>
      </w:r>
    </w:p>
    <w:p>
      <w:pPr>
        <w:widowControl/>
        <w:adjustRightInd w:val="0"/>
        <w:snapToGrid w:val="0"/>
        <w:spacing w:line="578" w:lineRule="exact"/>
        <w:ind w:firstLineChars="200" w:firstLine="640"/>
        <w:contextualSpacing/>
        <w:rPr>
          <w:rFonts w:eastAsia="仿宋_GB2312"/>
          <w:color w:val="000000"/>
          <w:sz w:val="32"/>
          <w:szCs w:val="32"/>
        </w:rPr>
      </w:pPr>
      <w:r>
        <w:rPr>
          <w:rFonts w:eastAsia="仿宋_GB2312"/>
          <w:color w:val="000000"/>
          <w:sz w:val="32"/>
          <w:szCs w:val="32"/>
        </w:rPr>
        <w:t>本年度无结转结余。</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（二）部门财政拨款收支情况。</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1.部门财政拨款收入情况</w:t>
      </w:r>
    </w:p>
    <w:p>
      <w:pPr>
        <w:widowControl/>
        <w:adjustRightInd w:val="0"/>
        <w:snapToGrid w:val="0"/>
        <w:spacing w:line="578" w:lineRule="exact"/>
        <w:ind w:firstLineChars="200" w:firstLine="640"/>
        <w:contextualSpacing/>
        <w:rPr>
          <w:rFonts w:eastAsia="仿宋_GB2312"/>
          <w:color w:val="000000"/>
          <w:sz w:val="32"/>
          <w:szCs w:val="32"/>
        </w:rPr>
      </w:pPr>
      <w:r>
        <w:rPr>
          <w:rFonts w:eastAsia="仿宋_GB2312"/>
          <w:color w:val="000000"/>
          <w:sz w:val="32"/>
          <w:szCs w:val="32"/>
        </w:rPr>
        <w:t>2022年财政拨款收入总计1134.73万元、与2021年相比，财政拨款收入减少24.83万元、下降2%，主要原因为根据攀财资社【2022】203号文追减指标，调整年初结转结余，故本年收入较上年减少。</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2.部门财政拨款支出情况</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sz w:val="32"/>
          <w:szCs w:val="32"/>
        </w:rPr>
        <w:t>2022年一般公共预算财政拨款支出1213.39万元，主要用于以下方面:</w:t>
      </w:r>
      <w:r>
        <w:rPr>
          <w:rFonts w:eastAsia="仿宋_GB2312"/>
          <w:b/>
          <w:color w:val="000000"/>
          <w:sz w:val="32"/>
          <w:szCs w:val="32"/>
        </w:rPr>
        <w:t>一般公共服务</w:t>
      </w:r>
      <w:r>
        <w:rPr>
          <w:rFonts w:eastAsia="仿宋_GB2312"/>
          <w:b/>
          <w:bCs/>
          <w:color w:val="000000"/>
          <w:sz w:val="32"/>
          <w:szCs w:val="32"/>
        </w:rPr>
        <w:t>支出</w:t>
      </w:r>
      <w:r>
        <w:rPr>
          <w:rFonts w:eastAsia="仿宋_GB2312"/>
          <w:color w:val="000000"/>
          <w:sz w:val="32"/>
          <w:szCs w:val="32"/>
        </w:rPr>
        <w:t>2.82万元，占0.2%；</w:t>
      </w:r>
      <w:r>
        <w:rPr>
          <w:rFonts w:eastAsia="仿宋_GB2312"/>
          <w:b/>
          <w:color w:val="000000"/>
          <w:sz w:val="32"/>
          <w:szCs w:val="32"/>
        </w:rPr>
        <w:t>社会保障和就业</w:t>
      </w:r>
      <w:r>
        <w:rPr>
          <w:rFonts w:eastAsia="仿宋_GB2312"/>
          <w:b/>
          <w:bCs/>
          <w:color w:val="000000"/>
          <w:sz w:val="32"/>
          <w:szCs w:val="32"/>
        </w:rPr>
        <w:t>支出</w:t>
      </w:r>
      <w:r>
        <w:rPr>
          <w:rFonts w:eastAsia="仿宋_GB2312"/>
          <w:color w:val="000000"/>
          <w:sz w:val="32"/>
          <w:szCs w:val="32"/>
        </w:rPr>
        <w:t>99.82万元，占8%；</w:t>
      </w:r>
      <w:r>
        <w:rPr>
          <w:rFonts w:eastAsia="仿宋_GB2312"/>
          <w:b/>
          <w:bCs/>
          <w:color w:val="000000"/>
          <w:sz w:val="32"/>
          <w:szCs w:val="32"/>
        </w:rPr>
        <w:t>卫生健康支出</w:t>
      </w:r>
      <w:r>
        <w:rPr>
          <w:rFonts w:eastAsia="仿宋_GB2312"/>
          <w:color w:val="000000"/>
          <w:sz w:val="32"/>
          <w:szCs w:val="32"/>
        </w:rPr>
        <w:t>1032.48万元，占85%；</w:t>
      </w:r>
      <w:r>
        <w:rPr>
          <w:rFonts w:eastAsia="仿宋_GB2312"/>
          <w:b/>
          <w:bCs/>
          <w:color w:val="000000"/>
          <w:sz w:val="32"/>
          <w:szCs w:val="32"/>
        </w:rPr>
        <w:t>住房保障支出</w:t>
      </w:r>
      <w:r>
        <w:rPr>
          <w:rFonts w:eastAsia="仿宋_GB2312"/>
          <w:color w:val="000000"/>
          <w:sz w:val="32"/>
          <w:szCs w:val="32"/>
        </w:rPr>
        <w:t>78.27万元，占6.8%。</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3.部门财政拨款结转结余情况</w:t>
      </w:r>
    </w:p>
    <w:p>
      <w:pPr>
        <w:widowControl/>
        <w:adjustRightInd w:val="0"/>
        <w:snapToGrid w:val="0"/>
        <w:spacing w:line="578" w:lineRule="exact"/>
        <w:ind w:firstLineChars="200" w:firstLine="640"/>
        <w:contextualSpacing/>
        <w:rPr>
          <w:rFonts w:eastAsia="仿宋_GB2312"/>
          <w:color w:val="000000"/>
          <w:sz w:val="32"/>
          <w:szCs w:val="32"/>
        </w:rPr>
      </w:pPr>
      <w:r>
        <w:rPr>
          <w:rFonts w:eastAsia="仿宋_GB2312"/>
          <w:color w:val="000000"/>
          <w:sz w:val="32"/>
          <w:szCs w:val="32"/>
        </w:rPr>
        <w:t>本年度无结转结余。</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三、部门整体绩效分析</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（一）部门预算项目绩效分析。</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1.人员类项目绩效分析</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目标制定方面。2022年紧紧围绕</w:t>
      </w:r>
      <w:r>
        <w:rPr>
          <w:rFonts w:eastAsia="仿宋_GB2312"/>
          <w:color w:val="000000"/>
          <w:kern w:val="0"/>
          <w:sz w:val="32"/>
          <w:szCs w:val="32"/>
        </w:rPr>
        <w:t>中心</w:t>
      </w:r>
      <w:r>
        <w:rPr>
          <w:rFonts w:eastAsia="仿宋_GB2312"/>
          <w:color w:val="000000"/>
          <w:kern w:val="0"/>
          <w:sz w:val="32"/>
          <w:szCs w:val="32"/>
          <w:lang w:val="zh-CN"/>
        </w:rPr>
        <w:t>目标任务和重点工作，按照财政部门预算绩效管理相关规定，结合实际从数量、质量、成本和时效等方面细化绩效指标，注重绩效目标符合客观实际，以定量方式表述，绩效目标设置科学。</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目标实现方面。积极推进预算绩效运行管理，开展事中绩效监控，确保绩效目标实现。工资、五险一金等人员支出保障了职工正常福利待遇按月发放。2022年完成项目资金支付，达到预期目标。</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支出控制方面。2022年我中心各项经费支出均按照调整预算数执行。</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及时处置方面。事中监控未发现资金支付与指标不符，偏离绩效目标等情况。</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执行进度方面。预算执行过程严把审核关口，强化资金监督使用，确保项目资金专款专用。对预算执行进度缓慢的项目，督促并加快资金执行进度。资金执行进度100%。</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预算完成方面。2022年整体预算完成情况好，圆满完成了全年预算绩效目标。</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资金结余率方面。2022年年终预算项目均无结余，资金结余率0%。</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违规记录方面。2022年预算绩效管理工作中没有发现违纪违规问题。</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2.运转类项目绩效分析</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目标制定方面。2022年紧紧围绕</w:t>
      </w:r>
      <w:r>
        <w:rPr>
          <w:rFonts w:eastAsia="仿宋_GB2312"/>
          <w:color w:val="000000"/>
          <w:kern w:val="0"/>
          <w:sz w:val="32"/>
          <w:szCs w:val="32"/>
        </w:rPr>
        <w:t>中心</w:t>
      </w:r>
      <w:r>
        <w:rPr>
          <w:rFonts w:eastAsia="仿宋_GB2312"/>
          <w:color w:val="000000"/>
          <w:kern w:val="0"/>
          <w:sz w:val="32"/>
          <w:szCs w:val="32"/>
          <w:lang w:val="zh-CN"/>
        </w:rPr>
        <w:t>目标任务和重点工作，按照财政部门预算绩效管理相关规定，结合实际从数量、质量、成本和时效等方面细化绩效指标，注重绩效目标符合客观实际，以定量方式表述，绩效目标设置科学。</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目标实现方面。积极推进预算绩效运行管理，开展事中绩效监控，确保绩效目标实现。办公费、水电费、差旅费等日常开支，保障了中心日常办公和人员运转支出。2022年完成项目资金支付，达到预期目标。</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支出控制方面。2022年我中心各项经费支出均按照调整预算数执行。</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及时处置方面。事中监控未发现资金支付与指标不符，偏离绩效目标等情况。</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执行进度方面。预算执行过程严把审核关口，强化资金监督使用，确保项目资金专款专用。对预算执行进度缓慢的项目，督促并加快资金执行进度。资金执行进度100%。</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预算完成方面。2022年整体预算完成情况好，圆满完成了全年预算绩效目标。</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资金结余率方面。2022年年终预算项目均无结余，资金结余率0%。</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违规记录方面。2022年预算绩效管理工作中没有发现违纪违规问题。</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rPr>
      </w:pPr>
      <w:r>
        <w:rPr>
          <w:rFonts w:eastAsia="仿宋_GB2312"/>
          <w:color w:val="000000"/>
          <w:kern w:val="0"/>
          <w:sz w:val="32"/>
          <w:szCs w:val="32"/>
          <w:shd w:val="clear" w:color="auto" w:fill="FFFFFF"/>
        </w:rPr>
        <w:t>3.特定目标类项目绩效分析</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目标制定方面。2022年紧紧围绕</w:t>
      </w:r>
      <w:r>
        <w:rPr>
          <w:rFonts w:eastAsia="仿宋_GB2312"/>
          <w:color w:val="000000"/>
          <w:kern w:val="0"/>
          <w:sz w:val="32"/>
          <w:szCs w:val="32"/>
        </w:rPr>
        <w:t>中心</w:t>
      </w:r>
      <w:r>
        <w:rPr>
          <w:rFonts w:eastAsia="仿宋_GB2312"/>
          <w:color w:val="000000"/>
          <w:kern w:val="0"/>
          <w:sz w:val="32"/>
          <w:szCs w:val="32"/>
          <w:lang w:val="zh-CN"/>
        </w:rPr>
        <w:t>目标任务和重点工作，按照财政部门预算绩效管理相关规定，结合实际从数量、质量、成本和时效等方面细化绩效指标，注重绩效目标符合客观实际，以定量方式表述，绩效目标设置科学。</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目标实现方面。积极推进预算绩效运行管理，开展事中绩效监控，确保实现特定目标任务。2022年完成项目资金支付，达到预期目标。</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支出控制方面。2022年我中心各项经费支出均按照调整预算数执行。</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及时处置方面。事中监控未发现资金支付与指标不符，偏离绩效目标等情况。</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执行进度方面。预算执行过程严把审核关口，强化资金监督使用，确保项目资金专款专用。对预算执行进度缓慢的项目，督促并加快资金执行进度。资金执行进度100%。</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预算完成方面。2022年整体预算完成情况好，圆满完成了全年预算绩效目标。</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资金结余率方面。2022年年终预算项目均无结余，资金结余率0%。</w:t>
      </w:r>
    </w:p>
    <w:p>
      <w:pPr>
        <w:widowControl/>
        <w:adjustRightInd w:val="0"/>
        <w:snapToGrid w:val="0"/>
        <w:spacing w:line="578" w:lineRule="exact"/>
        <w:ind w:firstLineChars="200" w:firstLine="640"/>
        <w:contextualSpacing/>
        <w:rPr>
          <w:rFonts w:eastAsia="仿宋_GB2312"/>
          <w:color w:val="000000"/>
          <w:kern w:val="0"/>
          <w:sz w:val="32"/>
          <w:szCs w:val="32"/>
          <w:lang w:val="zh-CN"/>
        </w:rPr>
      </w:pPr>
      <w:r>
        <w:rPr>
          <w:rFonts w:eastAsia="仿宋_GB2312"/>
          <w:color w:val="000000"/>
          <w:kern w:val="0"/>
          <w:sz w:val="32"/>
          <w:szCs w:val="32"/>
          <w:lang w:val="zh-CN"/>
        </w:rPr>
        <w:t>违规记录方面。2022年预算绩效管理工作中没有发现违纪违规问题。</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（二）部门整体履职绩效分析。</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color w:val="000000"/>
          <w:sz w:val="32"/>
          <w:szCs w:val="32"/>
          <w:shd w:val="clear" w:color="auto" w:fill="FFFFFF"/>
        </w:rPr>
        <w:t>2022年，攀枝花市医疗保障事务中心坚持以确保基金安全为前提，以保障参保人员切身利益为重点，以控制医疗费用不合理增长和加强定点医疗机构监管为核心，积极履行服务、管理、监管、宣传职能，不断创新管理机制和提升服务能力，全力破解影响医保制度运行过程中存在的突出问题和困难，着力推动各项医保工作的全面、协调、快速发展，取得了较好的成效。</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（三）结果应用情况。</w:t>
      </w:r>
    </w:p>
    <w:p>
      <w:pPr>
        <w:widowControl/>
        <w:adjustRightInd w:val="0"/>
        <w:snapToGrid w:val="0"/>
        <w:spacing w:line="578" w:lineRule="exact"/>
        <w:ind w:firstLineChars="200" w:firstLine="640"/>
        <w:contextualSpacing/>
        <w:rPr>
          <w:rFonts w:eastAsia="仿宋_GB2312"/>
          <w:color w:val="000000"/>
          <w:sz w:val="32"/>
          <w:szCs w:val="32"/>
        </w:rPr>
      </w:pPr>
      <w:r>
        <w:rPr>
          <w:rFonts w:eastAsia="仿宋_GB2312"/>
          <w:color w:val="000000"/>
          <w:sz w:val="32"/>
          <w:szCs w:val="32"/>
        </w:rPr>
        <w:t>1.内部应用。不断加强资金管理监管和绩效评价应用，提高资金使用效益，加强信息公开力度建立健全工作机制、主动接受财政、审计、监察部门以及社会的监督。</w:t>
      </w:r>
    </w:p>
    <w:p>
      <w:pPr>
        <w:widowControl/>
        <w:adjustRightInd w:val="0"/>
        <w:snapToGrid w:val="0"/>
        <w:spacing w:line="578" w:lineRule="exact"/>
        <w:ind w:firstLineChars="200" w:firstLine="640"/>
        <w:contextualSpacing/>
        <w:rPr>
          <w:rFonts w:eastAsia="仿宋_GB2312"/>
          <w:color w:val="000000"/>
          <w:sz w:val="32"/>
          <w:szCs w:val="32"/>
        </w:rPr>
      </w:pPr>
      <w:r>
        <w:rPr>
          <w:rFonts w:eastAsia="仿宋_GB2312"/>
          <w:color w:val="000000"/>
          <w:sz w:val="32"/>
          <w:szCs w:val="32"/>
        </w:rPr>
        <w:t>2.自评公开。探索绩效自评公开的有效机制，着力提高绩效意识和财政资金使用效益，同时将部门整体支出绩效自评报告进行公开，广泛接受社会监督。</w:t>
      </w:r>
    </w:p>
    <w:p>
      <w:pPr>
        <w:widowControl/>
        <w:adjustRightInd w:val="0"/>
        <w:snapToGrid w:val="0"/>
        <w:spacing w:line="578" w:lineRule="exact"/>
        <w:ind w:firstLineChars="200" w:firstLine="640"/>
        <w:contextualSpacing/>
        <w:rPr>
          <w:rFonts w:eastAsia="仿宋_GB2312"/>
          <w:color w:val="000000"/>
          <w:sz w:val="32"/>
          <w:szCs w:val="32"/>
        </w:rPr>
      </w:pPr>
      <w:r>
        <w:rPr>
          <w:rFonts w:eastAsia="仿宋_GB2312"/>
          <w:color w:val="000000"/>
          <w:sz w:val="32"/>
          <w:szCs w:val="32"/>
        </w:rPr>
        <w:t>3.问题整改。不断规范项目管理，强化项目监督，及时安排资金使用，提高资金支付进度。</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sz w:val="32"/>
          <w:szCs w:val="32"/>
        </w:rPr>
        <w:t>4.应用反馈。积极推进预算绩效评价结果应用，增强绩效对预算安排的约束作用，推进各类支出由“重分配”向“重绩效”转变，切实提高了资金使用效益。</w:t>
      </w:r>
    </w:p>
    <w:p>
      <w:pPr>
        <w:widowControl/>
        <w:adjustRightInd w:val="0"/>
        <w:snapToGrid w:val="0"/>
        <w:spacing w:line="578" w:lineRule="exact"/>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（四）自评质量。</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sz w:val="32"/>
          <w:szCs w:val="32"/>
        </w:rPr>
        <w:t>我中心认真贯彻执行国家和省、市关于预算绩效管理自评工作相关要求，确定自评方式和评分标准，清晰描述各项预算项目开支范围和内容自评依据，确定预算项目的绩效目标、绩效指标和评价标准，为预算绩效控制、绩效分析、绩效评价打下坚实基础。</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四、评价结论及建议</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（一）评价结论。</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color w:val="000000"/>
          <w:sz w:val="32"/>
          <w:szCs w:val="32"/>
        </w:rPr>
        <w:t>我中心重大资金使用均通过领导班子集体讨论，提高了财政资金的使用效率，保障了正常运转。通过加强预算管理，收支管理，政府采购管理，资产管理，合同管理等方面，不断建立健全内部管理制度，梳理内部管理流程，部门整体支出管理水平得到了提升。</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（二）存在问题。</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sz w:val="32"/>
          <w:szCs w:val="32"/>
        </w:rPr>
        <w:t>年度绩效评价工作各科室参与程度不够，特别涉及项目资金绩效自评具体工作多为财务人员承担，项目具体情况不清楚。</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lang w:val="zh-CN"/>
        </w:rPr>
      </w:pPr>
      <w:r>
        <w:rPr>
          <w:rFonts w:eastAsia="仿宋_GB2312"/>
          <w:b/>
          <w:bCs/>
          <w:color w:val="000000"/>
          <w:kern w:val="0"/>
          <w:sz w:val="32"/>
          <w:szCs w:val="32"/>
          <w:shd w:val="clear" w:color="auto" w:fill="FFFFFF"/>
          <w:lang w:val="zh-CN"/>
        </w:rPr>
        <w:t>（三）改进建议。</w:t>
      </w:r>
    </w:p>
    <w:p>
      <w:pPr>
        <w:widowControl/>
        <w:adjustRightInd w:val="0"/>
        <w:snapToGrid w:val="0"/>
        <w:spacing w:line="578" w:lineRule="exact"/>
        <w:ind w:firstLineChars="200" w:firstLine="640"/>
        <w:contextualSpacing/>
        <w:rPr>
          <w:rFonts w:eastAsia="仿宋_GB2312"/>
          <w:color w:val="000000"/>
          <w:kern w:val="0"/>
          <w:sz w:val="32"/>
          <w:szCs w:val="32"/>
          <w:shd w:val="clear" w:color="auto" w:fill="FFFFFF"/>
          <w:lang w:val="zh-CN"/>
        </w:rPr>
      </w:pPr>
      <w:r>
        <w:rPr>
          <w:rFonts w:eastAsia="仿宋_GB2312"/>
          <w:color w:val="000000"/>
          <w:sz w:val="32"/>
          <w:szCs w:val="32"/>
        </w:rPr>
        <w:t>一是绩效评价工作需要各业务科室共同参与。二是进一步完善事前绩效评估、绩效目标管理、绩效运行监控、开展绩效评价和结果应用等全过程的绩效管理工作流程。</w:t>
      </w:r>
    </w:p>
    <w:p>
      <w:pPr>
        <w:widowControl/>
        <w:adjustRightInd w:val="0"/>
        <w:snapToGrid w:val="0"/>
        <w:spacing w:line="578" w:lineRule="exact"/>
        <w:ind w:firstLineChars="200" w:firstLine="640"/>
        <w:contextualSpacing/>
        <w:rPr>
          <w:rFonts w:eastAsia="仿宋_GB2312"/>
          <w:b/>
          <w:bCs/>
          <w:color w:val="000000"/>
          <w:kern w:val="0"/>
          <w:sz w:val="32"/>
          <w:szCs w:val="32"/>
          <w:shd w:val="clear" w:color="auto" w:fill="FFFFFF"/>
        </w:rPr>
      </w:pPr>
    </w:p>
    <w:p>
      <w:pPr>
        <w:pStyle w:val="23"/>
        <w:spacing w:after="0" w:line="578" w:lineRule="exact"/>
        <w:ind w:leftChars="0" w:left="0"/>
        <w:rPr>
          <w:rFonts w:ascii="Times New Roman" w:eastAsia="仿宋_GB2312" w:hAnsi="Times New Roman"/>
          <w:color w:val="000000"/>
          <w:sz w:val="32"/>
        </w:rPr>
      </w:pPr>
      <w:r>
        <w:rPr>
          <w:rFonts w:ascii="Times New Roman" w:eastAsia="仿宋_GB2312" w:hAnsi="Times New Roman"/>
          <w:color w:val="000000"/>
          <w:sz w:val="32"/>
          <w:lang w:val="zh-CN"/>
        </w:rPr>
        <w:t>附表：</w:t>
      </w:r>
      <w:r>
        <w:rPr>
          <w:rFonts w:ascii="Times New Roman" w:eastAsia="仿宋_GB2312" w:hAnsi="Times New Roman"/>
          <w:color w:val="000000"/>
          <w:sz w:val="32"/>
        </w:rPr>
        <w:t>攀枝花市医疗保障事务中心部门预算项目支出绩效自评表（2022年度）</w:t>
      </w:r>
    </w:p>
    <w:p>
      <w:pPr>
        <w:rPr>
          <w:color w:val="000000"/>
          <w:sz w:val="32"/>
          <w:szCs w:val="32"/>
          <w:shd w:val="clear" w:color="auto" w:fill="FFFFFF"/>
          <w:lang w:val="zh-CN"/>
        </w:rPr>
      </w:pPr>
      <w:r>
        <w:rPr>
          <w:color w:val="000000"/>
          <w:sz w:val="32"/>
          <w:szCs w:val="32"/>
          <w:shd w:val="clear" w:color="auto" w:fill="FFFFFF"/>
          <w:lang w:val="zh-CN"/>
        </w:rPr>
        <w:br w:type="page"/>
      </w:r>
    </w:p>
    <w:p>
      <w:pPr>
        <w:pStyle w:val="15"/>
        <w:spacing w:beforeLines="0" w:before="30" w:line="578" w:lineRule="exact"/>
        <w:rPr>
          <w:rFonts w:ascii="Times New Roman" w:eastAsia="黑体" w:hAnsi="Times New Roman"/>
          <w:color w:val="000000"/>
          <w:sz w:val="32"/>
          <w:szCs w:val="32"/>
          <w:shd w:val="clear" w:color="auto" w:fill="FFFFFF"/>
        </w:rPr>
      </w:pPr>
      <w:r>
        <w:rPr>
          <w:rFonts w:ascii="Times New Roman" w:eastAsia="黑体" w:hAnsi="Times New Roman"/>
          <w:color w:val="000000"/>
          <w:sz w:val="32"/>
          <w:szCs w:val="32"/>
          <w:shd w:val="clear" w:color="auto" w:fill="FFFFFF"/>
          <w:lang w:val="zh-CN"/>
        </w:rPr>
        <w:t>附件</w:t>
      </w:r>
      <w:r>
        <w:rPr>
          <w:rFonts w:ascii="Times New Roman" w:eastAsia="黑体" w:hAnsi="Times New Roman"/>
          <w:color w:val="000000"/>
          <w:sz w:val="32"/>
          <w:szCs w:val="32"/>
          <w:shd w:val="clear" w:color="auto" w:fill="FFFFFF"/>
        </w:rPr>
        <w:t>2</w:t>
      </w:r>
    </w:p>
    <w:p>
      <w:pPr>
        <w:pStyle w:val="15"/>
        <w:spacing w:beforeLines="0" w:before="30" w:line="578" w:lineRule="exact"/>
        <w:rPr>
          <w:rFonts w:ascii="Times New Roman" w:eastAsia="黑体" w:hAnsi="Times New Roman"/>
          <w:color w:val="000000"/>
          <w:sz w:val="32"/>
          <w:szCs w:val="32"/>
          <w:shd w:val="clear" w:color="auto" w:fill="FFFFFF"/>
        </w:rPr>
      </w:pPr>
    </w:p>
    <w:p>
      <w:pPr>
        <w:pStyle w:val="35"/>
        <w:spacing w:line="578" w:lineRule="exact"/>
        <w:jc w:val="center"/>
        <w:rPr>
          <w:rFonts w:ascii="Times New Roman" w:eastAsia="方正小标宋_GBK" w:hAnsi="Times New Roman"/>
          <w:color w:val="000000"/>
          <w:kern w:val="2"/>
          <w:sz w:val="44"/>
          <w:szCs w:val="44"/>
          <w:lang w:val="en-US"/>
        </w:rPr>
      </w:pPr>
      <w:r>
        <w:rPr>
          <w:rFonts w:ascii="Times New Roman" w:eastAsia="方正小标宋_GBK" w:hAnsi="Times New Roman"/>
          <w:color w:val="000000"/>
          <w:kern w:val="2"/>
          <w:sz w:val="44"/>
          <w:szCs w:val="44"/>
          <w:lang w:val="en-US"/>
        </w:rPr>
        <w:t>2022年市级专项资金预算项目绩效自评报告</w:t>
      </w:r>
    </w:p>
    <w:p>
      <w:pPr>
        <w:pStyle w:val="35"/>
        <w:spacing w:line="578" w:lineRule="exact"/>
        <w:jc w:val="center"/>
        <w:rPr>
          <w:rFonts w:ascii="Times New Roman" w:eastAsia="楷体_GB2312" w:hAnsi="Times New Roman"/>
          <w:color w:val="000000"/>
          <w:kern w:val="2"/>
          <w:sz w:val="32"/>
          <w:szCs w:val="32"/>
          <w:lang w:val="en-US"/>
        </w:rPr>
      </w:pPr>
      <w:r>
        <w:rPr>
          <w:rFonts w:ascii="Times New Roman" w:eastAsia="楷体_GB2312" w:hAnsi="Times New Roman"/>
          <w:color w:val="000000"/>
          <w:kern w:val="2"/>
          <w:sz w:val="32"/>
          <w:szCs w:val="32"/>
          <w:lang w:val="en-US"/>
        </w:rPr>
        <w:t>（贯彻执行国家15项医保信息业务编码）</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项目概况</w:t>
      </w:r>
    </w:p>
    <w:p>
      <w:pPr>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（一）项目基本情况。</w:t>
      </w:r>
    </w:p>
    <w:p>
      <w:pPr>
        <w:spacing w:line="578" w:lineRule="exact"/>
        <w:ind w:firstLineChars="200" w:firstLine="640"/>
        <w:rPr>
          <w:rFonts w:eastAsia="仿宋_GB2312"/>
          <w:bCs/>
          <w:color w:val="000000"/>
          <w:sz w:val="32"/>
          <w:szCs w:val="32"/>
        </w:rPr>
      </w:pPr>
      <w:r>
        <w:rPr>
          <w:rFonts w:eastAsia="仿宋_GB2312"/>
          <w:bCs/>
          <w:color w:val="000000"/>
          <w:sz w:val="32"/>
          <w:szCs w:val="32"/>
        </w:rPr>
        <w:t>本项目的主要内容是按照国家、省统一部署，逐项逐步推进疾病诊断和手术操作等15信息业务编码标准的数据映射治理和对标落地，同时完成相关系统改造，后期根据国家、省统要求，梳理完善和维护国家医保信息业务编码。</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（二）项目绩效目标。</w:t>
      </w:r>
    </w:p>
    <w:p>
      <w:pPr>
        <w:spacing w:line="578" w:lineRule="exact"/>
        <w:ind w:firstLineChars="200" w:firstLine="640"/>
        <w:rPr>
          <w:rFonts w:eastAsia="仿宋_GB2312"/>
          <w:bCs/>
          <w:color w:val="000000"/>
          <w:sz w:val="32"/>
          <w:szCs w:val="32"/>
        </w:rPr>
      </w:pPr>
      <w:r>
        <w:rPr>
          <w:rFonts w:eastAsia="仿宋_GB2312"/>
          <w:bCs/>
          <w:color w:val="000000"/>
          <w:sz w:val="32"/>
          <w:szCs w:val="32"/>
        </w:rPr>
        <w:t>对我市疾病诊断编码进行映射，转化为国家医保2021版疾病诊断编码使用。逐项逐步推进疾病诊断和手术操作等15信息业务编码标准的数据映射治理和对标落地，同时完成相关系统改造，后期根据国家、省统一要求，梳理完善和维护国家医保信息业务编码。</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（三）项目自评步骤及方法。</w:t>
      </w:r>
    </w:p>
    <w:p>
      <w:pPr>
        <w:spacing w:line="578" w:lineRule="exact"/>
        <w:ind w:firstLineChars="200" w:firstLine="640"/>
        <w:rPr>
          <w:rFonts w:eastAsia="仿宋_GB2312"/>
          <w:bCs/>
          <w:color w:val="000000"/>
          <w:sz w:val="32"/>
          <w:szCs w:val="32"/>
        </w:rPr>
      </w:pPr>
      <w:r>
        <w:rPr>
          <w:rFonts w:eastAsia="仿宋_GB2312"/>
          <w:bCs/>
          <w:color w:val="000000"/>
          <w:sz w:val="32"/>
          <w:szCs w:val="32"/>
        </w:rPr>
        <w:t>1.组织实施步骤。</w:t>
      </w:r>
    </w:p>
    <w:p>
      <w:pPr>
        <w:spacing w:line="578" w:lineRule="exact"/>
        <w:ind w:firstLineChars="200" w:firstLine="640"/>
        <w:rPr>
          <w:rFonts w:eastAsia="仿宋_GB2312"/>
          <w:bCs/>
          <w:color w:val="000000"/>
          <w:sz w:val="32"/>
          <w:szCs w:val="32"/>
        </w:rPr>
      </w:pPr>
      <w:r>
        <w:rPr>
          <w:rFonts w:eastAsia="仿宋_GB2312"/>
          <w:bCs/>
          <w:color w:val="000000"/>
          <w:sz w:val="32"/>
          <w:szCs w:val="32"/>
        </w:rPr>
        <w:t>2022年度预算项目绩效评估工作通过线上与线下相结合方式开展。按照有关规定和工作安排，我单位开展自行评估，通过委托第三方机构的方式组建评估组，通过收集被评估项目相关基础资料，并查阅资料、收集数据信息等，深入论证分析后，形成绩效评估报告。</w:t>
      </w:r>
    </w:p>
    <w:p>
      <w:pPr>
        <w:spacing w:line="578" w:lineRule="exact"/>
        <w:ind w:firstLineChars="200" w:firstLine="640"/>
        <w:rPr>
          <w:rFonts w:eastAsia="仿宋_GB2312"/>
          <w:bCs/>
          <w:color w:val="000000"/>
          <w:sz w:val="32"/>
          <w:szCs w:val="32"/>
        </w:rPr>
      </w:pPr>
      <w:r>
        <w:rPr>
          <w:rFonts w:eastAsia="仿宋_GB2312"/>
          <w:bCs/>
          <w:color w:val="000000"/>
          <w:sz w:val="32"/>
          <w:szCs w:val="32"/>
        </w:rPr>
        <w:t>2评估方法。</w:t>
      </w:r>
    </w:p>
    <w:p>
      <w:pPr>
        <w:spacing w:line="578" w:lineRule="exact"/>
        <w:ind w:firstLineChars="200" w:firstLine="640"/>
        <w:rPr>
          <w:rFonts w:eastAsia="仿宋_GB2312"/>
          <w:bCs/>
          <w:color w:val="000000"/>
          <w:sz w:val="32"/>
          <w:szCs w:val="32"/>
        </w:rPr>
      </w:pPr>
      <w:r>
        <w:rPr>
          <w:rFonts w:eastAsia="仿宋_GB2312"/>
          <w:bCs/>
          <w:color w:val="000000"/>
          <w:sz w:val="32"/>
          <w:szCs w:val="32"/>
        </w:rPr>
        <w:t>本项目通过与项目相关人员座谈或讨论、聘请相关专业专家了解项目情况，收集相关资料，综合分析相关情况后，对项目的立项必要性、投入经济性、目标合理性、方案可行性以及筹资合规性实施评估。</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二、项目资金申报及使用情况</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（一）项目资金申报及批复情况。</w:t>
      </w:r>
    </w:p>
    <w:p>
      <w:pPr>
        <w:spacing w:line="578" w:lineRule="exact"/>
        <w:ind w:firstLineChars="200" w:firstLine="640"/>
        <w:rPr>
          <w:rFonts w:eastAsia="仿宋_GB2312"/>
          <w:bCs/>
          <w:color w:val="000000"/>
          <w:sz w:val="32"/>
          <w:szCs w:val="32"/>
        </w:rPr>
      </w:pPr>
      <w:r>
        <w:rPr>
          <w:rFonts w:eastAsia="仿宋_GB2312"/>
          <w:bCs/>
          <w:color w:val="000000"/>
          <w:sz w:val="32"/>
          <w:szCs w:val="32"/>
        </w:rPr>
        <w:t>本项目的是按照国家、省统一部署，逐项逐步推进疾病诊断和手术操作等15信息业务编码标准的数据映射治理和对标落地，同时完成相关系统改造，后期根据国家、省统一要求，梳理完善和维护国家医保信息业务编码。由市本级财政拨付，列入相应年度的财政预算，确保按时拨付、足额到位。按照四川省医疗保障局对贯标工作的整体要求和部署，需通过验收后方可支付。</w:t>
      </w:r>
    </w:p>
    <w:p>
      <w:pPr>
        <w:spacing w:line="578" w:lineRule="exact"/>
        <w:ind w:firstLineChars="200" w:firstLine="640"/>
        <w:rPr>
          <w:rFonts w:eastAsia="仿宋_GB2312"/>
          <w:bCs/>
          <w:color w:val="000000"/>
          <w:sz w:val="32"/>
          <w:szCs w:val="32"/>
        </w:rPr>
      </w:pPr>
      <w:r>
        <w:rPr>
          <w:rFonts w:eastAsia="仿宋_GB2312"/>
          <w:bCs/>
          <w:color w:val="000000"/>
          <w:sz w:val="32"/>
          <w:szCs w:val="32"/>
        </w:rPr>
        <w:t>项目资金由市级资金构成，2022年项目资金20万元，均为调整（追加）预算，项目资金申报批复均符合资金管理办法等相关规定。</w:t>
      </w:r>
    </w:p>
    <w:p>
      <w:pPr>
        <w:adjustRightInd w:val="0"/>
        <w:snapToGrid w:val="0"/>
        <w:spacing w:line="578" w:lineRule="exact"/>
        <w:ind w:firstLineChars="200" w:firstLine="640"/>
        <w:rPr>
          <w:rFonts w:eastAsia="仿宋_GB2312"/>
          <w:color w:val="000000"/>
          <w:sz w:val="32"/>
          <w:szCs w:val="32"/>
          <w:lang w:val="zh-CN"/>
        </w:rPr>
      </w:pPr>
      <w:r>
        <w:rPr>
          <w:rFonts w:eastAsia="仿宋_GB2312"/>
          <w:b/>
          <w:color w:val="000000"/>
          <w:sz w:val="32"/>
          <w:szCs w:val="32"/>
          <w:lang w:val="zh-CN"/>
        </w:rPr>
        <w:t>（二）资金计划、到位及使用情况。</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34"/>
        <w:gridCol w:w="1732"/>
        <w:gridCol w:w="1732"/>
        <w:gridCol w:w="2338"/>
      </w:tblGrid>
      <w:tr>
        <w:trPr>
          <w:trHeight w:val="749"/>
        </w:trPr>
        <w:tc>
          <w:tcPr>
            <w:tcW w:w="2534" w:type="dxa"/>
            <w:shd w:val="clear" w:color="auto" w:fill="auto"/>
          </w:tcPr>
          <w:p>
            <w:pPr>
              <w:jc w:val="center"/>
              <w:rPr>
                <w:color w:val="000000"/>
                <w:sz w:val="28"/>
                <w:szCs w:val="28"/>
              </w:rPr>
            </w:pPr>
            <w:r>
              <w:rPr>
                <w:color w:val="000000"/>
                <w:sz w:val="28"/>
                <w:szCs w:val="28"/>
              </w:rPr>
              <w:t>资金情况</w:t>
            </w:r>
          </w:p>
        </w:tc>
        <w:tc>
          <w:tcPr>
            <w:tcW w:w="1732" w:type="dxa"/>
            <w:shd w:val="clear" w:color="auto" w:fill="auto"/>
          </w:tcPr>
          <w:p>
            <w:pPr>
              <w:jc w:val="center"/>
              <w:rPr>
                <w:color w:val="000000"/>
                <w:sz w:val="28"/>
                <w:szCs w:val="28"/>
              </w:rPr>
            </w:pPr>
            <w:r>
              <w:rPr>
                <w:color w:val="000000"/>
                <w:sz w:val="28"/>
                <w:szCs w:val="28"/>
              </w:rPr>
              <w:t>计划数</w:t>
            </w:r>
          </w:p>
        </w:tc>
        <w:tc>
          <w:tcPr>
            <w:tcW w:w="1732" w:type="dxa"/>
            <w:shd w:val="clear" w:color="auto" w:fill="auto"/>
          </w:tcPr>
          <w:p>
            <w:pPr>
              <w:jc w:val="center"/>
              <w:rPr>
                <w:color w:val="000000"/>
                <w:sz w:val="28"/>
                <w:szCs w:val="28"/>
              </w:rPr>
            </w:pPr>
            <w:r>
              <w:rPr>
                <w:color w:val="000000"/>
                <w:sz w:val="28"/>
                <w:szCs w:val="28"/>
              </w:rPr>
              <w:t>到位数</w:t>
            </w:r>
          </w:p>
        </w:tc>
        <w:tc>
          <w:tcPr>
            <w:tcW w:w="2338" w:type="dxa"/>
            <w:shd w:val="clear" w:color="auto" w:fill="auto"/>
          </w:tcPr>
          <w:p>
            <w:pPr>
              <w:jc w:val="center"/>
              <w:rPr>
                <w:color w:val="000000"/>
                <w:sz w:val="28"/>
                <w:szCs w:val="28"/>
              </w:rPr>
            </w:pPr>
            <w:r>
              <w:rPr>
                <w:color w:val="000000"/>
                <w:sz w:val="28"/>
                <w:szCs w:val="28"/>
              </w:rPr>
              <w:t>使用数</w:t>
            </w:r>
          </w:p>
        </w:tc>
      </w:tr>
      <w:tr>
        <w:trPr>
          <w:trHeight w:val="561"/>
        </w:trPr>
        <w:tc>
          <w:tcPr>
            <w:tcW w:w="2534" w:type="dxa"/>
            <w:shd w:val="clear" w:color="auto" w:fill="auto"/>
          </w:tcPr>
          <w:p>
            <w:pPr>
              <w:jc w:val="center"/>
              <w:rPr>
                <w:color w:val="000000"/>
                <w:sz w:val="28"/>
                <w:szCs w:val="28"/>
              </w:rPr>
            </w:pPr>
            <w:r>
              <w:rPr>
                <w:color w:val="000000"/>
                <w:sz w:val="28"/>
                <w:szCs w:val="28"/>
              </w:rPr>
              <w:t>金额（万元）</w:t>
            </w:r>
          </w:p>
        </w:tc>
        <w:tc>
          <w:tcPr>
            <w:tcW w:w="1732" w:type="dxa"/>
            <w:tcBorders>
              <w:top w:val="single" w:sz="4" w:space="0" w:color="auto"/>
              <w:left w:val="single" w:sz="4" w:space="0" w:color="auto"/>
              <w:right w:val="single" w:sz="4" w:space="0" w:color="auto"/>
            </w:tcBorders>
            <w:shd w:val="clear" w:color="auto" w:fill="auto"/>
          </w:tcPr>
          <w:p>
            <w:pPr>
              <w:jc w:val="center"/>
              <w:rPr>
                <w:color w:val="000000"/>
                <w:sz w:val="28"/>
                <w:szCs w:val="28"/>
              </w:rPr>
            </w:pPr>
            <w:r>
              <w:rPr>
                <w:color w:val="000000"/>
                <w:sz w:val="28"/>
                <w:szCs w:val="28"/>
              </w:rPr>
              <w:t>40</w:t>
            </w:r>
          </w:p>
        </w:tc>
        <w:tc>
          <w:tcPr>
            <w:tcW w:w="1732" w:type="dxa"/>
            <w:tcBorders>
              <w:top w:val="single" w:sz="4" w:space="0" w:color="auto"/>
              <w:left w:val="single" w:sz="4" w:space="0" w:color="auto"/>
              <w:right w:val="single" w:sz="4" w:space="0" w:color="auto"/>
            </w:tcBorders>
            <w:shd w:val="clear" w:color="auto" w:fill="auto"/>
          </w:tcPr>
          <w:p>
            <w:pPr>
              <w:jc w:val="center"/>
              <w:rPr>
                <w:color w:val="000000"/>
                <w:sz w:val="28"/>
                <w:szCs w:val="28"/>
              </w:rPr>
            </w:pPr>
            <w:r>
              <w:rPr>
                <w:color w:val="000000"/>
                <w:sz w:val="28"/>
                <w:szCs w:val="28"/>
              </w:rPr>
              <w:t>20</w:t>
            </w:r>
          </w:p>
        </w:tc>
        <w:tc>
          <w:tcPr>
            <w:tcW w:w="2338" w:type="dxa"/>
            <w:shd w:val="clear" w:color="auto" w:fill="auto"/>
          </w:tcPr>
          <w:p>
            <w:pPr>
              <w:jc w:val="center"/>
              <w:rPr>
                <w:color w:val="000000"/>
                <w:sz w:val="28"/>
                <w:szCs w:val="28"/>
              </w:rPr>
            </w:pPr>
            <w:r>
              <w:rPr>
                <w:color w:val="000000"/>
                <w:sz w:val="28"/>
                <w:szCs w:val="28"/>
              </w:rPr>
              <w:t>20</w:t>
            </w:r>
          </w:p>
        </w:tc>
      </w:tr>
    </w:tbl>
    <w:p>
      <w:pPr>
        <w:adjustRightInd w:val="0"/>
        <w:snapToGrid w:val="0"/>
        <w:spacing w:line="578" w:lineRule="exact"/>
        <w:ind w:firstLineChars="200" w:firstLine="640"/>
        <w:rPr>
          <w:rFonts w:eastAsia="仿宋_GB2312"/>
          <w:bCs/>
          <w:color w:val="000000"/>
          <w:sz w:val="32"/>
          <w:szCs w:val="32"/>
          <w:lang w:val="zh-CN"/>
        </w:rPr>
      </w:pPr>
      <w:r>
        <w:rPr>
          <w:rFonts w:eastAsia="仿宋_GB2312"/>
          <w:bCs/>
          <w:color w:val="000000"/>
          <w:sz w:val="32"/>
          <w:szCs w:val="32"/>
          <w:lang w:val="zh-CN"/>
        </w:rPr>
        <w:t>1．资金计划及到位。</w:t>
      </w:r>
    </w:p>
    <w:p>
      <w:pPr>
        <w:adjustRightInd w:val="0"/>
        <w:snapToGrid w:val="0"/>
        <w:spacing w:line="578" w:lineRule="exact"/>
        <w:ind w:firstLineChars="200" w:firstLine="640"/>
        <w:rPr>
          <w:rFonts w:eastAsia="仿宋_GB2312"/>
          <w:bCs/>
          <w:color w:val="000000"/>
          <w:sz w:val="32"/>
          <w:szCs w:val="32"/>
          <w:lang w:val="zh-CN"/>
        </w:rPr>
      </w:pPr>
      <w:r>
        <w:rPr>
          <w:rFonts w:eastAsia="仿宋_GB2312"/>
          <w:bCs/>
          <w:color w:val="000000"/>
          <w:sz w:val="32"/>
          <w:szCs w:val="32"/>
          <w:lang w:val="zh-CN"/>
        </w:rPr>
        <w:t>2．资金使用。</w:t>
      </w:r>
    </w:p>
    <w:p>
      <w:pPr>
        <w:adjustRightInd w:val="0"/>
        <w:snapToGrid w:val="0"/>
        <w:spacing w:line="578" w:lineRule="exact"/>
        <w:ind w:firstLineChars="200" w:firstLine="640"/>
        <w:rPr>
          <w:rFonts w:eastAsia="仿宋_GB2312"/>
          <w:bCs/>
          <w:color w:val="000000"/>
          <w:sz w:val="32"/>
          <w:szCs w:val="32"/>
        </w:rPr>
      </w:pPr>
      <w:r>
        <w:rPr>
          <w:rFonts w:eastAsia="仿宋_GB2312"/>
          <w:bCs/>
          <w:color w:val="000000"/>
          <w:sz w:val="32"/>
          <w:szCs w:val="32"/>
          <w:lang w:val="zh-CN"/>
        </w:rPr>
        <w:t>项目资金实际支出</w:t>
      </w:r>
      <w:r>
        <w:rPr>
          <w:rFonts w:eastAsia="仿宋_GB2312"/>
          <w:bCs/>
          <w:color w:val="000000"/>
          <w:sz w:val="32"/>
          <w:szCs w:val="32"/>
        </w:rPr>
        <w:t>20万元</w:t>
      </w:r>
      <w:r>
        <w:rPr>
          <w:rFonts w:eastAsia="仿宋_GB2312"/>
          <w:bCs/>
          <w:color w:val="000000"/>
          <w:sz w:val="32"/>
          <w:szCs w:val="32"/>
          <w:lang w:val="zh-CN"/>
        </w:rPr>
        <w:t>，资金支付依据合规合法，与预算相符。</w:t>
      </w:r>
    </w:p>
    <w:p>
      <w:pPr>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（三）项目财务管理情况。</w:t>
      </w:r>
    </w:p>
    <w:p>
      <w:pPr>
        <w:spacing w:line="578" w:lineRule="exact"/>
        <w:ind w:firstLineChars="200" w:firstLine="640"/>
        <w:rPr>
          <w:rFonts w:eastAsia="仿宋_GB2312"/>
          <w:bCs/>
          <w:color w:val="000000"/>
          <w:sz w:val="32"/>
          <w:szCs w:val="32"/>
          <w:lang w:val="zh-CN"/>
        </w:rPr>
      </w:pPr>
      <w:r>
        <w:rPr>
          <w:rFonts w:eastAsia="仿宋_GB2312"/>
          <w:bCs/>
          <w:color w:val="000000"/>
          <w:sz w:val="32"/>
          <w:szCs w:val="32"/>
        </w:rPr>
        <w:t>严格遵守省、市资金管理办法，明确项目资金的管理与使用，专项资金支出做到专款专用，支出及时入账，完成会计核算。</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三、项目实施及管理情况</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（一）项目组织架构及实施流程。</w:t>
      </w:r>
    </w:p>
    <w:p>
      <w:pPr>
        <w:spacing w:line="578" w:lineRule="exact"/>
        <w:ind w:firstLineChars="200" w:firstLine="640"/>
        <w:rPr>
          <w:rFonts w:eastAsia="仿宋_GB2312"/>
          <w:color w:val="000000"/>
          <w:sz w:val="32"/>
          <w:szCs w:val="32"/>
        </w:rPr>
      </w:pPr>
      <w:r>
        <w:rPr>
          <w:rFonts w:eastAsia="仿宋_GB2312"/>
          <w:bCs/>
          <w:color w:val="000000"/>
          <w:sz w:val="32"/>
          <w:szCs w:val="32"/>
        </w:rPr>
        <w:t>1.组织架构。在市医保局的领导下</w:t>
      </w:r>
      <w:r>
        <w:rPr>
          <w:rFonts w:eastAsia="仿宋_GB2312"/>
          <w:color w:val="000000"/>
          <w:sz w:val="32"/>
          <w:szCs w:val="32"/>
        </w:rPr>
        <w:t>，市医疗保障事务中心与第三方项目公司建立了长期良好的合作机制，保障组织管理和运行的可持续性。</w:t>
      </w:r>
    </w:p>
    <w:p>
      <w:pPr>
        <w:spacing w:line="578" w:lineRule="exact"/>
        <w:ind w:firstLineChars="200" w:firstLine="640"/>
        <w:rPr>
          <w:rFonts w:eastAsia="仿宋_GB2312"/>
          <w:b/>
          <w:color w:val="000000"/>
          <w:sz w:val="32"/>
          <w:szCs w:val="32"/>
        </w:rPr>
      </w:pPr>
      <w:r>
        <w:rPr>
          <w:rFonts w:eastAsia="仿宋_GB2312"/>
          <w:color w:val="000000"/>
          <w:sz w:val="32"/>
          <w:szCs w:val="32"/>
        </w:rPr>
        <w:t>2.实施流程。与第三方项目公司签订合同;向第三方项目公司提出业务需求，制定工作方案，确定时间节点、工作流程和工作机制；配合和督促第三方项目公司按工作方案提供项目建设和服务。</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（二）项目管理情况。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此项目服务对象为全市定点医药机构，全面推进统一的医疗保障信息业务编码标准贯彻执行工作，有效贯彻执行国家医保业务编码。</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（三）项目监管情况。</w:t>
      </w:r>
    </w:p>
    <w:p>
      <w:pPr>
        <w:adjustRightInd w:val="0"/>
        <w:snapToGrid w:val="0"/>
        <w:spacing w:line="578" w:lineRule="exact"/>
        <w:ind w:firstLineChars="200" w:firstLine="640"/>
        <w:rPr>
          <w:rFonts w:eastAsia="仿宋_GB2312"/>
          <w:color w:val="000000"/>
          <w:sz w:val="32"/>
          <w:szCs w:val="32"/>
        </w:rPr>
      </w:pPr>
      <w:r>
        <w:rPr>
          <w:rFonts w:eastAsia="仿宋_GB2312"/>
          <w:color w:val="000000"/>
          <w:sz w:val="32"/>
          <w:szCs w:val="32"/>
        </w:rPr>
        <w:t>攀枝花市医疗保障事务中心党支部负责监管</w:t>
      </w:r>
      <w:r>
        <w:rPr>
          <w:rFonts w:eastAsia="仿宋_GB2312"/>
          <w:color w:val="000000"/>
          <w:kern w:val="0"/>
          <w:sz w:val="32"/>
          <w:szCs w:val="32"/>
          <w:shd w:val="clear" w:color="auto" w:fill="FFFFFF"/>
          <w:lang w:val="zh-CN"/>
        </w:rPr>
        <w:t>“</w:t>
      </w:r>
      <w:r>
        <w:rPr>
          <w:rFonts w:eastAsia="仿宋_GB2312"/>
          <w:color w:val="000000"/>
          <w:sz w:val="32"/>
          <w:szCs w:val="32"/>
        </w:rPr>
        <w:t>贯彻执行国家15项医保信息业务编码</w:t>
      </w:r>
      <w:r>
        <w:rPr>
          <w:rFonts w:eastAsia="仿宋_GB2312"/>
          <w:color w:val="000000"/>
          <w:kern w:val="0"/>
          <w:sz w:val="32"/>
          <w:szCs w:val="32"/>
          <w:shd w:val="clear" w:color="auto" w:fill="FFFFFF"/>
          <w:lang w:val="zh-CN"/>
        </w:rPr>
        <w:t>”项目资金使用情况。</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四、项目绩效情况</w:t>
      </w:r>
    </w:p>
    <w:p>
      <w:pPr>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（一）项目完成情况。</w:t>
      </w:r>
    </w:p>
    <w:p>
      <w:pPr>
        <w:spacing w:line="578" w:lineRule="exact"/>
        <w:ind w:firstLineChars="200" w:firstLine="640"/>
        <w:rPr>
          <w:rFonts w:eastAsia="仿宋_GB2312"/>
          <w:bCs/>
          <w:color w:val="000000"/>
          <w:sz w:val="32"/>
          <w:szCs w:val="32"/>
        </w:rPr>
      </w:pPr>
      <w:r>
        <w:rPr>
          <w:rFonts w:eastAsia="仿宋_GB2312"/>
          <w:bCs/>
          <w:color w:val="000000"/>
          <w:sz w:val="32"/>
          <w:szCs w:val="32"/>
        </w:rPr>
        <w:t>按照计划完成全年工作目标，开展系统升级、改造，数据提取、分析，参数设定、修改，及开展培训等工作3余次。</w:t>
      </w:r>
    </w:p>
    <w:p>
      <w:pPr>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（二）项目效益情况。</w:t>
      </w:r>
    </w:p>
    <w:p>
      <w:pPr>
        <w:spacing w:line="578" w:lineRule="exact"/>
        <w:ind w:firstLineChars="200" w:firstLine="640"/>
        <w:rPr>
          <w:rFonts w:eastAsia="仿宋_GB2312"/>
          <w:bCs/>
          <w:color w:val="000000"/>
          <w:sz w:val="32"/>
          <w:szCs w:val="32"/>
        </w:rPr>
      </w:pPr>
      <w:r>
        <w:rPr>
          <w:rFonts w:eastAsia="仿宋_GB2312"/>
          <w:bCs/>
          <w:color w:val="000000"/>
          <w:sz w:val="32"/>
          <w:szCs w:val="32"/>
        </w:rPr>
        <w:t>在项目经济效益上，医疗机构成本降低；社会效益上，市医保编码能在省医保局规定时间内统一完成，形成统一规范的医疗保障业务编码标准；可持续效益上，到国家版本编码正式出台之前保证医院编码准确性。</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五、评价结论及建议</w:t>
      </w:r>
    </w:p>
    <w:p>
      <w:pPr>
        <w:adjustRightInd w:val="0"/>
        <w:snapToGrid w:val="0"/>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（一）评价结论。</w:t>
      </w:r>
    </w:p>
    <w:p>
      <w:pPr>
        <w:spacing w:line="578" w:lineRule="exact"/>
        <w:ind w:firstLineChars="200" w:firstLine="640"/>
        <w:rPr>
          <w:rFonts w:eastAsia="仿宋_GB2312"/>
          <w:bCs/>
          <w:color w:val="000000"/>
          <w:sz w:val="32"/>
          <w:szCs w:val="32"/>
        </w:rPr>
      </w:pPr>
      <w:r>
        <w:rPr>
          <w:rFonts w:eastAsia="仿宋_GB2312"/>
          <w:bCs/>
          <w:color w:val="000000"/>
          <w:sz w:val="32"/>
          <w:szCs w:val="32"/>
        </w:rPr>
        <w:t>综合前述评估内容来看，该项目立项必要性和依据充分，绩效目标明确，是具备实施条件，是具有公共性，是符合财政资金支持方向等。我中心将进一步优化完善实施方案和绩效目标，加强运行监控，节约财政资金并提升资金效益，提升预算绩效管理水平。</w:t>
      </w:r>
    </w:p>
    <w:p>
      <w:pPr>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（二）存在的问题。</w:t>
      </w:r>
    </w:p>
    <w:p>
      <w:pPr>
        <w:spacing w:line="578" w:lineRule="exact"/>
        <w:ind w:firstLineChars="200" w:firstLine="640"/>
        <w:rPr>
          <w:rFonts w:eastAsia="仿宋_GB2312"/>
          <w:bCs/>
          <w:color w:val="000000"/>
          <w:sz w:val="32"/>
          <w:szCs w:val="32"/>
        </w:rPr>
      </w:pPr>
      <w:r>
        <w:rPr>
          <w:rFonts w:eastAsia="仿宋_GB2312"/>
          <w:bCs/>
          <w:color w:val="000000"/>
          <w:sz w:val="32"/>
          <w:szCs w:val="32"/>
        </w:rPr>
        <w:t>是一项长期建设项目，目前，正处于试点阶段，难免出现无法预料的问题。</w:t>
      </w:r>
    </w:p>
    <w:p>
      <w:pPr>
        <w:spacing w:line="578" w:lineRule="exact"/>
        <w:ind w:firstLineChars="200" w:firstLine="640"/>
        <w:rPr>
          <w:rFonts w:eastAsia="仿宋_GB2312"/>
          <w:b/>
          <w:color w:val="000000"/>
          <w:sz w:val="32"/>
          <w:szCs w:val="32"/>
          <w:lang w:val="zh-CN"/>
        </w:rPr>
      </w:pPr>
      <w:r>
        <w:rPr>
          <w:rFonts w:eastAsia="仿宋_GB2312"/>
          <w:b/>
          <w:color w:val="000000"/>
          <w:sz w:val="32"/>
          <w:szCs w:val="32"/>
          <w:lang w:val="zh-CN"/>
        </w:rPr>
        <w:t>（三）相关建议。</w:t>
      </w:r>
    </w:p>
    <w:p>
      <w:pPr>
        <w:spacing w:line="578" w:lineRule="exact"/>
        <w:ind w:firstLineChars="200" w:firstLine="640"/>
        <w:rPr>
          <w:rFonts w:eastAsia="仿宋_GB2312"/>
          <w:bCs/>
          <w:color w:val="000000"/>
          <w:sz w:val="32"/>
          <w:szCs w:val="32"/>
        </w:rPr>
      </w:pPr>
      <w:r>
        <w:rPr>
          <w:rFonts w:eastAsia="仿宋_GB2312"/>
          <w:bCs/>
          <w:color w:val="000000"/>
          <w:sz w:val="32"/>
          <w:szCs w:val="32"/>
        </w:rPr>
        <w:t>按照国家、省统一安排部署，视医保政策和医院发展情况及时进行调整。</w:t>
      </w:r>
    </w:p>
    <w:p>
      <w:pPr>
        <w:pStyle w:val="15"/>
        <w:spacing w:beforeLines="0" w:before="30" w:line="578" w:lineRule="exact"/>
        <w:rPr>
          <w:rFonts w:ascii="Times New Roman" w:eastAsia="黑体" w:hAnsi="Times New Roman"/>
          <w:color w:val="000000"/>
          <w:sz w:val="32"/>
          <w:szCs w:val="32"/>
        </w:rPr>
      </w:pPr>
      <w:r>
        <w:rPr>
          <w:rFonts w:ascii="Times New Roman" w:eastAsia="黑体" w:hAnsi="Times New Roman"/>
          <w:color w:val="000000"/>
          <w:sz w:val="32"/>
          <w:szCs w:val="32"/>
          <w:lang w:val="zh-CN"/>
        </w:rPr>
        <w:t>附件</w:t>
      </w:r>
      <w:r>
        <w:rPr>
          <w:rFonts w:ascii="Times New Roman" w:eastAsia="黑体" w:hAnsi="Times New Roman"/>
          <w:color w:val="000000"/>
          <w:sz w:val="32"/>
          <w:szCs w:val="32"/>
        </w:rPr>
        <w:t>3</w:t>
      </w:r>
    </w:p>
    <w:p>
      <w:pPr>
        <w:pStyle w:val="15"/>
        <w:spacing w:beforeLines="0" w:before="30" w:line="578" w:lineRule="exact"/>
        <w:rPr>
          <w:rFonts w:ascii="Times New Roman" w:eastAsia="黑体" w:hAnsi="Times New Roman"/>
          <w:color w:val="000000"/>
          <w:sz w:val="32"/>
          <w:szCs w:val="32"/>
        </w:rPr>
      </w:pPr>
    </w:p>
    <w:p>
      <w:pPr>
        <w:pStyle w:val="35"/>
        <w:spacing w:line="578" w:lineRule="exact"/>
        <w:jc w:val="center"/>
        <w:rPr>
          <w:rFonts w:ascii="Times New Roman" w:eastAsia="方正小标宋_GBK" w:hAnsi="Times New Roman"/>
          <w:color w:val="000000"/>
          <w:kern w:val="2"/>
          <w:sz w:val="44"/>
          <w:szCs w:val="44"/>
          <w:lang w:val="en-US"/>
        </w:rPr>
      </w:pPr>
      <w:r>
        <w:rPr>
          <w:rFonts w:ascii="Times New Roman" w:eastAsia="方正小标宋_GBK" w:hAnsi="Times New Roman"/>
          <w:color w:val="000000"/>
          <w:kern w:val="2"/>
          <w:sz w:val="44"/>
          <w:szCs w:val="44"/>
          <w:lang w:val="en-US"/>
        </w:rPr>
        <w:t>2022年市级专项资金预算项目绩效自评报告</w:t>
      </w:r>
    </w:p>
    <w:p>
      <w:pPr>
        <w:pStyle w:val="35"/>
        <w:spacing w:line="578" w:lineRule="exact"/>
        <w:jc w:val="center"/>
        <w:rPr>
          <w:rFonts w:ascii="Times New Roman" w:eastAsia="楷体_GB2312" w:hAnsi="Times New Roman"/>
          <w:color w:val="000000"/>
          <w:kern w:val="2"/>
          <w:sz w:val="32"/>
          <w:szCs w:val="32"/>
          <w:lang w:val="en-US"/>
        </w:rPr>
      </w:pPr>
      <w:r>
        <w:rPr>
          <w:rFonts w:ascii="Times New Roman" w:eastAsia="楷体_GB2312" w:hAnsi="Times New Roman"/>
          <w:color w:val="000000"/>
          <w:kern w:val="2"/>
          <w:sz w:val="32"/>
          <w:szCs w:val="32"/>
          <w:lang w:val="en-US"/>
        </w:rPr>
        <w:t>（医疗保障宣传项目）</w:t>
      </w:r>
    </w:p>
    <w:p>
      <w:pPr>
        <w:pStyle w:val="15"/>
        <w:spacing w:beforeLines="0" w:before="30" w:line="578" w:lineRule="exact"/>
        <w:ind w:firstLineChars="200" w:firstLine="640"/>
        <w:rPr>
          <w:rFonts w:ascii="Times New Roman" w:hAnsi="Times New Roman"/>
          <w:color w:val="000000"/>
          <w:sz w:val="32"/>
          <w:szCs w:val="32"/>
        </w:rPr>
      </w:pPr>
    </w:p>
    <w:p>
      <w:pPr>
        <w:widowControl/>
        <w:adjustRightInd w:val="0"/>
        <w:snapToGrid w:val="0"/>
        <w:spacing w:line="578" w:lineRule="exact"/>
        <w:ind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项目概况</w:t>
      </w:r>
    </w:p>
    <w:p>
      <w:pPr>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（一）项目资金申报及批复情况。</w:t>
      </w:r>
    </w:p>
    <w:p>
      <w:pPr>
        <w:spacing w:line="578" w:lineRule="exact"/>
        <w:ind w:firstLineChars="200" w:firstLine="640"/>
        <w:rPr>
          <w:rFonts w:eastAsia="仿宋_GB2312"/>
          <w:color w:val="000000"/>
          <w:sz w:val="32"/>
          <w:szCs w:val="32"/>
        </w:rPr>
      </w:pPr>
      <w:r>
        <w:rPr>
          <w:rFonts w:eastAsia="仿宋_GB2312"/>
          <w:color w:val="000000"/>
          <w:sz w:val="32"/>
          <w:szCs w:val="32"/>
        </w:rPr>
        <w:t>为全面贯彻《中共中央国务院关于深化医疗保障制度改革的意见》（以下简称中央5号文）精神，促进“阳光康养”“融圈”及“三医联动”战略实施，加大群众对深化医疗保障制度改革的认识。在参保方面要加大宣传力度，提升参保率，实现全民参保。规范医疗服务行为，打击欺诈骗保等违反医疗保障管理的违规违法行为。提高医疗保障公共服务的社会知晓度，提高医疗保障线上线下相结合服务方式的有效性。</w:t>
      </w:r>
    </w:p>
    <w:p>
      <w:pPr>
        <w:spacing w:line="578" w:lineRule="exact"/>
        <w:ind w:firstLineChars="200" w:firstLine="640"/>
        <w:rPr>
          <w:rFonts w:eastAsia="仿宋_GB2312"/>
          <w:color w:val="000000"/>
          <w:sz w:val="32"/>
          <w:szCs w:val="32"/>
        </w:rPr>
      </w:pPr>
      <w:r>
        <w:rPr>
          <w:rFonts w:eastAsia="仿宋_GB2312"/>
          <w:color w:val="000000"/>
          <w:sz w:val="32"/>
          <w:szCs w:val="32"/>
        </w:rPr>
        <w:t>项目资金由市级资金构成，2022年项目资金18.74万元，均为调整（追加）预算，项目资金申报机批复均符合资金管理办法等相关规定。</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（二）项目绩效目标。</w:t>
      </w:r>
    </w:p>
    <w:p>
      <w:pPr>
        <w:spacing w:line="578" w:lineRule="exact"/>
        <w:ind w:firstLineChars="200" w:firstLine="640"/>
        <w:rPr>
          <w:rFonts w:eastAsia="仿宋_GB2312"/>
          <w:color w:val="000000"/>
          <w:sz w:val="32"/>
          <w:szCs w:val="32"/>
        </w:rPr>
      </w:pPr>
      <w:r>
        <w:rPr>
          <w:rFonts w:eastAsia="仿宋_GB2312"/>
          <w:color w:val="000000"/>
          <w:sz w:val="32"/>
          <w:szCs w:val="32"/>
        </w:rPr>
        <w:t>用人单位和群众对深化医疗保障制度改革、对医疗保险具体政策规定和待遇享受办法、对医疗保障公共服务体系还存在较多不清楚、不明白的空白区域。同时，2021年又是贯彻落实中央5号文件的关键之年，一系列涉及民生的医疗保障重大改革措施将陆续出台执行，有必要通过加大宣传力度，让尽可能多的用人单位和参保人员知晓、明白具体改革措施，化解改革过程中出现的问题。</w:t>
      </w:r>
    </w:p>
    <w:p>
      <w:pPr>
        <w:spacing w:line="578" w:lineRule="exact"/>
        <w:ind w:firstLineChars="200" w:firstLine="640"/>
        <w:rPr>
          <w:rFonts w:eastAsia="仿宋_GB2312"/>
          <w:color w:val="000000"/>
          <w:sz w:val="32"/>
          <w:szCs w:val="32"/>
        </w:rPr>
      </w:pPr>
      <w:r>
        <w:rPr>
          <w:rFonts w:eastAsia="仿宋_GB2312"/>
          <w:color w:val="000000"/>
          <w:sz w:val="32"/>
          <w:szCs w:val="32"/>
          <w:lang w:val="zh-CN"/>
        </w:rPr>
        <w:t>（三）项目资金申报相符性。</w:t>
      </w:r>
    </w:p>
    <w:p>
      <w:pPr>
        <w:spacing w:line="578" w:lineRule="exact"/>
        <w:ind w:firstLineChars="200" w:firstLine="640"/>
        <w:rPr>
          <w:rFonts w:eastAsia="仿宋_GB2312"/>
          <w:color w:val="000000"/>
          <w:sz w:val="32"/>
          <w:szCs w:val="32"/>
        </w:rPr>
      </w:pPr>
      <w:r>
        <w:rPr>
          <w:rFonts w:eastAsia="仿宋_GB2312"/>
          <w:color w:val="000000"/>
          <w:sz w:val="32"/>
          <w:szCs w:val="32"/>
        </w:rPr>
        <w:t>严格按照项目资金批复方案执行，申报内容与实际相符，申报目标合理可行。</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二、项目实施及管理情况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（一）资金计划、到位及使用情况。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1．资金计划及到位。</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534"/>
        <w:gridCol w:w="1732"/>
        <w:gridCol w:w="1732"/>
        <w:gridCol w:w="2338"/>
      </w:tblGrid>
      <w:tr>
        <w:trPr>
          <w:trHeight w:val="749"/>
        </w:trPr>
        <w:tc>
          <w:tcPr>
            <w:tcW w:w="2534" w:type="dxa"/>
            <w:shd w:val="clear" w:color="auto" w:fill="auto"/>
            <w:vAlign w:val="center"/>
          </w:tcPr>
          <w:p>
            <w:pPr>
              <w:jc w:val="center"/>
              <w:rPr>
                <w:color w:val="000000"/>
                <w:sz w:val="28"/>
                <w:szCs w:val="28"/>
              </w:rPr>
            </w:pPr>
            <w:r>
              <w:rPr>
                <w:color w:val="000000"/>
                <w:sz w:val="28"/>
                <w:szCs w:val="28"/>
              </w:rPr>
              <w:t>资金情况</w:t>
            </w:r>
          </w:p>
        </w:tc>
        <w:tc>
          <w:tcPr>
            <w:tcW w:w="1732" w:type="dxa"/>
            <w:shd w:val="clear" w:color="auto" w:fill="auto"/>
            <w:vAlign w:val="center"/>
          </w:tcPr>
          <w:p>
            <w:pPr>
              <w:jc w:val="center"/>
              <w:rPr>
                <w:color w:val="000000"/>
                <w:sz w:val="28"/>
                <w:szCs w:val="28"/>
              </w:rPr>
            </w:pPr>
            <w:r>
              <w:rPr>
                <w:color w:val="000000"/>
                <w:sz w:val="28"/>
                <w:szCs w:val="28"/>
              </w:rPr>
              <w:t>计划数</w:t>
            </w:r>
          </w:p>
        </w:tc>
        <w:tc>
          <w:tcPr>
            <w:tcW w:w="1732" w:type="dxa"/>
            <w:shd w:val="clear" w:color="auto" w:fill="auto"/>
            <w:vAlign w:val="center"/>
          </w:tcPr>
          <w:p>
            <w:pPr>
              <w:jc w:val="center"/>
              <w:rPr>
                <w:color w:val="000000"/>
                <w:sz w:val="28"/>
                <w:szCs w:val="28"/>
              </w:rPr>
            </w:pPr>
            <w:r>
              <w:rPr>
                <w:color w:val="000000"/>
                <w:sz w:val="28"/>
                <w:szCs w:val="28"/>
              </w:rPr>
              <w:t>到位数</w:t>
            </w:r>
          </w:p>
        </w:tc>
        <w:tc>
          <w:tcPr>
            <w:tcW w:w="2338" w:type="dxa"/>
            <w:shd w:val="clear" w:color="auto" w:fill="auto"/>
            <w:vAlign w:val="center"/>
          </w:tcPr>
          <w:p>
            <w:pPr>
              <w:jc w:val="center"/>
              <w:rPr>
                <w:color w:val="000000"/>
                <w:sz w:val="28"/>
                <w:szCs w:val="28"/>
              </w:rPr>
            </w:pPr>
            <w:r>
              <w:rPr>
                <w:color w:val="000000"/>
                <w:sz w:val="28"/>
                <w:szCs w:val="28"/>
              </w:rPr>
              <w:t>使用数</w:t>
            </w:r>
          </w:p>
        </w:tc>
      </w:tr>
      <w:tr>
        <w:trPr>
          <w:trHeight w:val="561"/>
        </w:trPr>
        <w:tc>
          <w:tcPr>
            <w:tcW w:w="2534" w:type="dxa"/>
            <w:shd w:val="clear" w:color="auto" w:fill="auto"/>
            <w:vAlign w:val="center"/>
          </w:tcPr>
          <w:p>
            <w:pPr>
              <w:jc w:val="center"/>
              <w:rPr>
                <w:color w:val="000000"/>
                <w:sz w:val="28"/>
                <w:szCs w:val="28"/>
              </w:rPr>
            </w:pPr>
            <w:r>
              <w:rPr>
                <w:color w:val="000000"/>
                <w:sz w:val="28"/>
                <w:szCs w:val="28"/>
              </w:rPr>
              <w:t>金额（万元）</w:t>
            </w:r>
          </w:p>
        </w:tc>
        <w:tc>
          <w:tcPr>
            <w:tcW w:w="1732" w:type="dxa"/>
            <w:tcBorders>
              <w:top w:val="single" w:sz="4" w:space="0" w:color="auto"/>
              <w:left w:val="single" w:sz="4" w:space="0" w:color="auto"/>
              <w:right w:val="single" w:sz="4" w:space="0" w:color="auto"/>
            </w:tcBorders>
            <w:shd w:val="clear" w:color="auto" w:fill="auto"/>
            <w:vAlign w:val="center"/>
          </w:tcPr>
          <w:p>
            <w:pPr>
              <w:jc w:val="center"/>
              <w:rPr>
                <w:color w:val="000000"/>
                <w:sz w:val="28"/>
                <w:szCs w:val="28"/>
              </w:rPr>
            </w:pPr>
            <w:r>
              <w:rPr>
                <w:color w:val="000000"/>
                <w:sz w:val="28"/>
                <w:szCs w:val="28"/>
              </w:rPr>
              <w:t>50</w:t>
            </w:r>
          </w:p>
        </w:tc>
        <w:tc>
          <w:tcPr>
            <w:tcW w:w="1732" w:type="dxa"/>
            <w:tcBorders>
              <w:top w:val="single" w:sz="4" w:space="0" w:color="auto"/>
              <w:left w:val="single" w:sz="4" w:space="0" w:color="auto"/>
              <w:right w:val="single" w:sz="4" w:space="0" w:color="auto"/>
            </w:tcBorders>
            <w:shd w:val="clear" w:color="auto" w:fill="auto"/>
            <w:vAlign w:val="center"/>
          </w:tcPr>
          <w:p>
            <w:pPr>
              <w:jc w:val="center"/>
              <w:rPr>
                <w:color w:val="000000"/>
                <w:sz w:val="28"/>
                <w:szCs w:val="28"/>
              </w:rPr>
            </w:pPr>
            <w:r>
              <w:rPr>
                <w:color w:val="000000"/>
                <w:sz w:val="28"/>
                <w:szCs w:val="28"/>
              </w:rPr>
              <w:t>18.74</w:t>
            </w:r>
          </w:p>
        </w:tc>
        <w:tc>
          <w:tcPr>
            <w:tcW w:w="2338" w:type="dxa"/>
            <w:shd w:val="clear" w:color="auto" w:fill="auto"/>
            <w:vAlign w:val="center"/>
          </w:tcPr>
          <w:p>
            <w:pPr>
              <w:jc w:val="center"/>
              <w:rPr>
                <w:color w:val="000000"/>
                <w:sz w:val="28"/>
                <w:szCs w:val="28"/>
              </w:rPr>
            </w:pPr>
            <w:r>
              <w:rPr>
                <w:color w:val="000000"/>
                <w:sz w:val="28"/>
                <w:szCs w:val="28"/>
              </w:rPr>
              <w:t>18.74</w:t>
            </w:r>
          </w:p>
        </w:tc>
      </w:tr>
    </w:tbl>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2．资金使用。</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项目资金的实际支出</w:t>
      </w:r>
      <w:r>
        <w:rPr>
          <w:rFonts w:eastAsia="仿宋_GB2312"/>
          <w:color w:val="000000"/>
          <w:sz w:val="32"/>
          <w:szCs w:val="32"/>
        </w:rPr>
        <w:t>18.74万元</w:t>
      </w:r>
      <w:r>
        <w:rPr>
          <w:rFonts w:eastAsia="仿宋_GB2312"/>
          <w:color w:val="000000"/>
          <w:sz w:val="32"/>
          <w:szCs w:val="32"/>
          <w:lang w:val="zh-CN"/>
        </w:rPr>
        <w:t>，资金支付依据合规合法，与预算相符。</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（二）项目财务管理情况。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rPr>
        <w:t>项目实施财务管理制度健全，严格执行财务管理制度，账务处理及时，会计核算规范等，票据完整。</w:t>
      </w:r>
    </w:p>
    <w:p>
      <w:pPr>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（三）项目组织实施情况。</w:t>
      </w:r>
    </w:p>
    <w:p>
      <w:pPr>
        <w:spacing w:line="578" w:lineRule="exact"/>
        <w:ind w:firstLineChars="200" w:firstLine="640"/>
        <w:rPr>
          <w:rFonts w:eastAsia="仿宋_GB2312"/>
          <w:color w:val="000000"/>
          <w:sz w:val="32"/>
          <w:szCs w:val="32"/>
        </w:rPr>
      </w:pPr>
      <w:r>
        <w:rPr>
          <w:rFonts w:eastAsia="仿宋_GB2312"/>
          <w:color w:val="000000"/>
          <w:sz w:val="32"/>
          <w:szCs w:val="32"/>
        </w:rPr>
        <w:t>由攀枝花市医疗保障事务中心根据攀枝花市医疗保障局确定的宣传工作方案，分子项目开展宣传工作。攀枝花市医疗保障事务中心成立领导工作小组，领导小组下设若干转项工作组，抽调部分人员参加专项工作，在专项工作组责任人领导下承担具体工作任务。各小组按照工作职责负责日常具体工作，保障组织管理和运行的可持续性。</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三、项目绩效情况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（一）项目完成情况。</w:t>
      </w:r>
    </w:p>
    <w:p>
      <w:pPr>
        <w:snapToGrid w:val="0"/>
        <w:spacing w:line="578" w:lineRule="exact"/>
        <w:ind w:firstLineChars="200" w:firstLine="640"/>
        <w:rPr>
          <w:rFonts w:eastAsia="仿宋_GB2312"/>
          <w:color w:val="000000"/>
          <w:sz w:val="32"/>
          <w:szCs w:val="32"/>
        </w:rPr>
      </w:pPr>
      <w:r>
        <w:rPr>
          <w:rFonts w:eastAsia="仿宋_GB2312"/>
          <w:color w:val="000000"/>
          <w:sz w:val="32"/>
          <w:szCs w:val="32"/>
        </w:rPr>
        <w:t>按照计划完成全年工作目标，结合项目2022年实际需求、相关费用标准及市场价格水平，按照《攀枝花市医疗保障能力提升行动工作方案》，建立医疗保障经办机构和街道（乡镇）、社区、用人单位的常态化信息沟通机制；充分利用各种媒介，畅通服务对象获取医疗保障信息的渠道，为每名参保人员提供便捷服务；健全信息宣传发布机制，实现医疗保障经办动态及时、准确发布。</w:t>
      </w:r>
    </w:p>
    <w:p>
      <w:pPr>
        <w:spacing w:line="578" w:lineRule="exact"/>
        <w:ind w:firstLineChars="200" w:firstLine="640"/>
        <w:rPr>
          <w:rFonts w:eastAsia="仿宋_GB2312"/>
          <w:color w:val="000000"/>
          <w:sz w:val="32"/>
          <w:szCs w:val="32"/>
        </w:rPr>
      </w:pPr>
      <w:r>
        <w:rPr>
          <w:rFonts w:eastAsia="仿宋_GB2312"/>
          <w:color w:val="000000"/>
          <w:sz w:val="32"/>
          <w:szCs w:val="32"/>
          <w:lang w:val="zh-CN"/>
        </w:rPr>
        <w:t>（二）项目效益情况。</w:t>
      </w:r>
    </w:p>
    <w:p>
      <w:pPr>
        <w:spacing w:line="578" w:lineRule="exact"/>
        <w:ind w:firstLineChars="200" w:firstLine="640"/>
        <w:rPr>
          <w:rFonts w:eastAsia="仿宋_GB2312"/>
          <w:color w:val="000000"/>
          <w:sz w:val="32"/>
          <w:szCs w:val="32"/>
        </w:rPr>
      </w:pPr>
      <w:r>
        <w:rPr>
          <w:rFonts w:eastAsia="仿宋_GB2312"/>
          <w:color w:val="000000"/>
          <w:sz w:val="32"/>
          <w:szCs w:val="32"/>
        </w:rPr>
        <w:t>保障全市医保系统稳定运行，构建可持续发展的多层次医疗保障体系，不断提高攀枝花市医疗保障水平，更好的保障参保人员的合法权益，实现作风建设明显加强、服务方式不断改进、服务质量有效提升，群众满意度得到了提高，促进医保事业高效快速发展。</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四、问题及建议</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（一）存在的问题。</w:t>
      </w:r>
    </w:p>
    <w:p>
      <w:pPr>
        <w:adjustRightInd w:val="0"/>
        <w:snapToGrid w:val="0"/>
        <w:spacing w:line="578" w:lineRule="exact"/>
        <w:ind w:firstLineChars="200" w:firstLine="640"/>
        <w:rPr>
          <w:rFonts w:eastAsia="仿宋_GB2312"/>
          <w:color w:val="000000"/>
          <w:sz w:val="32"/>
          <w:szCs w:val="32"/>
        </w:rPr>
      </w:pPr>
      <w:r>
        <w:rPr>
          <w:rFonts w:eastAsia="仿宋_GB2312"/>
          <w:color w:val="000000"/>
          <w:sz w:val="32"/>
          <w:szCs w:val="32"/>
        </w:rPr>
        <w:t>无</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（二）相关建议。</w:t>
      </w:r>
    </w:p>
    <w:p>
      <w:pPr>
        <w:adjustRightInd w:val="0"/>
        <w:snapToGrid w:val="0"/>
        <w:spacing w:line="578" w:lineRule="exact"/>
        <w:ind w:firstLineChars="200" w:firstLine="640"/>
        <w:rPr>
          <w:rFonts w:eastAsia="仿宋_GB2312"/>
          <w:color w:val="000000"/>
          <w:sz w:val="32"/>
          <w:szCs w:val="32"/>
        </w:rPr>
      </w:pPr>
      <w:r>
        <w:rPr>
          <w:rFonts w:eastAsia="仿宋_GB2312"/>
          <w:color w:val="000000"/>
          <w:sz w:val="32"/>
          <w:szCs w:val="32"/>
        </w:rPr>
        <w:t>无</w:t>
        <w:br w:type="page"/>
      </w:r>
    </w:p>
    <w:p>
      <w:pPr>
        <w:pStyle w:val="15"/>
        <w:spacing w:beforeLines="0" w:before="30" w:line="578" w:lineRule="exact"/>
        <w:rPr>
          <w:rFonts w:ascii="Times New Roman" w:eastAsia="黑体" w:hAnsi="Times New Roman"/>
          <w:color w:val="000000"/>
          <w:sz w:val="32"/>
          <w:szCs w:val="32"/>
        </w:rPr>
      </w:pPr>
      <w:r>
        <w:rPr>
          <w:rFonts w:ascii="Times New Roman" w:eastAsia="黑体" w:hAnsi="Times New Roman"/>
          <w:color w:val="000000"/>
          <w:sz w:val="32"/>
          <w:szCs w:val="32"/>
        </w:rPr>
        <w:t>附件4</w:t>
      </w:r>
    </w:p>
    <w:p>
      <w:pPr>
        <w:pStyle w:val="15"/>
        <w:spacing w:beforeLines="0" w:before="30" w:line="578" w:lineRule="exact"/>
        <w:rPr>
          <w:rFonts w:ascii="Times New Roman" w:eastAsia="黑体" w:hAnsi="Times New Roman"/>
          <w:color w:val="000000"/>
          <w:sz w:val="32"/>
          <w:szCs w:val="32"/>
        </w:rPr>
      </w:pPr>
    </w:p>
    <w:p>
      <w:pPr>
        <w:pStyle w:val="35"/>
        <w:spacing w:line="578" w:lineRule="exact"/>
        <w:jc w:val="center"/>
        <w:rPr>
          <w:rFonts w:ascii="Times New Roman" w:eastAsia="方正小标宋_GBK" w:hAnsi="Times New Roman"/>
          <w:color w:val="000000"/>
          <w:kern w:val="2"/>
          <w:sz w:val="44"/>
          <w:szCs w:val="44"/>
          <w:lang w:val="en-US"/>
        </w:rPr>
      </w:pPr>
      <w:r>
        <w:rPr>
          <w:rFonts w:ascii="Times New Roman" w:eastAsia="方正小标宋_GBK" w:hAnsi="Times New Roman"/>
          <w:color w:val="000000"/>
          <w:kern w:val="2"/>
          <w:sz w:val="44"/>
          <w:szCs w:val="44"/>
          <w:lang w:val="en-US"/>
        </w:rPr>
        <w:t>2022年市级专项资金预算项目绩效自评报告</w:t>
      </w:r>
    </w:p>
    <w:p>
      <w:pPr>
        <w:pStyle w:val="35"/>
        <w:spacing w:line="578" w:lineRule="exact"/>
        <w:jc w:val="center"/>
        <w:rPr>
          <w:rFonts w:ascii="Times New Roman" w:eastAsia="楷体_GB2312" w:hAnsi="Times New Roman"/>
          <w:color w:val="000000"/>
          <w:kern w:val="2"/>
          <w:sz w:val="32"/>
          <w:szCs w:val="32"/>
          <w:lang w:val="en-US"/>
        </w:rPr>
      </w:pPr>
      <w:r>
        <w:rPr>
          <w:rFonts w:ascii="Times New Roman" w:eastAsia="楷体_GB2312" w:hAnsi="Times New Roman"/>
          <w:color w:val="000000"/>
          <w:kern w:val="2"/>
          <w:sz w:val="32"/>
          <w:szCs w:val="32"/>
          <w:lang w:val="en-US"/>
        </w:rPr>
        <w:t>（</w:t>
      </w:r>
      <w:r>
        <w:rPr>
          <w:rFonts w:ascii="Times New Roman" w:eastAsia="楷体_GB2312" w:hAnsi="Times New Roman"/>
          <w:b/>
          <w:color w:val="000000"/>
          <w:sz w:val="32"/>
          <w:szCs w:val="32"/>
        </w:rPr>
        <w:t>医保定点医疗机构监管</w:t>
      </w:r>
      <w:r>
        <w:rPr>
          <w:rFonts w:ascii="Times New Roman" w:eastAsia="楷体_GB2312" w:hAnsi="Times New Roman"/>
          <w:color w:val="000000"/>
          <w:kern w:val="2"/>
          <w:sz w:val="32"/>
          <w:szCs w:val="32"/>
          <w:lang w:val="en-US"/>
        </w:rPr>
        <w:t>）</w:t>
      </w:r>
    </w:p>
    <w:p>
      <w:pPr>
        <w:spacing w:line="578" w:lineRule="exact"/>
        <w:ind w:firstLineChars="200" w:firstLine="640"/>
        <w:rPr>
          <w:rFonts w:eastAsia="仿宋_GB2312"/>
          <w:color w:val="000000"/>
          <w:sz w:val="32"/>
          <w:szCs w:val="32"/>
        </w:rPr>
      </w:pPr>
    </w:p>
    <w:p>
      <w:pPr>
        <w:widowControl/>
        <w:adjustRightInd w:val="0"/>
        <w:snapToGrid w:val="0"/>
        <w:spacing w:line="578" w:lineRule="exact"/>
        <w:ind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项目概况</w:t>
      </w:r>
    </w:p>
    <w:p>
      <w:pPr>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（一）项目资金申报及批复情况。</w:t>
      </w:r>
    </w:p>
    <w:p>
      <w:pPr>
        <w:spacing w:line="578" w:lineRule="exact"/>
        <w:ind w:firstLineChars="200" w:firstLine="640"/>
        <w:rPr>
          <w:rFonts w:eastAsia="仿宋_GB2312"/>
          <w:color w:val="000000"/>
          <w:sz w:val="32"/>
          <w:szCs w:val="32"/>
        </w:rPr>
      </w:pPr>
      <w:r>
        <w:rPr>
          <w:rFonts w:eastAsia="仿宋_GB2312"/>
          <w:color w:val="000000"/>
          <w:sz w:val="32"/>
          <w:szCs w:val="32"/>
        </w:rPr>
        <w:t>1996年6月29日，劳动和社会保障部、财政部、国家经济贸易委员会、卫生部、国家中医药管理局印发关于《关于加强城镇职工基本医疗保险费用结算管理意见》</w:t>
      </w:r>
      <w:r>
        <w:rPr>
          <w:rStyle w:val="51"/>
          <w:rFonts w:ascii="Times New Roman" w:eastAsia="仿宋_GB2312" w:hAnsi="Times New Roman"/>
          <w:color w:val="000000"/>
          <w:sz w:val="32"/>
          <w:szCs w:val="32"/>
        </w:rPr>
        <w:t>（劳社部发〔1999〕23号）</w:t>
      </w:r>
      <w:r>
        <w:rPr>
          <w:rFonts w:eastAsia="仿宋_GB2312"/>
          <w:color w:val="000000"/>
          <w:sz w:val="32"/>
          <w:szCs w:val="32"/>
        </w:rPr>
        <w:t>第五条规定：加强定点医疗机构门诊处方、入出院标准、住院病历和特殊检查治疗等基本医疗保险管理和费用支出审核。社会保险经办机构可以应付给定点医疗机构的医疗费用中暂扣不超过10%的费用，根据结算期末考核情况，再相应拨付给定点医疗机构。四川省劳动和社会保障厅印发《制定城镇职工基本医疗保险结算办法有关问题的指导意见》</w:t>
      </w:r>
      <w:r>
        <w:rPr>
          <w:rStyle w:val="51"/>
          <w:rFonts w:ascii="Times New Roman" w:eastAsia="仿宋_GB2312" w:hAnsi="Times New Roman"/>
          <w:color w:val="000000"/>
          <w:sz w:val="32"/>
          <w:szCs w:val="32"/>
        </w:rPr>
        <w:t>（川劳社办〔2000〕22号）</w:t>
      </w:r>
      <w:r>
        <w:rPr>
          <w:rFonts w:eastAsia="仿宋_GB2312"/>
          <w:color w:val="000000"/>
          <w:sz w:val="32"/>
          <w:szCs w:val="32"/>
        </w:rPr>
        <w:t>第五条规定：为了激励医院加强管理，降低消耗，提高医疗质量，惩戒消极地通过过度服务和减少合理服务来增加收入的行为，必须建立一套行之有效的审核制度。医疗保险经办机构可按核定的各定点医院定额控制指标或当期申报费用额度暂扣不超过10%的费用，根据结算期末的考核情况再相应拨付给定点医院。2004年10月22日经市政府通过对《关于考核扣减的医疗服务质量保证金用途的请示》</w:t>
      </w:r>
      <w:r>
        <w:rPr>
          <w:rStyle w:val="51"/>
          <w:rFonts w:ascii="Times New Roman" w:eastAsia="仿宋_GB2312" w:hAnsi="Times New Roman"/>
          <w:color w:val="000000"/>
          <w:sz w:val="32"/>
          <w:szCs w:val="32"/>
        </w:rPr>
        <w:t>（攀劳社〔2004〕62号）的请示的批准。</w:t>
      </w:r>
    </w:p>
    <w:p>
      <w:pPr>
        <w:spacing w:line="578" w:lineRule="exact"/>
        <w:ind w:firstLineChars="200" w:firstLine="640"/>
        <w:rPr>
          <w:rFonts w:eastAsia="仿宋_GB2312"/>
          <w:color w:val="000000"/>
          <w:sz w:val="32"/>
          <w:szCs w:val="32"/>
        </w:rPr>
      </w:pPr>
      <w:r>
        <w:rPr>
          <w:rFonts w:eastAsia="仿宋_GB2312"/>
          <w:color w:val="000000"/>
          <w:sz w:val="32"/>
          <w:szCs w:val="32"/>
        </w:rPr>
        <w:t>项目资金由市级资金构成，2022年项目资金9.21万元，均为调整（追加）预算，项目资金申报批复均符合资金管理办法等相关规定。</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（二）项目绩效目标。</w:t>
      </w:r>
    </w:p>
    <w:p>
      <w:pPr>
        <w:spacing w:line="578" w:lineRule="exact"/>
        <w:ind w:firstLineChars="200" w:firstLine="640"/>
        <w:rPr>
          <w:rFonts w:eastAsia="仿宋_GB2312"/>
          <w:color w:val="000000"/>
          <w:sz w:val="32"/>
          <w:szCs w:val="32"/>
        </w:rPr>
      </w:pPr>
      <w:r>
        <w:rPr>
          <w:rFonts w:eastAsia="仿宋_GB2312"/>
          <w:color w:val="000000"/>
          <w:sz w:val="32"/>
          <w:szCs w:val="32"/>
        </w:rPr>
        <w:t>1.项目主要内容。</w:t>
      </w:r>
    </w:p>
    <w:p>
      <w:pPr>
        <w:spacing w:line="578" w:lineRule="exact"/>
        <w:ind w:firstLineChars="200" w:firstLine="640"/>
        <w:rPr>
          <w:rFonts w:eastAsia="仿宋_GB2312"/>
          <w:color w:val="000000"/>
          <w:sz w:val="32"/>
          <w:szCs w:val="32"/>
        </w:rPr>
      </w:pPr>
      <w:r>
        <w:rPr>
          <w:rFonts w:eastAsia="仿宋_GB2312"/>
          <w:color w:val="000000"/>
          <w:sz w:val="32"/>
          <w:szCs w:val="32"/>
        </w:rPr>
        <w:t>（1）用于稽核人员工资、社保缴费、公积金等支出。</w:t>
      </w:r>
    </w:p>
    <w:p>
      <w:pPr>
        <w:spacing w:line="578" w:lineRule="exact"/>
        <w:ind w:firstLineChars="200" w:firstLine="640"/>
        <w:rPr>
          <w:rFonts w:eastAsia="仿宋_GB2312"/>
          <w:color w:val="000000"/>
          <w:sz w:val="32"/>
          <w:szCs w:val="32"/>
        </w:rPr>
      </w:pPr>
      <w:r>
        <w:rPr>
          <w:rFonts w:eastAsia="仿宋_GB2312"/>
          <w:color w:val="000000"/>
          <w:sz w:val="32"/>
          <w:szCs w:val="32"/>
        </w:rPr>
        <w:t>（2）在参保方面要加大宣传力度，提升参保率，实现全民参保。</w:t>
      </w:r>
    </w:p>
    <w:p>
      <w:pPr>
        <w:spacing w:line="578" w:lineRule="exact"/>
        <w:ind w:firstLineChars="200" w:firstLine="640"/>
        <w:rPr>
          <w:rFonts w:eastAsia="仿宋_GB2312"/>
          <w:color w:val="000000"/>
          <w:sz w:val="32"/>
          <w:szCs w:val="32"/>
        </w:rPr>
      </w:pPr>
      <w:r>
        <w:rPr>
          <w:rFonts w:eastAsia="仿宋_GB2312"/>
          <w:color w:val="000000"/>
          <w:sz w:val="32"/>
          <w:szCs w:val="32"/>
        </w:rPr>
        <w:t>（3）按一定比例抽查全市所有定点医疗机构上一年度住院病例的完整病案纸质资料和费用明细。</w:t>
      </w:r>
    </w:p>
    <w:p>
      <w:pPr>
        <w:spacing w:line="578" w:lineRule="exact"/>
        <w:ind w:firstLineChars="200" w:firstLine="640"/>
        <w:rPr>
          <w:rFonts w:eastAsia="仿宋_GB2312"/>
          <w:color w:val="000000"/>
          <w:sz w:val="32"/>
          <w:szCs w:val="32"/>
        </w:rPr>
      </w:pPr>
      <w:r>
        <w:rPr>
          <w:rFonts w:eastAsia="仿宋_GB2312"/>
          <w:color w:val="000000"/>
          <w:sz w:val="32"/>
          <w:szCs w:val="32"/>
        </w:rPr>
        <w:t>2.项目应实现的具体绩效目标，包括目标的量化、细化情况以及项目实施进度计划等。</w:t>
      </w:r>
    </w:p>
    <w:p>
      <w:pPr>
        <w:spacing w:line="578" w:lineRule="exact"/>
        <w:ind w:firstLineChars="200" w:firstLine="640"/>
        <w:rPr>
          <w:rFonts w:eastAsia="仿宋_GB2312"/>
          <w:color w:val="000000"/>
          <w:sz w:val="32"/>
          <w:szCs w:val="32"/>
        </w:rPr>
      </w:pPr>
      <w:r>
        <w:rPr>
          <w:rFonts w:eastAsia="仿宋_GB2312"/>
          <w:color w:val="000000"/>
          <w:sz w:val="32"/>
          <w:szCs w:val="32"/>
        </w:rPr>
        <w:t>（1）不断提升市医保经办机构医保基金监管水平，坚决维护医保基金安全可持续发展。</w:t>
      </w:r>
    </w:p>
    <w:p>
      <w:pPr>
        <w:spacing w:line="578" w:lineRule="exact"/>
        <w:ind w:firstLineChars="200" w:firstLine="640"/>
        <w:rPr>
          <w:rFonts w:eastAsia="仿宋_GB2312"/>
          <w:color w:val="000000"/>
          <w:sz w:val="32"/>
          <w:szCs w:val="32"/>
        </w:rPr>
      </w:pPr>
      <w:r>
        <w:rPr>
          <w:rFonts w:eastAsia="仿宋_GB2312"/>
          <w:color w:val="000000"/>
          <w:sz w:val="32"/>
          <w:szCs w:val="32"/>
        </w:rPr>
        <w:t>（2）让全市参保群众懂得了人人参保、按时续保的重要意义，也对医保政策有了更深入全面的了解，在以后的生活中，能更好地从此项关乎自己切身利益的惠民政策中受益。同时，通过宣传，让医保机构、医疗机构、药店、用人单位和参保人员等医疗保障参与方在参保、就医、服务等方式遵守法律法规，提升医疗保障的社会影响力。</w:t>
      </w:r>
    </w:p>
    <w:p>
      <w:pPr>
        <w:spacing w:line="578" w:lineRule="exact"/>
        <w:ind w:firstLineChars="200" w:firstLine="640"/>
        <w:rPr>
          <w:rFonts w:eastAsia="仿宋_GB2312"/>
          <w:color w:val="000000"/>
          <w:sz w:val="32"/>
          <w:szCs w:val="32"/>
        </w:rPr>
      </w:pPr>
      <w:r>
        <w:rPr>
          <w:rFonts w:eastAsia="仿宋_GB2312"/>
          <w:color w:val="000000"/>
          <w:sz w:val="32"/>
          <w:szCs w:val="32"/>
          <w:lang w:val="zh-CN"/>
        </w:rPr>
        <w:t>（三）项目资金申报相符性。</w:t>
      </w:r>
    </w:p>
    <w:p>
      <w:pPr>
        <w:spacing w:line="578" w:lineRule="exact"/>
        <w:ind w:firstLineChars="200" w:firstLine="640"/>
        <w:rPr>
          <w:rFonts w:eastAsia="仿宋_GB2312"/>
          <w:color w:val="000000"/>
          <w:sz w:val="32"/>
          <w:szCs w:val="32"/>
        </w:rPr>
      </w:pPr>
      <w:r>
        <w:rPr>
          <w:rFonts w:eastAsia="仿宋_GB2312"/>
          <w:color w:val="000000"/>
          <w:sz w:val="32"/>
          <w:szCs w:val="32"/>
        </w:rPr>
        <w:t>本中心严格按照项目资金批复方案执行，申报内容与实际相符，申报目标合理可行。</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二、项目实施及管理情况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（一）资金计划、到位及使用情况。</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1．资金计划及到位。</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958"/>
        <w:gridCol w:w="1732"/>
        <w:gridCol w:w="1732"/>
        <w:gridCol w:w="2338"/>
      </w:tblGrid>
      <w:tr>
        <w:trPr>
          <w:trHeight w:val="749"/>
        </w:trPr>
        <w:tc>
          <w:tcPr>
            <w:tcW w:w="2958" w:type="dxa"/>
            <w:shd w:val="clear" w:color="auto" w:fill="auto"/>
          </w:tcPr>
          <w:p>
            <w:pPr>
              <w:jc w:val="center"/>
              <w:rPr>
                <w:color w:val="000000"/>
                <w:sz w:val="28"/>
                <w:szCs w:val="28"/>
              </w:rPr>
            </w:pPr>
            <w:r>
              <w:rPr>
                <w:color w:val="000000"/>
                <w:sz w:val="28"/>
                <w:szCs w:val="28"/>
              </w:rPr>
              <w:t>资金情况</w:t>
            </w:r>
          </w:p>
        </w:tc>
        <w:tc>
          <w:tcPr>
            <w:tcW w:w="1732" w:type="dxa"/>
            <w:shd w:val="clear" w:color="auto" w:fill="auto"/>
          </w:tcPr>
          <w:p>
            <w:pPr>
              <w:jc w:val="center"/>
              <w:rPr>
                <w:color w:val="000000"/>
                <w:sz w:val="28"/>
                <w:szCs w:val="28"/>
              </w:rPr>
            </w:pPr>
            <w:r>
              <w:rPr>
                <w:color w:val="000000"/>
                <w:sz w:val="28"/>
                <w:szCs w:val="28"/>
              </w:rPr>
              <w:t>计划数</w:t>
            </w:r>
          </w:p>
        </w:tc>
        <w:tc>
          <w:tcPr>
            <w:tcW w:w="1732" w:type="dxa"/>
            <w:shd w:val="clear" w:color="auto" w:fill="auto"/>
          </w:tcPr>
          <w:p>
            <w:pPr>
              <w:jc w:val="center"/>
              <w:rPr>
                <w:color w:val="000000"/>
                <w:sz w:val="28"/>
                <w:szCs w:val="28"/>
              </w:rPr>
            </w:pPr>
            <w:r>
              <w:rPr>
                <w:color w:val="000000"/>
                <w:sz w:val="28"/>
                <w:szCs w:val="28"/>
              </w:rPr>
              <w:t>到位数</w:t>
            </w:r>
          </w:p>
        </w:tc>
        <w:tc>
          <w:tcPr>
            <w:tcW w:w="2338" w:type="dxa"/>
            <w:shd w:val="clear" w:color="auto" w:fill="auto"/>
          </w:tcPr>
          <w:p>
            <w:pPr>
              <w:jc w:val="center"/>
              <w:rPr>
                <w:color w:val="000000"/>
                <w:sz w:val="28"/>
                <w:szCs w:val="28"/>
              </w:rPr>
            </w:pPr>
            <w:r>
              <w:rPr>
                <w:color w:val="000000"/>
                <w:sz w:val="28"/>
                <w:szCs w:val="28"/>
              </w:rPr>
              <w:t>使用数</w:t>
            </w:r>
          </w:p>
        </w:tc>
      </w:tr>
      <w:tr>
        <w:trPr>
          <w:trHeight w:val="561"/>
        </w:trPr>
        <w:tc>
          <w:tcPr>
            <w:tcW w:w="2958" w:type="dxa"/>
            <w:shd w:val="clear" w:color="auto" w:fill="auto"/>
          </w:tcPr>
          <w:p>
            <w:pPr>
              <w:jc w:val="center"/>
              <w:rPr>
                <w:color w:val="000000"/>
                <w:sz w:val="28"/>
                <w:szCs w:val="28"/>
              </w:rPr>
            </w:pPr>
            <w:r>
              <w:rPr>
                <w:color w:val="000000"/>
                <w:sz w:val="28"/>
                <w:szCs w:val="28"/>
              </w:rPr>
              <w:t>金额（万元）</w:t>
            </w:r>
          </w:p>
        </w:tc>
        <w:tc>
          <w:tcPr>
            <w:tcW w:w="1732" w:type="dxa"/>
            <w:tcBorders>
              <w:top w:val="single" w:sz="4" w:space="0" w:color="auto"/>
              <w:left w:val="single" w:sz="4" w:space="0" w:color="auto"/>
              <w:right w:val="single" w:sz="4" w:space="0" w:color="auto"/>
            </w:tcBorders>
            <w:shd w:val="clear" w:color="auto" w:fill="auto"/>
          </w:tcPr>
          <w:p>
            <w:pPr>
              <w:jc w:val="center"/>
              <w:rPr>
                <w:color w:val="000000"/>
                <w:sz w:val="28"/>
                <w:szCs w:val="28"/>
              </w:rPr>
            </w:pPr>
            <w:r>
              <w:rPr>
                <w:color w:val="000000"/>
                <w:sz w:val="28"/>
                <w:szCs w:val="28"/>
              </w:rPr>
              <w:t>100</w:t>
            </w:r>
          </w:p>
        </w:tc>
        <w:tc>
          <w:tcPr>
            <w:tcW w:w="1732" w:type="dxa"/>
            <w:tcBorders>
              <w:top w:val="single" w:sz="4" w:space="0" w:color="auto"/>
              <w:left w:val="single" w:sz="4" w:space="0" w:color="auto"/>
              <w:right w:val="single" w:sz="4" w:space="0" w:color="auto"/>
            </w:tcBorders>
            <w:shd w:val="clear" w:color="auto" w:fill="auto"/>
          </w:tcPr>
          <w:p>
            <w:pPr>
              <w:jc w:val="center"/>
              <w:rPr>
                <w:color w:val="000000"/>
                <w:sz w:val="28"/>
                <w:szCs w:val="28"/>
              </w:rPr>
            </w:pPr>
            <w:r>
              <w:rPr>
                <w:color w:val="000000"/>
                <w:sz w:val="28"/>
                <w:szCs w:val="28"/>
              </w:rPr>
              <w:t>9.21</w:t>
            </w:r>
          </w:p>
        </w:tc>
        <w:tc>
          <w:tcPr>
            <w:tcW w:w="2338" w:type="dxa"/>
            <w:shd w:val="clear" w:color="auto" w:fill="auto"/>
          </w:tcPr>
          <w:p>
            <w:pPr>
              <w:jc w:val="center"/>
              <w:rPr>
                <w:color w:val="000000"/>
                <w:sz w:val="28"/>
                <w:szCs w:val="28"/>
              </w:rPr>
            </w:pPr>
            <w:r>
              <w:rPr>
                <w:color w:val="000000"/>
                <w:sz w:val="28"/>
                <w:szCs w:val="28"/>
              </w:rPr>
              <w:t>9.21</w:t>
            </w:r>
          </w:p>
        </w:tc>
      </w:tr>
    </w:tbl>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2．资金使用。</w:t>
      </w:r>
    </w:p>
    <w:p>
      <w:pPr>
        <w:spacing w:line="578" w:lineRule="exact"/>
        <w:ind w:firstLineChars="200" w:firstLine="640"/>
        <w:rPr>
          <w:rFonts w:eastAsia="仿宋_GB2312"/>
          <w:color w:val="000000"/>
          <w:sz w:val="32"/>
          <w:szCs w:val="32"/>
        </w:rPr>
      </w:pPr>
      <w:r>
        <w:rPr>
          <w:rFonts w:eastAsia="仿宋_GB2312"/>
          <w:color w:val="000000"/>
          <w:sz w:val="32"/>
          <w:szCs w:val="32"/>
        </w:rPr>
        <w:t>截至2022年12月31日，该项目资金已支付使用资金9.21万元，主要用于稽核人员工资、社保缴费、公积金等支出；宣传费；差旅费；按一定比例抽查全市所有定点医疗机构上一年度住院病例的完整病案纸质资料费用；补充人员经费，会议培训、政策宣传及办公场所基础设备维修等医保日常运转支出。</w:t>
      </w:r>
    </w:p>
    <w:p>
      <w:pPr>
        <w:spacing w:line="578" w:lineRule="exact"/>
        <w:ind w:firstLineChars="200" w:firstLine="640"/>
        <w:rPr>
          <w:rFonts w:eastAsia="仿宋_GB2312"/>
          <w:color w:val="000000"/>
          <w:sz w:val="32"/>
          <w:szCs w:val="32"/>
        </w:rPr>
      </w:pPr>
      <w:r>
        <w:rPr>
          <w:rFonts w:eastAsia="仿宋_GB2312"/>
          <w:color w:val="000000"/>
          <w:sz w:val="32"/>
          <w:szCs w:val="32"/>
        </w:rPr>
        <w:t>本中心资金支付使用严格按照批复方案和实施合同规定执行，资金使用合理规范，合规合法。</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（二）项目财务管理情况。</w:t>
      </w:r>
    </w:p>
    <w:p>
      <w:pPr>
        <w:pStyle w:val="32"/>
        <w:adjustRightInd w:val="0"/>
        <w:snapToGrid w:val="0"/>
        <w:spacing w:line="578" w:lineRule="exact"/>
        <w:rPr>
          <w:rFonts w:eastAsia="仿宋_GB2312"/>
          <w:color w:val="000000"/>
          <w:sz w:val="32"/>
          <w:szCs w:val="32"/>
        </w:rPr>
      </w:pPr>
      <w:r>
        <w:rPr>
          <w:rFonts w:eastAsia="仿宋_GB2312"/>
          <w:color w:val="000000"/>
          <w:sz w:val="32"/>
          <w:szCs w:val="32"/>
        </w:rPr>
        <w:t>我市定点医药机构违规违约上缴的医保服务质保金按照财务管理规定实行单独开户、单独建账、专款管理、专款专用，严格按照政府批准的范围使用，使用情况接受市医疗保障局、市财政局、市审计局等部门监督。</w:t>
      </w:r>
    </w:p>
    <w:p>
      <w:pPr>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（三）项目组织实施情况。</w:t>
      </w:r>
    </w:p>
    <w:p>
      <w:pPr>
        <w:spacing w:line="578" w:lineRule="exact"/>
        <w:ind w:firstLineChars="200" w:firstLine="640"/>
        <w:rPr>
          <w:rFonts w:eastAsia="仿宋_GB2312"/>
          <w:color w:val="000000"/>
          <w:sz w:val="32"/>
          <w:szCs w:val="32"/>
        </w:rPr>
      </w:pPr>
      <w:r>
        <w:rPr>
          <w:rFonts w:eastAsia="仿宋_GB2312"/>
          <w:color w:val="000000"/>
          <w:sz w:val="32"/>
          <w:szCs w:val="32"/>
        </w:rPr>
        <w:t>根据攀枝花市医疗保险管理局《关于我市对定点单位医疗保险服务质量保证金实行年预付制的通知》</w:t>
      </w:r>
      <w:r>
        <w:rPr>
          <w:rStyle w:val="51"/>
          <w:rFonts w:ascii="Times New Roman" w:eastAsia="仿宋_GB2312" w:hAnsi="Times New Roman"/>
          <w:color w:val="000000"/>
          <w:sz w:val="32"/>
          <w:szCs w:val="32"/>
        </w:rPr>
        <w:t>（攀医保〔2008〕9号）的相关规定，市、县（区）两级医保经办机构处理</w:t>
      </w:r>
      <w:r>
        <w:rPr>
          <w:rFonts w:eastAsia="仿宋_GB2312"/>
          <w:color w:val="000000"/>
          <w:sz w:val="32"/>
          <w:szCs w:val="32"/>
        </w:rPr>
        <w:t>定点医药机构违规违约上缴的质保金作为非税收入全额上缴市财政。</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三、项目绩效情况</w:t>
      </w:r>
    </w:p>
    <w:p>
      <w:pPr>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（一）项目完成情况。</w:t>
      </w:r>
    </w:p>
    <w:p>
      <w:pPr>
        <w:spacing w:line="578" w:lineRule="exact"/>
        <w:ind w:firstLineChars="200" w:firstLine="640"/>
        <w:rPr>
          <w:rFonts w:eastAsia="仿宋_GB2312"/>
          <w:color w:val="000000"/>
          <w:sz w:val="32"/>
          <w:szCs w:val="32"/>
        </w:rPr>
      </w:pPr>
      <w:r>
        <w:rPr>
          <w:rFonts w:eastAsia="仿宋_GB2312"/>
          <w:color w:val="000000"/>
          <w:sz w:val="32"/>
          <w:szCs w:val="32"/>
        </w:rPr>
        <w:t>数量指标：2022年，主要用于保障医保工作的正常运转，主要用于支付医学专家劳务费和费用审核聘用人员工资和五险一金；通过开展多次专项行动，加大了定点医药机构监管处罚力度，提高了参保人员对医保服务的满意度；</w:t>
      </w:r>
    </w:p>
    <w:p>
      <w:pPr>
        <w:spacing w:line="578" w:lineRule="exact"/>
        <w:ind w:firstLineChars="200" w:firstLine="640"/>
        <w:rPr>
          <w:rFonts w:eastAsia="仿宋_GB2312"/>
          <w:color w:val="000000"/>
          <w:sz w:val="32"/>
          <w:szCs w:val="32"/>
        </w:rPr>
      </w:pPr>
      <w:r>
        <w:rPr>
          <w:rFonts w:eastAsia="仿宋_GB2312"/>
          <w:color w:val="000000"/>
          <w:sz w:val="32"/>
          <w:szCs w:val="32"/>
        </w:rPr>
        <w:t>质量指标：医学专家劳务费和费用审核聘用人员工资加大费用审核力度，按时完成费用审核工作。</w:t>
      </w:r>
    </w:p>
    <w:p>
      <w:pPr>
        <w:spacing w:line="578" w:lineRule="exact"/>
        <w:ind w:firstLineChars="200" w:firstLine="640"/>
        <w:rPr>
          <w:rFonts w:eastAsia="仿宋_GB2312"/>
          <w:color w:val="000000"/>
          <w:sz w:val="32"/>
          <w:szCs w:val="32"/>
        </w:rPr>
      </w:pPr>
      <w:r>
        <w:rPr>
          <w:rFonts w:eastAsia="仿宋_GB2312"/>
          <w:color w:val="000000"/>
          <w:sz w:val="32"/>
          <w:szCs w:val="32"/>
        </w:rPr>
        <w:t>时效指标：项目资金使用年度时效安排至2022年底，截至</w:t>
      </w:r>
      <w:bookmarkStart w:id="71" w:name="_GoBack"/>
      <w:bookmarkEnd w:id="71"/>
      <w:r>
        <w:rPr>
          <w:rFonts w:eastAsia="仿宋_GB2312"/>
          <w:color w:val="000000"/>
          <w:sz w:val="32"/>
          <w:szCs w:val="32"/>
        </w:rPr>
        <w:t>2022年12月31日，资金使用率为100%。</w:t>
      </w:r>
    </w:p>
    <w:p>
      <w:pPr>
        <w:spacing w:line="578" w:lineRule="exact"/>
        <w:ind w:firstLineChars="200" w:firstLine="640"/>
        <w:rPr>
          <w:rFonts w:eastAsia="仿宋_GB2312"/>
          <w:color w:val="000000"/>
          <w:sz w:val="32"/>
          <w:szCs w:val="32"/>
        </w:rPr>
      </w:pPr>
      <w:r>
        <w:rPr>
          <w:rFonts w:eastAsia="仿宋_GB2312"/>
          <w:color w:val="000000"/>
          <w:sz w:val="32"/>
          <w:szCs w:val="32"/>
          <w:lang w:val="zh-CN"/>
        </w:rPr>
        <w:t>（二）项目效益情况。</w:t>
      </w:r>
    </w:p>
    <w:p>
      <w:pPr>
        <w:spacing w:line="578" w:lineRule="exact"/>
        <w:ind w:firstLineChars="200" w:firstLine="640"/>
        <w:rPr>
          <w:rFonts w:eastAsia="仿宋_GB2312"/>
          <w:color w:val="000000"/>
          <w:sz w:val="32"/>
          <w:szCs w:val="32"/>
        </w:rPr>
      </w:pPr>
      <w:r>
        <w:rPr>
          <w:rFonts w:eastAsia="仿宋_GB2312"/>
          <w:color w:val="000000"/>
          <w:sz w:val="32"/>
          <w:szCs w:val="32"/>
        </w:rPr>
        <w:t>社会效益：医学专家劳务费和费用审核聘用人员工资，按时足额发放劳务费及工资，学习交流经验，解决就业问题。医保公共服务水平，稳步提高。</w:t>
      </w:r>
    </w:p>
    <w:p>
      <w:pPr>
        <w:spacing w:line="578" w:lineRule="exact"/>
        <w:ind w:firstLineChars="200" w:firstLine="640"/>
        <w:rPr>
          <w:rFonts w:eastAsia="仿宋_GB2312"/>
          <w:color w:val="000000"/>
          <w:sz w:val="32"/>
          <w:szCs w:val="32"/>
        </w:rPr>
      </w:pPr>
      <w:r>
        <w:rPr>
          <w:rFonts w:eastAsia="仿宋_GB2312"/>
          <w:color w:val="000000"/>
          <w:sz w:val="32"/>
          <w:szCs w:val="32"/>
        </w:rPr>
        <w:t>可持续影响：医保基金运行平稳有序，规范医疗机构服务行为，减少违规行为的发生。</w:t>
      </w:r>
    </w:p>
    <w:p>
      <w:pPr>
        <w:spacing w:line="578" w:lineRule="exact"/>
        <w:ind w:firstLineChars="200" w:firstLine="640"/>
        <w:rPr>
          <w:rFonts w:eastAsia="仿宋_GB2312"/>
          <w:color w:val="000000"/>
          <w:sz w:val="32"/>
          <w:szCs w:val="32"/>
        </w:rPr>
      </w:pPr>
      <w:r>
        <w:rPr>
          <w:rFonts w:eastAsia="仿宋_GB2312"/>
          <w:color w:val="000000"/>
          <w:sz w:val="32"/>
          <w:szCs w:val="32"/>
        </w:rPr>
        <w:t>服务对象满意度：参保人员对医保工作的评价满意，经办工作受到群众表扬，对医保工作满意。</w:t>
      </w:r>
    </w:p>
    <w:p>
      <w:pPr>
        <w:widowControl/>
        <w:adjustRightInd w:val="0"/>
        <w:snapToGrid w:val="0"/>
        <w:spacing w:line="578" w:lineRule="exact"/>
        <w:ind w:firstLineChars="200" w:firstLine="640"/>
        <w:contextualSpacing/>
        <w:rPr>
          <w:rFonts w:eastAsia="黑体"/>
          <w:color w:val="000000"/>
          <w:kern w:val="0"/>
          <w:sz w:val="32"/>
          <w:szCs w:val="32"/>
          <w:shd w:val="clear" w:color="auto" w:fill="FFFFFF"/>
        </w:rPr>
      </w:pPr>
      <w:r>
        <w:rPr>
          <w:rFonts w:eastAsia="黑体"/>
          <w:color w:val="000000"/>
          <w:kern w:val="0"/>
          <w:sz w:val="32"/>
          <w:szCs w:val="32"/>
          <w:shd w:val="clear" w:color="auto" w:fill="FFFFFF"/>
        </w:rPr>
        <w:t>四、问题及建议</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（一）存在的问题。</w:t>
      </w:r>
    </w:p>
    <w:p>
      <w:pPr>
        <w:adjustRightInd w:val="0"/>
        <w:snapToGrid w:val="0"/>
        <w:spacing w:line="578" w:lineRule="exact"/>
        <w:ind w:firstLineChars="200" w:firstLine="640"/>
        <w:rPr>
          <w:rFonts w:eastAsia="仿宋_GB2312"/>
          <w:color w:val="000000"/>
          <w:sz w:val="32"/>
          <w:szCs w:val="32"/>
        </w:rPr>
      </w:pPr>
      <w:r>
        <w:rPr>
          <w:rFonts w:eastAsia="仿宋_GB2312"/>
          <w:color w:val="000000"/>
          <w:sz w:val="32"/>
          <w:szCs w:val="32"/>
        </w:rPr>
        <w:t>无</w:t>
      </w:r>
    </w:p>
    <w:p>
      <w:pPr>
        <w:adjustRightInd w:val="0"/>
        <w:snapToGrid w:val="0"/>
        <w:spacing w:line="578" w:lineRule="exact"/>
        <w:ind w:firstLineChars="200" w:firstLine="640"/>
        <w:rPr>
          <w:rFonts w:eastAsia="仿宋_GB2312"/>
          <w:color w:val="000000"/>
          <w:sz w:val="32"/>
          <w:szCs w:val="32"/>
          <w:lang w:val="zh-CN"/>
        </w:rPr>
      </w:pPr>
      <w:r>
        <w:rPr>
          <w:rFonts w:eastAsia="仿宋_GB2312"/>
          <w:color w:val="000000"/>
          <w:sz w:val="32"/>
          <w:szCs w:val="32"/>
          <w:lang w:val="zh-CN"/>
        </w:rPr>
        <w:t>（二）相关建议。</w:t>
      </w:r>
    </w:p>
    <w:p>
      <w:pPr>
        <w:spacing w:line="578" w:lineRule="exact"/>
        <w:ind w:firstLineChars="200" w:firstLine="640"/>
        <w:rPr>
          <w:rFonts w:eastAsia="仿宋_GB2312"/>
          <w:color w:val="000000"/>
          <w:sz w:val="32"/>
          <w:szCs w:val="32"/>
        </w:rPr>
      </w:pPr>
      <w:r>
        <w:rPr>
          <w:rFonts w:eastAsia="仿宋_GB2312"/>
          <w:color w:val="000000"/>
          <w:sz w:val="32"/>
          <w:szCs w:val="32"/>
        </w:rPr>
        <w:t>加强项目建设各个审批环节沟通，提前统筹安排，减少审批时间和进度，加快项目建设步伐，提高项目建设效率，按规定完成预定绩效目标任务。</w:t>
      </w:r>
    </w:p>
    <w:p>
      <w:pPr>
        <w:adjustRightInd w:val="0"/>
        <w:snapToGrid w:val="0"/>
        <w:spacing w:line="578" w:lineRule="exact"/>
        <w:ind w:firstLineChars="200" w:firstLine="640"/>
        <w:rPr>
          <w:rFonts w:eastAsia="仿宋_GB2312"/>
          <w:b/>
          <w:color w:val="000000"/>
          <w:sz w:val="32"/>
          <w:szCs w:val="32"/>
        </w:rPr>
      </w:pPr>
    </w:p>
    <w:p>
      <w:pPr>
        <w:spacing w:line="578" w:lineRule="exact"/>
        <w:ind w:firstLineChars="200" w:firstLine="640"/>
        <w:rPr>
          <w:rStyle w:val="1Char"/>
          <w:rFonts w:eastAsia="仿宋_GB2312"/>
          <w:b w:val="0"/>
          <w:color w:val="000000"/>
          <w:sz w:val="32"/>
          <w:szCs w:val="32"/>
        </w:rPr>
      </w:pPr>
    </w:p>
    <w:p>
      <w:pPr>
        <w:widowControl/>
        <w:spacing w:line="578" w:lineRule="exact"/>
        <w:ind w:firstLineChars="200" w:firstLine="640"/>
        <w:rPr>
          <w:rStyle w:val="1Char"/>
          <w:rFonts w:eastAsia="仿宋_GB2312"/>
          <w:b w:val="0"/>
          <w:color w:val="000000"/>
          <w:sz w:val="32"/>
          <w:szCs w:val="32"/>
        </w:rPr>
      </w:pPr>
      <w:r>
        <w:rPr>
          <w:rStyle w:val="1Char"/>
          <w:rFonts w:eastAsia="仿宋_GB2312"/>
          <w:b w:val="0"/>
          <w:color w:val="000000"/>
          <w:sz w:val="32"/>
          <w:szCs w:val="32"/>
        </w:rPr>
        <w:br w:type="page"/>
      </w:r>
    </w:p>
    <w:p>
      <w:pPr>
        <w:spacing w:line="578" w:lineRule="exact"/>
        <w:jc w:val="center"/>
        <w:outlineLvl w:val="0"/>
        <w:rPr>
          <w:rStyle w:val="1Char"/>
          <w:rFonts w:eastAsia="黑体"/>
          <w:b w:val="0"/>
          <w:color w:val="000000"/>
        </w:rPr>
      </w:pPr>
      <w:bookmarkStart w:id="72" w:name="_Toc15396618"/>
      <w:bookmarkStart w:id="73" w:name="_Toc27947"/>
      <w:r>
        <w:rPr>
          <w:rStyle w:val="1Char"/>
          <w:rFonts w:eastAsia="黑体"/>
          <w:b w:val="0"/>
          <w:color w:val="000000"/>
        </w:rPr>
        <w:t>第五部分附表</w:t>
      </w:r>
      <w:bookmarkStart w:id="74" w:name="_Toc15396619"/>
      <w:bookmarkEnd w:id="69"/>
      <w:bookmarkEnd w:id="72"/>
      <w:bookmarkEnd w:id="73"/>
    </w:p>
    <w:p>
      <w:pPr>
        <w:spacing w:line="578" w:lineRule="exact"/>
        <w:jc w:val="center"/>
        <w:rPr>
          <w:rStyle w:val="1Char"/>
          <w:rFonts w:eastAsia="黑体"/>
          <w:b w:val="0"/>
          <w:color w:val="000000"/>
        </w:rPr>
      </w:pPr>
    </w:p>
    <w:p>
      <w:pPr>
        <w:pStyle w:val="2"/>
        <w:spacing w:before="0" w:after="0" w:line="578" w:lineRule="exact"/>
        <w:ind w:firstLineChars="200" w:firstLine="640"/>
        <w:rPr>
          <w:rFonts w:ascii="Times New Roman" w:eastAsia="仿宋_GB2312" w:cs="Times New Roman" w:hAnsi="Times New Roman"/>
          <w:color w:val="000000"/>
        </w:rPr>
      </w:pPr>
      <w:bookmarkStart w:id="75" w:name="_Toc887"/>
      <w:r>
        <w:rPr>
          <w:rFonts w:ascii="Times New Roman" w:eastAsia="仿宋_GB2312" w:cs="Times New Roman" w:hAnsi="Times New Roman"/>
          <w:b w:val="0"/>
          <w:color w:val="000000"/>
        </w:rPr>
        <w:t>一、收</w:t>
      </w:r>
      <w:r>
        <w:rPr>
          <w:rStyle w:val="2Char"/>
          <w:rFonts w:ascii="Times New Roman" w:eastAsia="仿宋_GB2312" w:cs="Times New Roman" w:hAnsi="Times New Roman"/>
          <w:color w:val="000000"/>
        </w:rPr>
        <w:t>入支出决算总表</w:t>
      </w:r>
      <w:bookmarkEnd w:id="74"/>
      <w:bookmarkEnd w:id="75"/>
    </w:p>
    <w:p>
      <w:pPr>
        <w:pStyle w:val="2"/>
        <w:spacing w:before="0" w:after="0" w:line="578" w:lineRule="exact"/>
        <w:ind w:firstLineChars="200" w:firstLine="640"/>
        <w:rPr>
          <w:rFonts w:ascii="Times New Roman" w:eastAsia="仿宋_GB2312" w:cs="Times New Roman" w:hAnsi="Times New Roman"/>
          <w:color w:val="000000"/>
        </w:rPr>
      </w:pPr>
      <w:bookmarkStart w:id="76" w:name="_Toc15396620"/>
      <w:bookmarkStart w:id="77" w:name="_Toc5640"/>
      <w:r>
        <w:rPr>
          <w:rFonts w:ascii="Times New Roman" w:eastAsia="仿宋_GB2312" w:cs="Times New Roman" w:hAnsi="Times New Roman"/>
          <w:b w:val="0"/>
          <w:color w:val="000000"/>
        </w:rPr>
        <w:t>二、收</w:t>
      </w:r>
      <w:r>
        <w:rPr>
          <w:rStyle w:val="2Char"/>
          <w:rFonts w:ascii="Times New Roman" w:eastAsia="仿宋_GB2312" w:cs="Times New Roman" w:hAnsi="Times New Roman"/>
          <w:color w:val="000000"/>
        </w:rPr>
        <w:t>入决算表</w:t>
      </w:r>
      <w:bookmarkEnd w:id="76"/>
      <w:bookmarkEnd w:id="77"/>
    </w:p>
    <w:p>
      <w:pPr>
        <w:pStyle w:val="2"/>
        <w:spacing w:before="0" w:after="0" w:line="578" w:lineRule="exact"/>
        <w:ind w:firstLineChars="200" w:firstLine="640"/>
        <w:rPr>
          <w:rFonts w:ascii="Times New Roman" w:eastAsia="仿宋_GB2312" w:cs="Times New Roman" w:hAnsi="Times New Roman"/>
          <w:color w:val="000000"/>
        </w:rPr>
      </w:pPr>
      <w:bookmarkStart w:id="78" w:name="_Toc15396621"/>
      <w:bookmarkStart w:id="79" w:name="_Toc32490"/>
      <w:r>
        <w:rPr>
          <w:rStyle w:val="2Char"/>
          <w:rFonts w:ascii="Times New Roman" w:eastAsia="仿宋_GB2312" w:cs="Times New Roman" w:hAnsi="Times New Roman"/>
          <w:color w:val="000000"/>
        </w:rPr>
        <w:t>三、</w:t>
      </w:r>
      <w:r>
        <w:rPr>
          <w:rFonts w:ascii="Times New Roman" w:eastAsia="仿宋_GB2312" w:cs="Times New Roman" w:hAnsi="Times New Roman"/>
          <w:b w:val="0"/>
          <w:color w:val="000000"/>
        </w:rPr>
        <w:t>支</w:t>
      </w:r>
      <w:r>
        <w:rPr>
          <w:rStyle w:val="2Char"/>
          <w:rFonts w:ascii="Times New Roman" w:eastAsia="仿宋_GB2312" w:cs="Times New Roman" w:hAnsi="Times New Roman"/>
          <w:color w:val="000000"/>
        </w:rPr>
        <w:t>出决算表</w:t>
      </w:r>
      <w:bookmarkEnd w:id="78"/>
      <w:bookmarkEnd w:id="79"/>
    </w:p>
    <w:p>
      <w:pPr>
        <w:pStyle w:val="2"/>
        <w:spacing w:before="0" w:after="0" w:line="578" w:lineRule="exact"/>
        <w:ind w:firstLineChars="200" w:firstLine="640"/>
        <w:rPr>
          <w:rFonts w:ascii="Times New Roman" w:eastAsia="仿宋_GB2312" w:cs="Times New Roman" w:hAnsi="Times New Roman"/>
          <w:b w:val="0"/>
          <w:color w:val="000000"/>
        </w:rPr>
      </w:pPr>
      <w:bookmarkStart w:id="80" w:name="_Toc15396622"/>
      <w:bookmarkStart w:id="81" w:name="_Toc16307"/>
      <w:r>
        <w:rPr>
          <w:rStyle w:val="2Char"/>
          <w:rFonts w:ascii="Times New Roman" w:eastAsia="仿宋_GB2312" w:cs="Times New Roman" w:hAnsi="Times New Roman"/>
          <w:color w:val="000000"/>
        </w:rPr>
        <w:t>四、</w:t>
      </w:r>
      <w:r>
        <w:rPr>
          <w:rFonts w:ascii="Times New Roman" w:eastAsia="仿宋_GB2312" w:cs="Times New Roman" w:hAnsi="Times New Roman"/>
          <w:b w:val="0"/>
          <w:color w:val="000000"/>
        </w:rPr>
        <w:t>财</w:t>
      </w:r>
      <w:r>
        <w:rPr>
          <w:rStyle w:val="2Char"/>
          <w:rFonts w:ascii="Times New Roman" w:eastAsia="仿宋_GB2312" w:cs="Times New Roman" w:hAnsi="Times New Roman"/>
          <w:color w:val="000000"/>
        </w:rPr>
        <w:t>政拨款收入支出决算总表</w:t>
      </w:r>
      <w:bookmarkEnd w:id="80"/>
      <w:bookmarkEnd w:id="81"/>
    </w:p>
    <w:p>
      <w:pPr>
        <w:pStyle w:val="2"/>
        <w:spacing w:before="0" w:after="0" w:line="578" w:lineRule="exact"/>
        <w:ind w:firstLineChars="200" w:firstLine="640"/>
        <w:rPr>
          <w:rStyle w:val="2Char"/>
          <w:rFonts w:ascii="Times New Roman" w:eastAsia="仿宋_GB2312" w:cs="Times New Roman" w:hAnsi="Times New Roman"/>
          <w:color w:val="000000"/>
        </w:rPr>
      </w:pPr>
      <w:bookmarkStart w:id="82" w:name="_Toc15396623"/>
      <w:bookmarkStart w:id="83" w:name="_Toc13177"/>
      <w:r>
        <w:rPr>
          <w:rStyle w:val="2Char"/>
          <w:rFonts w:ascii="Times New Roman" w:eastAsia="仿宋_GB2312" w:cs="Times New Roman" w:hAnsi="Times New Roman"/>
          <w:color w:val="000000"/>
        </w:rPr>
        <w:t>五、</w:t>
      </w:r>
      <w:r>
        <w:rPr>
          <w:rFonts w:ascii="Times New Roman" w:eastAsia="仿宋_GB2312" w:cs="Times New Roman" w:hAnsi="Times New Roman"/>
          <w:b w:val="0"/>
          <w:color w:val="000000"/>
        </w:rPr>
        <w:t>财</w:t>
      </w:r>
      <w:r>
        <w:rPr>
          <w:rStyle w:val="2Char"/>
          <w:rFonts w:ascii="Times New Roman" w:eastAsia="仿宋_GB2312" w:cs="Times New Roman" w:hAnsi="Times New Roman"/>
          <w:color w:val="000000"/>
        </w:rPr>
        <w:t>政拨款支出决算明细表</w:t>
      </w:r>
      <w:bookmarkStart w:id="84" w:name="_Toc15396624"/>
      <w:bookmarkEnd w:id="82"/>
      <w:bookmarkEnd w:id="83"/>
    </w:p>
    <w:p>
      <w:pPr>
        <w:pStyle w:val="2"/>
        <w:spacing w:before="0" w:after="0" w:line="578" w:lineRule="exact"/>
        <w:ind w:firstLineChars="200" w:firstLine="640"/>
        <w:rPr>
          <w:rFonts w:ascii="Times New Roman" w:eastAsia="仿宋_GB2312" w:cs="Times New Roman" w:hAnsi="Times New Roman"/>
          <w:color w:val="000000"/>
        </w:rPr>
      </w:pPr>
      <w:bookmarkStart w:id="85" w:name="_Toc31858"/>
      <w:r>
        <w:rPr>
          <w:rStyle w:val="2Char"/>
          <w:rFonts w:ascii="Times New Roman" w:eastAsia="仿宋_GB2312" w:cs="Times New Roman" w:hAnsi="Times New Roman"/>
          <w:color w:val="000000"/>
        </w:rPr>
        <w:t>六、</w:t>
      </w:r>
      <w:r>
        <w:rPr>
          <w:rFonts w:ascii="Times New Roman" w:eastAsia="仿宋_GB2312" w:cs="Times New Roman" w:hAnsi="Times New Roman"/>
          <w:b w:val="0"/>
          <w:color w:val="000000"/>
        </w:rPr>
        <w:t>一</w:t>
      </w:r>
      <w:r>
        <w:rPr>
          <w:rStyle w:val="2Char"/>
          <w:rFonts w:ascii="Times New Roman" w:eastAsia="仿宋_GB2312" w:cs="Times New Roman" w:hAnsi="Times New Roman"/>
          <w:color w:val="000000"/>
        </w:rPr>
        <w:t>般公共预算财政拨款支出决算表</w:t>
      </w:r>
      <w:bookmarkEnd w:id="84"/>
      <w:bookmarkEnd w:id="85"/>
    </w:p>
    <w:p>
      <w:pPr>
        <w:pStyle w:val="2"/>
        <w:spacing w:before="0" w:after="0" w:line="578" w:lineRule="exact"/>
        <w:ind w:firstLineChars="200" w:firstLine="640"/>
        <w:rPr>
          <w:rFonts w:ascii="Times New Roman" w:eastAsia="仿宋_GB2312" w:cs="Times New Roman" w:hAnsi="Times New Roman"/>
          <w:color w:val="000000"/>
        </w:rPr>
      </w:pPr>
      <w:bookmarkStart w:id="86" w:name="_Toc15396625"/>
      <w:bookmarkStart w:id="87" w:name="_Toc8344"/>
      <w:r>
        <w:rPr>
          <w:rStyle w:val="2Char"/>
          <w:rFonts w:ascii="Times New Roman" w:eastAsia="仿宋_GB2312" w:cs="Times New Roman" w:hAnsi="Times New Roman"/>
          <w:color w:val="000000"/>
        </w:rPr>
        <w:t>七、</w:t>
      </w:r>
      <w:r>
        <w:rPr>
          <w:rFonts w:ascii="Times New Roman" w:eastAsia="仿宋_GB2312" w:cs="Times New Roman" w:hAnsi="Times New Roman"/>
          <w:b w:val="0"/>
          <w:color w:val="000000"/>
        </w:rPr>
        <w:t>一</w:t>
      </w:r>
      <w:r>
        <w:rPr>
          <w:rStyle w:val="2Char"/>
          <w:rFonts w:ascii="Times New Roman" w:eastAsia="仿宋_GB2312" w:cs="Times New Roman" w:hAnsi="Times New Roman"/>
          <w:color w:val="000000"/>
        </w:rPr>
        <w:t>般公共预算财政拨款支出决算明细表</w:t>
      </w:r>
      <w:bookmarkEnd w:id="86"/>
      <w:bookmarkEnd w:id="87"/>
    </w:p>
    <w:p>
      <w:pPr>
        <w:pStyle w:val="2"/>
        <w:spacing w:before="0" w:after="0" w:line="578" w:lineRule="exact"/>
        <w:ind w:firstLineChars="200" w:firstLine="640"/>
        <w:rPr>
          <w:rFonts w:ascii="Times New Roman" w:eastAsia="仿宋_GB2312" w:cs="Times New Roman" w:hAnsi="Times New Roman"/>
          <w:color w:val="000000"/>
        </w:rPr>
      </w:pPr>
      <w:bookmarkStart w:id="88" w:name="_Toc15396626"/>
      <w:bookmarkStart w:id="89" w:name="_Toc13090"/>
      <w:r>
        <w:rPr>
          <w:rStyle w:val="2Char"/>
          <w:rFonts w:ascii="Times New Roman" w:eastAsia="仿宋_GB2312" w:cs="Times New Roman" w:hAnsi="Times New Roman"/>
          <w:color w:val="000000"/>
        </w:rPr>
        <w:t>八、</w:t>
      </w:r>
      <w:r>
        <w:rPr>
          <w:rFonts w:ascii="Times New Roman" w:eastAsia="仿宋_GB2312" w:cs="Times New Roman" w:hAnsi="Times New Roman"/>
          <w:b w:val="0"/>
          <w:color w:val="000000"/>
        </w:rPr>
        <w:t>一</w:t>
      </w:r>
      <w:r>
        <w:rPr>
          <w:rStyle w:val="2Char"/>
          <w:rFonts w:ascii="Times New Roman" w:eastAsia="仿宋_GB2312" w:cs="Times New Roman" w:hAnsi="Times New Roman"/>
          <w:color w:val="000000"/>
        </w:rPr>
        <w:t>般公共预算财政拨款基本支出决算表</w:t>
      </w:r>
      <w:bookmarkEnd w:id="88"/>
      <w:bookmarkEnd w:id="89"/>
    </w:p>
    <w:p>
      <w:pPr>
        <w:pStyle w:val="2"/>
        <w:spacing w:before="0" w:after="0" w:line="578" w:lineRule="exact"/>
        <w:ind w:firstLineChars="200" w:firstLine="640"/>
        <w:rPr>
          <w:rFonts w:ascii="Times New Roman" w:eastAsia="仿宋_GB2312" w:cs="Times New Roman" w:hAnsi="Times New Roman"/>
          <w:color w:val="000000"/>
        </w:rPr>
      </w:pPr>
      <w:bookmarkStart w:id="90" w:name="_Toc15396627"/>
      <w:bookmarkStart w:id="91" w:name="_Toc18943"/>
      <w:r>
        <w:rPr>
          <w:rStyle w:val="2Char"/>
          <w:rFonts w:ascii="Times New Roman" w:eastAsia="仿宋_GB2312" w:cs="Times New Roman" w:hAnsi="Times New Roman"/>
          <w:color w:val="000000"/>
        </w:rPr>
        <w:t>九、</w:t>
      </w:r>
      <w:r>
        <w:rPr>
          <w:rFonts w:ascii="Times New Roman" w:eastAsia="仿宋_GB2312" w:cs="Times New Roman" w:hAnsi="Times New Roman"/>
          <w:b w:val="0"/>
          <w:color w:val="000000"/>
        </w:rPr>
        <w:t>一</w:t>
      </w:r>
      <w:r>
        <w:rPr>
          <w:rStyle w:val="2Char"/>
          <w:rFonts w:ascii="Times New Roman" w:eastAsia="仿宋_GB2312" w:cs="Times New Roman" w:hAnsi="Times New Roman"/>
          <w:color w:val="000000"/>
        </w:rPr>
        <w:t>般公共预算财政拨款项目支出决算表</w:t>
      </w:r>
      <w:bookmarkEnd w:id="90"/>
      <w:bookmarkEnd w:id="91"/>
    </w:p>
    <w:p>
      <w:pPr>
        <w:pStyle w:val="2"/>
        <w:spacing w:before="0" w:after="0" w:line="578" w:lineRule="exact"/>
        <w:ind w:firstLineChars="200" w:firstLine="640"/>
        <w:rPr>
          <w:rFonts w:ascii="Times New Roman" w:eastAsia="仿宋_GB2312" w:cs="Times New Roman" w:hAnsi="Times New Roman"/>
          <w:color w:val="000000"/>
        </w:rPr>
      </w:pPr>
      <w:bookmarkStart w:id="92" w:name="_Toc15396628"/>
      <w:bookmarkStart w:id="93" w:name="_Toc30629"/>
      <w:r>
        <w:rPr>
          <w:rStyle w:val="2Char"/>
          <w:rFonts w:ascii="Times New Roman" w:eastAsia="仿宋_GB2312" w:cs="Times New Roman" w:hAnsi="Times New Roman"/>
          <w:color w:val="000000"/>
        </w:rPr>
        <w:t>十、</w:t>
      </w:r>
      <w:bookmarkEnd w:id="92"/>
      <w:r>
        <w:rPr>
          <w:rFonts w:ascii="Times New Roman" w:eastAsia="仿宋_GB2312" w:cs="Times New Roman" w:hAnsi="Times New Roman"/>
          <w:b w:val="0"/>
          <w:color w:val="000000"/>
        </w:rPr>
        <w:t>政</w:t>
      </w:r>
      <w:r>
        <w:rPr>
          <w:rStyle w:val="2Char"/>
          <w:rFonts w:ascii="Times New Roman" w:eastAsia="仿宋_GB2312" w:cs="Times New Roman" w:hAnsi="Times New Roman"/>
          <w:color w:val="000000"/>
        </w:rPr>
        <w:t>府性基金预算财政拨款收入支出决算表</w:t>
      </w:r>
      <w:bookmarkEnd w:id="93"/>
    </w:p>
    <w:p>
      <w:pPr>
        <w:pStyle w:val="2"/>
        <w:spacing w:before="0" w:after="0" w:line="578" w:lineRule="exact"/>
        <w:ind w:firstLineChars="200" w:firstLine="640"/>
        <w:rPr>
          <w:rFonts w:ascii="Times New Roman" w:eastAsia="仿宋_GB2312" w:cs="Times New Roman" w:hAnsi="Times New Roman"/>
          <w:color w:val="000000"/>
        </w:rPr>
      </w:pPr>
      <w:bookmarkStart w:id="94" w:name="_Toc15396629"/>
      <w:bookmarkStart w:id="95" w:name="_Toc16109"/>
      <w:r>
        <w:rPr>
          <w:rStyle w:val="2Char"/>
          <w:rFonts w:ascii="Times New Roman" w:eastAsia="仿宋_GB2312" w:cs="Times New Roman" w:hAnsi="Times New Roman"/>
          <w:color w:val="000000"/>
        </w:rPr>
        <w:t>十一、</w:t>
      </w:r>
      <w:bookmarkEnd w:id="94"/>
      <w:r>
        <w:rPr>
          <w:rFonts w:ascii="Times New Roman" w:eastAsia="仿宋_GB2312" w:cs="Times New Roman" w:hAnsi="Times New Roman"/>
          <w:b w:val="0"/>
          <w:color w:val="000000"/>
        </w:rPr>
        <w:t>国</w:t>
      </w:r>
      <w:r>
        <w:rPr>
          <w:rStyle w:val="2Char"/>
          <w:rFonts w:ascii="Times New Roman" w:eastAsia="仿宋_GB2312" w:cs="Times New Roman" w:hAnsi="Times New Roman"/>
          <w:color w:val="000000"/>
        </w:rPr>
        <w:t>有资本经营预算财政拨款收入支出决算表</w:t>
      </w:r>
      <w:bookmarkEnd w:id="95"/>
    </w:p>
    <w:p>
      <w:pPr>
        <w:pStyle w:val="2"/>
        <w:spacing w:before="0" w:after="0" w:line="578" w:lineRule="exact"/>
        <w:ind w:firstLineChars="200" w:firstLine="640"/>
        <w:rPr>
          <w:rFonts w:ascii="Times New Roman" w:eastAsia="仿宋_GB2312" w:cs="Times New Roman" w:hAnsi="Times New Roman"/>
          <w:color w:val="000000"/>
        </w:rPr>
      </w:pPr>
      <w:bookmarkStart w:id="96" w:name="_Toc15396630"/>
      <w:bookmarkStart w:id="97" w:name="_Toc17307"/>
      <w:r>
        <w:rPr>
          <w:rStyle w:val="2Char"/>
          <w:rFonts w:ascii="Times New Roman" w:eastAsia="仿宋_GB2312" w:cs="Times New Roman" w:hAnsi="Times New Roman"/>
          <w:color w:val="000000"/>
        </w:rPr>
        <w:t>十二、</w:t>
      </w:r>
      <w:bookmarkEnd w:id="96"/>
      <w:r>
        <w:rPr>
          <w:rStyle w:val="2Char"/>
          <w:rFonts w:ascii="Times New Roman" w:eastAsia="仿宋_GB2312" w:cs="Times New Roman" w:hAnsi="Times New Roman"/>
          <w:color w:val="000000"/>
        </w:rPr>
        <w:t>国有资本经营预算财政拨款支出决算表</w:t>
      </w:r>
      <w:bookmarkEnd w:id="97"/>
    </w:p>
    <w:p>
      <w:pPr>
        <w:pStyle w:val="2"/>
        <w:spacing w:before="0" w:after="0" w:line="578" w:lineRule="exact"/>
        <w:ind w:firstLineChars="200" w:firstLine="640"/>
        <w:rPr>
          <w:rFonts w:ascii="Times New Roman" w:eastAsia="仿宋_GB2312" w:cs="Times New Roman" w:hAnsi="Times New Roman"/>
          <w:color w:val="000000"/>
        </w:rPr>
      </w:pPr>
      <w:bookmarkStart w:id="98" w:name="_Toc15396631"/>
      <w:bookmarkStart w:id="99" w:name="_Toc1139"/>
      <w:r>
        <w:rPr>
          <w:rStyle w:val="2Char"/>
          <w:rFonts w:ascii="Times New Roman" w:eastAsia="仿宋_GB2312" w:cs="Times New Roman" w:hAnsi="Times New Roman"/>
          <w:color w:val="000000"/>
        </w:rPr>
        <w:t>十三、</w:t>
      </w:r>
      <w:bookmarkEnd w:id="98"/>
      <w:r>
        <w:rPr>
          <w:rStyle w:val="2Char"/>
          <w:rFonts w:ascii="Times New Roman" w:eastAsia="仿宋_GB2312" w:cs="Times New Roman" w:hAnsi="Times New Roman"/>
          <w:color w:val="000000"/>
        </w:rPr>
        <w:t>财政拨款“三公”经费支出决算表</w:t>
      </w:r>
      <w:bookmarkEnd w:id="99"/>
    </w:p>
    <w:sectPr>
      <w:footerReference w:type="even" r:id="rId4"/>
      <w:footerReference w:type="first" r:id="rId5"/>
      <w:pgSz w:w="11906" w:h="16838"/>
      <w:pgMar w:top="2098" w:right="1474" w:bottom="1984" w:left="1587" w:header="851" w:footer="1417" w:gutter="0"/>
      <w:pgNumType w:start="1"/>
      <w:cols w:num="1" w:space="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10" w:usb3="00000000" w:csb0="00040000" w:csb1="00000000"/>
  </w:font>
  <w:font w:name="楷体_GB2312">
    <w:altName w:val="Arial Unicode MS"/>
    <w:panose1 w:val="02010609030101010101"/>
    <w:charset w:val="86"/>
    <w:family w:val="modern"/>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
    <w:altName w:val="Times New Roman"/>
    <w:panose1 w:val="00000000000000000000"/>
    <w:charset w:val="00"/>
    <w:family w:val="roman"/>
    <w:pitch w:val="variable"/>
  </w:font>
  <w:font w:name="等线">
    <w:altName w:val="Arial Unicode MS"/>
    <w:panose1 w:val="00000000000000000000"/>
    <w:charset w:val="86"/>
    <w:family w:val="auto"/>
    <w:pitch w:val="variable"/>
    <w:sig w:usb0="A00002BF" w:usb1="38CF7CFA" w:usb2="00000016" w:usb3="00000000" w:csb0="0004000F" w:csb1="00000000"/>
  </w:font>
  <w:font w:name="Courier New">
    <w:panose1 w:val="02070309020205020404"/>
    <w:charset w:val="00"/>
    <w:family w:val="modern"/>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right"/>
      <w:rPr>
        <w:rFonts w:ascii="宋体" w:cs="宋体" w:hAnsi="宋体"/>
        <w:sz w:val="28"/>
        <w:szCs w:val="28"/>
      </w:rPr>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PAGE   \* MERGEFORMAT</w:instrText>
    </w:r>
    <w:r>
      <w:rPr>
        <w:rFonts w:ascii="宋体" w:cs="宋体" w:hAnsi="宋体" w:hint="eastAsia"/>
        <w:sz w:val="28"/>
        <w:szCs w:val="28"/>
      </w:rPr>
      <w:fldChar w:fldCharType="separate"/>
    </w:r>
    <w:r>
      <w:rPr>
        <w:rFonts w:ascii="宋体" w:cs="宋体" w:hAnsi="宋体"/>
        <w:sz w:val="28"/>
        <w:szCs w:val="28"/>
        <w:lang w:val="zh-CN"/>
      </w:rPr>
      <w:t>3</w:t>
    </w:r>
    <w:r>
      <w:rPr>
        <w:rFonts w:ascii="宋体" w:cs="宋体" w:hAnsi="宋体" w:hint="eastAsia"/>
        <w:sz w:val="28"/>
        <w:szCs w:val="28"/>
        <w:lang w:val="zh-CN"/>
      </w:rPr>
      <w:fldChar w:fldCharType="end"/>
    </w:r>
    <w:r>
      <w:rPr>
        <w:rFonts w:ascii="宋体" w:cs="宋体" w:hAnsi="宋体" w:hint="eastAsia"/>
        <w:sz w:val="28"/>
        <w:szCs w:val="28"/>
      </w:rPr>
      <w:t>—</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sdt>
      <w:sdtPr>
        <w:rPr>
          <w:rFonts w:ascii="宋体" w:cs="宋体" w:hAnsi="宋体" w:hint="eastAsia"/>
          <w:sz w:val="28"/>
          <w:szCs w:val="28"/>
        </w:rPr>
        <w:id w:val="462529780"/>
      </w:sdtPr>
      <w:sdtContent>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PAGE   \* MERGEFORMAT</w:instrText>
        </w:r>
        <w:r>
          <w:rPr>
            <w:rFonts w:ascii="宋体" w:cs="宋体" w:hAnsi="宋体" w:hint="eastAsia"/>
            <w:sz w:val="28"/>
            <w:szCs w:val="28"/>
          </w:rPr>
          <w:fldChar w:fldCharType="separate"/>
        </w:r>
        <w:r>
          <w:rPr>
            <w:rFonts w:ascii="宋体" w:cs="宋体" w:hAnsi="宋体"/>
            <w:sz w:val="28"/>
            <w:szCs w:val="28"/>
            <w:lang w:val="zh-CN"/>
          </w:rPr>
          <w:t>38</w:t>
        </w:r>
        <w:r>
          <w:rPr>
            <w:rFonts w:ascii="宋体" w:cs="宋体" w:hAnsi="宋体" w:hint="eastAsia"/>
            <w:sz w:val="28"/>
            <w:szCs w:val="28"/>
            <w:lang w:val="zh-CN"/>
          </w:rPr>
          <w:fldChar w:fldCharType="end"/>
        </w:r>
      </w:sdtContent>
    </w:sdt>
    <w:r>
      <w:rPr>
        <w:rFonts w:ascii="宋体" w:cs="宋体" w:hAnsi="宋体" w:hint="eastAsia"/>
        <w:sz w:val="28"/>
        <w:szCs w:val="28"/>
      </w:rPr>
      <w:t>—</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jc w:val="right"/>
    </w:pPr>
    <w:r>
      <w:rPr>
        <w:rFonts w:ascii="宋体" w:cs="宋体" w:hAnsi="宋体" w:hint="eastAsia"/>
        <w:sz w:val="28"/>
        <w:szCs w:val="28"/>
      </w:rPr>
      <w:t>—</w:t>
    </w:r>
    <w:r>
      <w:rPr>
        <w:rFonts w:ascii="宋体" w:cs="宋体" w:hAnsi="宋体" w:hint="eastAsia"/>
        <w:sz w:val="28"/>
        <w:szCs w:val="28"/>
      </w:rPr>
      <w:fldChar w:fldCharType="begin"/>
    </w:r>
    <w:r>
      <w:rPr>
        <w:rFonts w:ascii="宋体" w:cs="宋体" w:hAnsi="宋体" w:hint="eastAsia"/>
        <w:sz w:val="28"/>
        <w:szCs w:val="28"/>
      </w:rPr>
      <w:instrText>PAGE   \* MERGEFORMAT</w:instrText>
    </w:r>
    <w:r>
      <w:rPr>
        <w:rFonts w:ascii="宋体" w:cs="宋体" w:hAnsi="宋体" w:hint="eastAsia"/>
        <w:sz w:val="28"/>
        <w:szCs w:val="28"/>
      </w:rPr>
      <w:fldChar w:fldCharType="separate"/>
    </w:r>
    <w:r>
      <w:rPr>
        <w:rFonts w:ascii="宋体" w:cs="宋体" w:hAnsi="宋体"/>
        <w:sz w:val="28"/>
        <w:szCs w:val="28"/>
        <w:lang w:val="zh-CN"/>
      </w:rPr>
      <w:t>1</w:t>
    </w:r>
    <w:r>
      <w:rPr>
        <w:rFonts w:ascii="宋体" w:cs="宋体" w:hAnsi="宋体" w:hint="eastAsia"/>
        <w:sz w:val="28"/>
        <w:szCs w:val="28"/>
        <w:lang w:val="zh-CN"/>
      </w:rPr>
      <w:fldChar w:fldCharType="end"/>
    </w:r>
    <w:r>
      <w:rPr>
        <w:rFonts w:ascii="宋体" w:cs="宋体" w:hAnsi="宋体" w:hint="eastAsia"/>
        <w:sz w:val="28"/>
        <w:szCs w:val="28"/>
      </w:rPr>
      <w:t>—</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F674BC"/>
    <w:multiLevelType w:val="singleLevel"/>
    <w:tmpl w:val="FFF674BC"/>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NjFiY2QxZjNjMTg1NDY3NTViMjhmYzc3YmRjNGQ2ZW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Body Text Indent"/>
    <w:basedOn w:val="0"/>
    <w:pPr>
      <w:spacing w:after="120"/>
      <w:ind w:leftChars="200" w:left="200"/>
    </w:pPr>
    <w:rPr>
      <w:rFonts w:ascii="仿宋_GB2312" w:hAnsi="仿宋_GB2312"/>
      <w:szCs w:val="32"/>
    </w:rPr>
  </w:style>
  <w:style w:type="paragraph" w:styleId="17">
    <w:name w:val="toc 3"/>
    <w:basedOn w:val="0"/>
    <w:next w:val="0"/>
    <w:pPr>
      <w:tabs>
        <w:tab w:val="right" w:leader="dot" w:pos="8296"/>
      </w:tabs>
      <w:ind w:leftChars="400" w:left="400"/>
    </w:p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hAnsi="仿宋"/>
      <w:sz w:val="28"/>
      <w:szCs w:val="28"/>
    </w:rPr>
  </w:style>
  <w:style w:type="paragraph" w:styleId="22">
    <w:name w:val="toc 2"/>
    <w:basedOn w:val="0"/>
    <w:next w:val="0"/>
    <w:pPr>
      <w:tabs>
        <w:tab w:val="right" w:leader="dot" w:pos="8296"/>
      </w:tabs>
      <w:ind w:leftChars="200" w:left="200"/>
    </w:pPr>
  </w:style>
  <w:style w:type="paragraph" w:styleId="23">
    <w:name w:val="Body Text First Indent 2"/>
    <w:basedOn w:val="16"/>
    <w:pPr>
      <w:ind w:firstLineChars="200" w:firstLine="200"/>
    </w:pPr>
  </w:style>
  <w:style w:type="character" w:styleId="24">
    <w:name w:val="Strong"/>
    <w:basedOn w:val="10"/>
    <w:rPr>
      <w:b/>
    </w:rPr>
  </w:style>
  <w:style w:type="character" w:styleId="25">
    <w:name w:val="FollowedHyperlink"/>
    <w:basedOn w:val="10"/>
    <w:rPr>
      <w:color w:val="954F72"/>
      <w:u w:val="single"/>
    </w:rPr>
  </w:style>
  <w:style w:type="character" w:styleId="26">
    <w:name w:val="Hyperlink"/>
    <w:basedOn w:val="10"/>
    <w:rPr>
      <w:color w:val="0000FF"/>
      <w:u w:val="single"/>
    </w:rPr>
  </w:style>
  <w:style w:type="paragraph" w:customStyle="1" w:styleId="27">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28">
    <w:name w:val="Header Char"/>
    <w:basedOn w:val="10"/>
    <w:rPr>
      <w:rFonts w:ascii="Times New Roman" w:hAnsi="Times New Roman"/>
      <w:sz w:val="18"/>
      <w:szCs w:val="18"/>
    </w:rPr>
  </w:style>
  <w:style w:type="character" w:customStyle="1" w:styleId="29">
    <w:name w:val="Footer Char"/>
    <w:basedOn w:val="10"/>
    <w:rPr>
      <w:rFonts w:ascii="Times New Roman" w:hAnsi="Times New Roman"/>
      <w:sz w:val="18"/>
      <w:szCs w:val="18"/>
    </w:rPr>
  </w:style>
  <w:style w:type="character" w:customStyle="1" w:styleId="30">
    <w:name w:val="Body Text Char"/>
    <w:basedOn w:val="10"/>
    <w:rPr>
      <w:rFonts w:ascii="Times New Roman" w:hAnsi="Times New Roman"/>
      <w:szCs w:val="24"/>
    </w:rPr>
  </w:style>
  <w:style w:type="paragraph" w:customStyle="1" w:styleId="31">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2">
    <w:name w:val="List Paragraph"/>
    <w:basedOn w:val="0"/>
    <w:pPr>
      <w:ind w:firstLineChars="200" w:firstLine="200"/>
    </w:pPr>
  </w:style>
  <w:style w:type="paragraph" w:customStyle="1" w:styleId="33">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4">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5">
    <w:name w:val="四号正文"/>
    <w:basedOn w:val="0"/>
    <w:pPr>
      <w:spacing w:line="360" w:lineRule="auto"/>
    </w:pPr>
    <w:rPr>
      <w:rFonts w:ascii="??" w:hAnsi="??"/>
      <w:color w:val="000000"/>
      <w:kern w:val="0"/>
      <w:sz w:val="28"/>
      <w:szCs w:val="21"/>
      <w:lang w:val="zh-CN"/>
    </w:rPr>
  </w:style>
  <w:style w:type="paragraph" w:customStyle="1" w:styleId="36">
    <w:name w:val="TOC 标题3"/>
    <w:basedOn w:val="1"/>
    <w:next w:val="0"/>
    <w:pPr>
      <w:keepNext/>
      <w:keepLines/>
      <w:widowControl/>
      <w:spacing w:before="240" w:after="0" w:line="259" w:lineRule="auto"/>
      <w:jc w:val="left"/>
      <w:outlineLvl w:val="9"/>
    </w:pPr>
    <w:rPr>
      <w:rFonts w:ascii="Cambria" w:eastAsia="宋体" w:cs="Times New Roman" w:hAnsi="Cambria"/>
      <w:b w:val="0"/>
      <w:bCs w:val="0"/>
      <w:color w:val="365F91"/>
      <w:kern w:val="0"/>
      <w:sz w:val="32"/>
      <w:szCs w:val="32"/>
    </w:rPr>
  </w:style>
  <w:style w:type="paragraph" w:customStyle="1" w:styleId="37">
    <w:name w:val="msonormal"/>
    <w:basedOn w:val="0"/>
    <w:pPr>
      <w:widowControl/>
      <w:spacing w:before="100" w:beforeAutospacing="1" w:after="100" w:afterAutospacing="1"/>
      <w:jc w:val="left"/>
    </w:pPr>
    <w:rPr>
      <w:rFonts w:ascii="宋体" w:cs="宋体" w:hAnsi="宋体"/>
      <w:kern w:val="0"/>
      <w:sz w:val="24"/>
    </w:rPr>
  </w:style>
  <w:style w:type="paragraph" w:customStyle="1" w:styleId="38">
    <w:name w:val="font5"/>
    <w:basedOn w:val="0"/>
    <w:pPr>
      <w:widowControl/>
      <w:spacing w:before="100" w:beforeAutospacing="1" w:after="100" w:afterAutospacing="1"/>
      <w:jc w:val="left"/>
    </w:pPr>
    <w:rPr>
      <w:rFonts w:ascii="等线" w:eastAsia="等线" w:cs="宋体" w:hAnsi="等线"/>
      <w:kern w:val="0"/>
      <w:sz w:val="18"/>
      <w:szCs w:val="18"/>
    </w:rPr>
  </w:style>
  <w:style w:type="paragraph" w:customStyle="1" w:styleId="39">
    <w:name w:val="xl6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hAnsi="宋体"/>
      <w:color w:val="000000"/>
      <w:kern w:val="0"/>
      <w:sz w:val="18"/>
      <w:szCs w:val="18"/>
    </w:rPr>
  </w:style>
  <w:style w:type="paragraph" w:customStyle="1" w:styleId="40">
    <w:name w:val="xl64"/>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41">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2">
    <w:name w:val="xl66"/>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3">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hAnsi="宋体"/>
      <w:color w:val="000000"/>
      <w:kern w:val="0"/>
      <w:sz w:val="18"/>
      <w:szCs w:val="18"/>
    </w:rPr>
  </w:style>
  <w:style w:type="paragraph" w:customStyle="1" w:styleId="44">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hAnsi="微软雅黑"/>
      <w:i/>
      <w:iCs/>
      <w:color w:val="000000"/>
      <w:kern w:val="0"/>
      <w:sz w:val="16"/>
      <w:szCs w:val="16"/>
    </w:rPr>
  </w:style>
  <w:style w:type="paragraph" w:customStyle="1" w:styleId="45">
    <w:name w:val="xl69"/>
    <w:basedOn w:val="0"/>
    <w:pPr>
      <w:widowControl/>
      <w:spacing w:before="100" w:beforeAutospacing="1" w:after="100" w:afterAutospacing="1"/>
      <w:jc w:val="left"/>
    </w:pPr>
    <w:rPr>
      <w:rFonts w:ascii="宋体" w:cs="宋体" w:hAnsi="宋体"/>
      <w:kern w:val="0"/>
      <w:sz w:val="18"/>
      <w:szCs w:val="18"/>
    </w:rPr>
  </w:style>
  <w:style w:type="paragraph" w:customStyle="1" w:styleId="46">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hAnsi="黑体"/>
      <w:b/>
      <w:bCs/>
      <w:color w:val="000000"/>
      <w:kern w:val="0"/>
      <w:sz w:val="30"/>
      <w:szCs w:val="30"/>
    </w:rPr>
  </w:style>
  <w:style w:type="paragraph" w:customStyle="1" w:styleId="47">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48">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49">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50">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hAnsi="微软雅黑"/>
      <w:i/>
      <w:iCs/>
      <w:color w:val="000000"/>
      <w:kern w:val="0"/>
      <w:sz w:val="16"/>
      <w:szCs w:val="16"/>
    </w:rPr>
  </w:style>
  <w:style w:type="character" w:customStyle="1" w:styleId="51">
    <w:name w:val="fontstyle01"/>
    <w:basedOn w:val="10"/>
    <w:rPr>
      <w:rFonts w:ascii="方正小标宋_GBK" w:eastAsia="方正小标宋_GBK" w:cs="Times New Roman"/>
      <w:color w:val="000000"/>
      <w:sz w:val="44"/>
      <w:szCs w:val="44"/>
    </w:rPr>
  </w:style>
  <w:style w:type="paragraph" w:customStyle="1" w:styleId="52">
    <w:name w:val="WPSOffice手动目录 1"/>
    <w:rPr>
      <w:rFonts w:ascii="Calibri" w:eastAsia="宋体" w:cs="Arial" w:hAnsi="Calibri"/>
      <w:sz w:val="20"/>
      <w:szCs w:val="20"/>
      <w:lang w:val="en-US" w:eastAsia="zh-CN" w:bidi="ar-SA"/>
    </w:rPr>
  </w:style>
  <w:style w:type="paragraph" w:customStyle="1" w:styleId="53">
    <w:name w:val="WPSOffice手动目录 2"/>
    <w:pPr>
      <w:ind w:leftChars="200" w:left="200"/>
    </w:pPr>
    <w:rPr>
      <w:rFonts w:ascii="Calibri" w:eastAsia="宋体" w:cs="Arial" w:hAnsi="Calibri"/>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收入支出</a:t>
            </a:r>
          </a:p>
        </c:rich>
      </c:tx>
      <c:layout/>
      <c:overlay val="0"/>
      <c:spPr>
        <a:ln>
          <a:noFill/>
        </a:ln>
      </c:spPr>
    </c:title>
    <c:autoTitleDeleted val="1"/>
    <c:plotArea>
      <c:layout/>
      <c:barChart>
        <c:barDir val="col"/>
        <c:grouping val="stacked"/>
        <c:varyColors val="0"/>
        <c:ser>
          <c:idx val="0"/>
          <c:order val="0"/>
          <c:tx>
            <c:strRef>
              <c:f>'Sheet1'!$B$1</c:f>
              <c:strCache>
                <c:ptCount val="1"/>
                <c:pt idx="0">
                  <c:v>收入</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
              <c:idx val="1"/>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ctr"/>
              <c:tx>
                <c:rich>
                  <a:bodyPr vert="horz"/>
                  <a:lstStyle/>
                  <a:p>
                    <a:pPr>
                      <a:defRPr sz="1000" b="0" i="0" u="none" strike="noStrike" baseline="0">
                        <a:solidFill>
                          <a:srgbClr val="000000"/>
                        </a:solidFill>
                        <a:latin typeface="Times New Roman"/>
                        <a:ea typeface="宋体"/>
                        <a:cs typeface="Lucida Sans"/>
                      </a:defRPr>
                    </a:pPr>
                    <a:r>
                      <a:rPr lang="zh-CN"/>
                      <a:t>1213.39</a:t>
                    </a:r>
                  </a:p>
                </c:rich>
              </c:tx>
              <c:showLegendKey val="0"/>
              <c:showVal val="1"/>
              <c:showCatName val="0"/>
              <c:showSerName val="0"/>
              <c:showPercent val="0"/>
              <c:showBubbleSize val="0"/>
            </c:dLbl>
            <c:dLblPos val="ctr"/>
            <c:showLegendKey val="0"/>
            <c:showVal val="1"/>
            <c:showCatName val="0"/>
            <c:showSerName val="0"/>
            <c:showPercent val="0"/>
            <c:showBubbleSize val="0"/>
            <c:showLeaderLines val="0"/>
          </c:dLbls>
          <c:cat>
            <c:numRef>
              <c:f>'Sheet1'!$A$2:$A$3</c:f>
              <c:numCache>
                <c:ptCount val="2"/>
                <c:pt idx="0">
                  <c:v>2021</c:v>
                </c:pt>
                <c:pt idx="1">
                  <c:v>2022</c:v>
                </c:pt>
              </c:numCache>
            </c:numRef>
          </c:cat>
          <c:val>
            <c:numRef>
              <c:f>'Sheet1'!$B$2:$B$3</c:f>
              <c:numCache>
                <c:formatCode>General</c:formatCode>
                <c:ptCount val="2"/>
                <c:pt idx="0">
                  <c:v>1159.56</c:v>
                </c:pt>
                <c:pt idx="1">
                  <c:v>1134.73</c:v>
                </c:pt>
              </c:numCache>
            </c:numRef>
          </c:val>
        </c:ser>
        <c:ser>
          <c:idx val="1"/>
          <c:order val="1"/>
          <c:tx>
            <c:strRef>
              <c:f>'Sheet1'!$C$1</c:f>
              <c:strCache>
                <c:ptCount val="1"/>
                <c:pt idx="0">
                  <c:v>支出</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
              <c:idx val="1"/>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LblPos val="ctr"/>
              <c:tx>
                <c:rich>
                  <a:bodyPr vert="horz"/>
                  <a:lstStyle/>
                  <a:p>
                    <a:pPr>
                      <a:defRPr sz="1000" b="0" i="0" u="none" strike="noStrike" baseline="0">
                        <a:solidFill>
                          <a:srgbClr val="000000"/>
                        </a:solidFill>
                        <a:latin typeface="Times New Roman"/>
                        <a:ea typeface="宋体"/>
                        <a:cs typeface="Lucida Sans"/>
                      </a:defRPr>
                    </a:pPr>
                    <a:r>
                      <a:rPr lang="zh-CN"/>
                      <a:t>1213.39</a:t>
                    </a:r>
                  </a:p>
                </c:rich>
              </c:tx>
              <c:showLegendKey val="0"/>
              <c:showVal val="1"/>
              <c:showCatName val="0"/>
              <c:showSerName val="0"/>
              <c:showPercent val="0"/>
              <c:showBubbleSize val="0"/>
            </c:dLbl>
            <c:dLblPos val="ctr"/>
            <c:showLegendKey val="0"/>
            <c:showVal val="1"/>
            <c:showCatName val="0"/>
            <c:showSerName val="0"/>
            <c:showPercent val="0"/>
            <c:showBubbleSize val="0"/>
            <c:showLeaderLines val="0"/>
          </c:dLbls>
          <c:cat>
            <c:numRef>
              <c:f>'Sheet1'!$A$2:$A$3</c:f>
              <c:numCache>
                <c:ptCount val="2"/>
                <c:pt idx="0">
                  <c:v>2021</c:v>
                </c:pt>
                <c:pt idx="1">
                  <c:v>2022</c:v>
                </c:pt>
              </c:numCache>
            </c:numRef>
          </c:cat>
          <c:val>
            <c:numRef>
              <c:f>'Sheet1'!$C$2:$C$3</c:f>
              <c:numCache>
                <c:formatCode>General</c:formatCode>
                <c:ptCount val="2"/>
                <c:pt idx="0">
                  <c:v>1159.56</c:v>
                </c:pt>
                <c:pt idx="1">
                  <c:v>1213.36</c:v>
                </c:pt>
              </c:numCache>
            </c:numRef>
          </c:val>
        </c:ser>
        <c:overlap val="100"/>
        <c:gapWidth val="95"/>
        <c:axId val="0"/>
        <c:axId val="1"/>
      </c:barChart>
      <c:catAx>
        <c:axId val="0"/>
        <c:scaling>
          <c:orientation val="minMax"/>
        </c:scaling>
        <c:delete val="0"/>
        <c:axPos val="b"/>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本年收入</a:t>
            </a:r>
          </a:p>
        </c:rich>
      </c:tx>
      <c:layout/>
      <c:overlay val="0"/>
      <c:spPr>
        <a:ln>
          <a:noFill/>
        </a:ln>
      </c:spPr>
    </c:title>
    <c:autoTitleDeleted val="0"/>
    <c:plotArea>
      <c:layout/>
      <c:pieChart>
        <c:varyColors val="1"/>
        <c:ser>
          <c:idx val="0"/>
          <c:order val="0"/>
          <c:tx>
            <c:strRef>
              <c:f>'Sheet1 (2)'!$B$1</c:f>
              <c:strCache>
                <c:ptCount val="1"/>
                <c:pt idx="0">
                  <c:v>本年收入</c:v>
                </c:pt>
              </c:strCache>
            </c:strRef>
          </c:tx>
          <c:spPr>
            <a:ln>
              <a:noFill/>
            </a:ln>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Pt>
            <c:idx val="5"/>
            <c:bubble3D val="0"/>
            <c:spPr>
              <a:solidFill>
                <a:srgbClr val="F79646"/>
              </a:solidFill>
            </c:spPr>
          </c:dPt>
          <c:dPt>
            <c:idx val="6"/>
            <c:bubble3D val="0"/>
            <c:spPr>
              <a:solidFill>
                <a:srgbClr val="99B6D9"/>
              </a:solidFill>
            </c:spPr>
          </c:dPt>
          <c:dPt>
            <c:idx val="7"/>
            <c:bubble3D val="0"/>
            <c:spPr>
              <a:solidFill>
                <a:srgbClr val="DB9A98"/>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dLbl>
              <c:idx val="1"/>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2"/>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3"/>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4"/>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5"/>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6"/>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7"/>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showLegendKey val="0"/>
            <c:showVal val="0"/>
            <c:showCatName val="0"/>
            <c:showSerName val="0"/>
            <c:showPercent val="1"/>
            <c:showBubbleSize val="0"/>
            <c:showLeaderLines val="1"/>
          </c:dLbls>
          <c:cat>
            <c:strRef>
              <c:f>'Sheet1 (2)'!$A$2:$A$9</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 (2)'!$B$2:$B$9</c:f>
              <c:numCache>
                <c:formatCode>General</c:formatCode>
                <c:ptCount val="8"/>
                <c:pt idx="0">
                  <c:v>1134.73</c:v>
                </c:pt>
                <c:pt idx="1">
                  <c:v>0.0</c:v>
                </c:pt>
                <c:pt idx="2">
                  <c:v>0.0</c:v>
                </c:pt>
                <c:pt idx="3">
                  <c:v>0.0</c:v>
                </c:pt>
                <c:pt idx="4">
                  <c:v>0.0</c:v>
                </c:pt>
                <c:pt idx="5">
                  <c:v>0.0</c:v>
                </c:pt>
                <c:pt idx="6">
                  <c:v>0.0</c:v>
                </c:pt>
                <c:pt idx="7">
                  <c:v>0.0</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本年支出</a:t>
            </a:r>
          </a:p>
        </c:rich>
      </c:tx>
      <c:layout/>
      <c:overlay val="0"/>
      <c:spPr>
        <a:ln>
          <a:noFill/>
        </a:ln>
      </c:spPr>
    </c:title>
    <c:autoTitleDeleted val="0"/>
    <c:plotArea>
      <c:layout/>
      <c:pieChart>
        <c:varyColors val="1"/>
        <c:ser>
          <c:idx val="0"/>
          <c:order val="0"/>
          <c:tx>
            <c:strRef>
              <c:f>'Sheet1 (3)'!$B$1</c:f>
              <c:strCache>
                <c:ptCount val="1"/>
                <c:pt idx="0">
                  <c:v>本年支出</c:v>
                </c:pt>
              </c:strCache>
            </c:strRef>
          </c:tx>
          <c:spPr>
            <a:ln>
              <a:noFill/>
            </a:ln>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0"/>
            <c:showCatName val="0"/>
            <c:showSerName val="0"/>
            <c:showPercent val="1"/>
            <c:showBubbleSize val="0"/>
            <c:showLeaderLines val="1"/>
          </c:dLbls>
          <c:cat>
            <c:strRef>
              <c:f>'Sheet1 (3)'!$A$2:$A$5</c:f>
              <c:strCache>
                <c:ptCount val="4"/>
                <c:pt idx="0">
                  <c:v>基本支出</c:v>
                </c:pt>
                <c:pt idx="1">
                  <c:v>项目支出</c:v>
                </c:pt>
                <c:pt idx="2">
                  <c:v>上缴上级支出</c:v>
                </c:pt>
                <c:pt idx="3">
                  <c:v>经营支出</c:v>
                </c:pt>
              </c:strCache>
            </c:strRef>
          </c:cat>
          <c:val>
            <c:numRef>
              <c:f>'Sheet1 (3)'!$B$2:$B$5</c:f>
              <c:numCache>
                <c:formatCode>General</c:formatCode>
                <c:ptCount val="4"/>
                <c:pt idx="0">
                  <c:v>962.63</c:v>
                </c:pt>
                <c:pt idx="1">
                  <c:v>250.76</c:v>
                </c:pt>
                <c:pt idx="2">
                  <c:v>0.0</c:v>
                </c:pt>
                <c:pt idx="3">
                  <c:v>0.0</c:v>
                </c:pt>
              </c:numCache>
            </c:numRef>
          </c:val>
        </c:ser>
        <c:firstSliceAng val="0"/>
      </c:pieChart>
      <c:spPr>
        <a:no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财政拨款收入支出</a:t>
            </a:r>
          </a:p>
        </c:rich>
      </c:tx>
      <c:layout/>
      <c:overlay val="0"/>
      <c:spPr>
        <a:ln>
          <a:noFill/>
        </a:ln>
      </c:spPr>
    </c:title>
    <c:autoTitleDeleted val="1"/>
    <c:plotArea>
      <c:layout/>
      <c:barChart>
        <c:barDir val="col"/>
        <c:grouping val="clustered"/>
        <c:varyColors val="0"/>
        <c:ser>
          <c:idx val="0"/>
          <c:order val="0"/>
          <c:tx>
            <c:strRef>
              <c:f>'Sheet1 (4)'!$B$1</c:f>
              <c:strCache>
                <c:ptCount val="1"/>
                <c:pt idx="0">
                  <c:v>2021</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财政拨款收入</c:v>
                </c:pt>
                <c:pt idx="1">
                  <c:v>财政拨款支出</c:v>
                </c:pt>
              </c:strCache>
            </c:strRef>
          </c:cat>
          <c:val>
            <c:numRef>
              <c:f>'Sheet1 (4)'!$B$2:$B$3</c:f>
              <c:numCache>
                <c:formatCode>General</c:formatCode>
                <c:ptCount val="2"/>
                <c:pt idx="0">
                  <c:v>1159.56</c:v>
                </c:pt>
                <c:pt idx="1">
                  <c:v>1159.56</c:v>
                </c:pt>
              </c:numCache>
            </c:numRef>
          </c:val>
        </c:ser>
        <c:ser>
          <c:idx val="1"/>
          <c:order val="1"/>
          <c:tx>
            <c:strRef>
              <c:f>'Sheet1 (4)'!$C$1</c:f>
              <c:strCache>
                <c:ptCount val="1"/>
                <c:pt idx="0">
                  <c:v>2022</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(4)'!$A$2:$A$3</c:f>
              <c:strCache>
                <c:ptCount val="2"/>
                <c:pt idx="0">
                  <c:v>财政拨款收入</c:v>
                </c:pt>
                <c:pt idx="1">
                  <c:v>财政拨款支出</c:v>
                </c:pt>
              </c:strCache>
            </c:strRef>
          </c:cat>
          <c:val>
            <c:numRef>
              <c:f>'Sheet1 (4)'!$C$2:$C$3</c:f>
              <c:numCache>
                <c:formatCode>General</c:formatCode>
                <c:ptCount val="2"/>
                <c:pt idx="0">
                  <c:v>1213.39</c:v>
                </c:pt>
                <c:pt idx="1">
                  <c:v>1213.39</c:v>
                </c:pt>
              </c:numCache>
            </c:numRef>
          </c:val>
        </c:ser>
        <c:overlap val="-25"/>
        <c:gapWidth val="150"/>
        <c:axId val="0"/>
        <c:axId val="1"/>
      </c:barChart>
      <c:catAx>
        <c:axId val="0"/>
        <c:scaling>
          <c:orientation val="minMax"/>
        </c:scaling>
        <c:delete val="0"/>
        <c:axPos val="b"/>
        <c:numFmt formatCode="General" sourceLinked="0"/>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a:t>
            </a:r>
          </a:p>
        </c:rich>
      </c:tx>
      <c:layout/>
      <c:overlay val="0"/>
      <c:spPr>
        <a:ln>
          <a:noFill/>
        </a:ln>
      </c:spPr>
    </c:title>
    <c:autoTitleDeleted val="1"/>
    <c:plotArea>
      <c:layout/>
      <c:barChart>
        <c:barDir val="col"/>
        <c:grouping val="clustered"/>
        <c:varyColors val="0"/>
        <c:ser>
          <c:idx val="0"/>
          <c:order val="0"/>
          <c:tx>
            <c:strRef>
              <c:f>'Sheet1 (5)'!$B$1</c:f>
              <c:strCache>
                <c:ptCount val="1"/>
                <c:pt idx="0">
                  <c:v>2021</c:v>
                </c:pt>
              </c:strCache>
            </c:strRef>
          </c:tx>
          <c:spPr>
            <a:solidFill>
              <a:srgbClr val="4F81B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(5)'!$A$2</c:f>
              <c:strCache>
                <c:ptCount val="1"/>
                <c:pt idx="0">
                  <c:v>一般公共预算支出</c:v>
                </c:pt>
              </c:strCache>
            </c:strRef>
          </c:cat>
          <c:val>
            <c:numRef>
              <c:f>Sheet1 (5)!$B$2</c:f>
              <c:numCache>
                <c:formatCode>General</c:formatCode>
                <c:ptCount val="1"/>
                <c:pt idx="0">
                  <c:v>1159.56</c:v>
                </c:pt>
              </c:numCache>
            </c:numRef>
          </c:val>
        </c:ser>
        <c:ser>
          <c:idx val="1"/>
          <c:order val="1"/>
          <c:tx>
            <c:strRef>
              <c:f>'Sheet1 (5)'!$C$1</c:f>
              <c:strCache>
                <c:ptCount val="1"/>
                <c:pt idx="0">
                  <c:v>2022</c:v>
                </c:pt>
              </c:strCache>
            </c:strRef>
          </c:tx>
          <c:spPr>
            <a:solidFill>
              <a:srgbClr val="C0504D"/>
            </a:solidFill>
            <a:ln>
              <a:noFill/>
            </a:ln>
          </c:spPr>
          <c:invertIfNegative val="0"/>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General" sourceLinked="1"/>
            <c:dLblPos val="outEnd"/>
            <c:showLegendKey val="0"/>
            <c:showVal val="1"/>
            <c:showCatName val="0"/>
            <c:showSerName val="0"/>
            <c:showPercent val="0"/>
            <c:showBubbleSize val="0"/>
            <c:showLeaderLines val="0"/>
          </c:dLbls>
          <c:cat>
            <c:strRef>
              <c:f>'Sheet1 (5)'!$A$2</c:f>
              <c:strCache>
                <c:ptCount val="1"/>
                <c:pt idx="0">
                  <c:v>一般公共预算支出</c:v>
                </c:pt>
              </c:strCache>
            </c:strRef>
          </c:cat>
          <c:val>
            <c:numRef>
              <c:f>Sheet1 (5)!$C$2</c:f>
              <c:numCache>
                <c:formatCode>General</c:formatCode>
                <c:ptCount val="1"/>
                <c:pt idx="0">
                  <c:v>1213.39</c:v>
                </c:pt>
              </c:numCache>
            </c:numRef>
          </c:val>
        </c:ser>
        <c:overlap val="-25"/>
        <c:gapWidth val="150"/>
        <c:axId val="0"/>
        <c:axId val="1"/>
      </c:barChart>
      <c:catAx>
        <c:axId val="0"/>
        <c:scaling>
          <c:orientation val="minMax"/>
        </c:scaling>
        <c:delete val="0"/>
        <c:axPos val="b"/>
        <c:numFmt formatCode="General" sourceLinked="0"/>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numFmt formatCode="General" sourceLinked="1"/>
        <c:majorTickMark val="none"/>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a:t>一般公共预算财政拨款支出决算结构</a:t>
            </a:r>
          </a:p>
        </c:rich>
      </c:tx>
      <c:layout/>
      <c:overlay val="0"/>
      <c:spPr>
        <a:ln>
          <a:noFill/>
        </a:ln>
      </c:spPr>
    </c:title>
    <c:autoTitleDeleted val="0"/>
    <c:plotArea>
      <c:layout/>
      <c:pieChart>
        <c:varyColors val="1"/>
        <c:ser>
          <c:idx val="0"/>
          <c:order val="0"/>
          <c:tx>
            <c:strRef>
              <c:f>'Sheet1 (6)'!$B$1</c:f>
              <c:strCache>
                <c:ptCount val="1"/>
                <c:pt idx="0">
                  <c:v>一般公共预算财政拨款支出决算结构</c:v>
                </c:pt>
              </c:strCache>
            </c:strRef>
          </c:tx>
          <c:spPr>
            <a:ln>
              <a:noFill/>
            </a:ln>
          </c:spPr>
          <c:explosion val="25"/>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dLbl>
              <c:idx val="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0.2%</a:t>
                    </a:r>
                  </a:p>
                </c:rich>
              </c:tx>
              <c:showLegendKey val="0"/>
              <c:showVal val="0"/>
              <c:showCatName val="0"/>
              <c:showSerName val="0"/>
              <c:showPercent val="1"/>
              <c:showBubbleSize val="0"/>
            </c:dLbl>
            <c:dLbl>
              <c:idx val="3"/>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a:t>6.8%</a:t>
                    </a:r>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 (6)'!$A$2:$A$5</c:f>
              <c:strCache>
                <c:ptCount val="4"/>
                <c:pt idx="0">
                  <c:v>一般公共服务支出</c:v>
                </c:pt>
                <c:pt idx="1">
                  <c:v>社会保障和就业支出</c:v>
                </c:pt>
                <c:pt idx="2">
                  <c:v>卫生健康支出</c:v>
                </c:pt>
                <c:pt idx="3">
                  <c:v>住房保障支出</c:v>
                </c:pt>
              </c:strCache>
            </c:strRef>
          </c:cat>
          <c:val>
            <c:numRef>
              <c:f>'Sheet1 (6)'!$B$2:$B$5</c:f>
              <c:numCache>
                <c:formatCode>General</c:formatCode>
                <c:ptCount val="4"/>
                <c:pt idx="0">
                  <c:v>2.82</c:v>
                </c:pt>
                <c:pt idx="1">
                  <c:v>99.82</c:v>
                </c:pt>
                <c:pt idx="2">
                  <c:v>1032.48</c:v>
                </c:pt>
                <c:pt idx="3">
                  <c:v>78.27</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595959"/>
                </a:solidFill>
                <a:latin typeface="Times New Roman"/>
                <a:ea typeface="宋体"/>
                <a:cs typeface="Lucida Sans"/>
              </a:defRPr>
            </a:pPr>
            <a:r>
              <a:rPr lang="zh-CN"/>
              <a:t>“三公”经费</a:t>
            </a:r>
          </a:p>
        </c:rich>
      </c:tx>
      <c:layout/>
      <c:overlay val="0"/>
      <c:spPr>
        <a:noFill/>
        <a:ln>
          <a:noFill/>
        </a:ln>
      </c:spPr>
    </c:title>
    <c:autoTitleDeleted val="0"/>
    <c:plotArea>
      <c:layout/>
      <c:pieChart>
        <c:varyColors val="1"/>
        <c:ser>
          <c:idx val="0"/>
          <c:order val="0"/>
          <c:tx>
            <c:strRef>
              <c:f>'Sheet1 (7)'!$B$1</c:f>
              <c:strCache>
                <c:ptCount val="1"/>
                <c:pt idx="0">
                  <c:v>“三公”经费</c:v>
                </c:pt>
              </c:strCache>
            </c:strRef>
          </c:tx>
          <c:spPr>
            <a:ln>
              <a:noFill/>
            </a:ln>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howLegendKey val="0"/>
            <c:showVal val="0"/>
            <c:showCatName val="0"/>
            <c:showSerName val="0"/>
            <c:showPercent val="0"/>
            <c:showBubbleSize val="0"/>
            <c:showLeaderLines val="0"/>
          </c:dLbls>
          <c:cat>
            <c:strRef>
              <c:f>'Sheet1 (7)'!$A$2:$A$4</c:f>
              <c:strCache>
                <c:ptCount val="3"/>
                <c:pt idx="0">
                  <c:v>因公出国</c:v>
                </c:pt>
                <c:pt idx="1">
                  <c:v>公务车购置</c:v>
                </c:pt>
                <c:pt idx="2">
                  <c:v>公务接待</c:v>
                </c:pt>
              </c:strCache>
            </c:strRef>
          </c:cat>
          <c:val>
            <c:numRef>
              <c:f>'Sheet1 (7)'!$B$2:$B$4</c:f>
              <c:numCache>
                <c:formatCode>General</c:formatCode>
                <c:ptCount val="3"/>
                <c:pt idx="2">
                  <c:v>0.73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zero"/>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85153079-E06E-4CEE-9E11-0A2C47D0C0A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TotalTime>
  <Application>Yozo_Office27021597764231179</Application>
  <Pages>43</Pages>
  <Words>0</Words>
  <Characters>13597</Characters>
  <Lines>0</Lines>
  <Paragraphs>399</Paragraphs>
  <CharactersWithSpaces>18130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11</cp:revision>
  <cp:lastPrinted>2023-07-31T02:35:00Z</cp:lastPrinted>
  <dcterms:created xsi:type="dcterms:W3CDTF">2023-09-13T02:01:00Z</dcterms:created>
  <dcterms:modified xsi:type="dcterms:W3CDTF">2023-09-14T03:53:40Z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2052-11.1.0.14036</vt:lpwstr>
  </property>
  <property fmtid="{D5CDD505-2E9C-101B-9397-08002B2CF9AE}" pid="3" name="ICV">
    <vt:lpwstr>37C4F8F7D6044A7A9F2170B1848BFAEC_12</vt:lpwstr>
  </property>
</Properties>
</file>